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C6FE9A">
      <w:pPr>
        <w:pStyle w:val="13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44"/>
          <w:szCs w:val="44"/>
          <w:lang w:eastAsia="zh-CN"/>
        </w:rPr>
        <w:t>关于印发202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44"/>
          <w:szCs w:val="44"/>
          <w:lang w:eastAsia="zh-CN"/>
        </w:rPr>
        <w:t>年度乳山市机动车检验机构</w:t>
      </w:r>
    </w:p>
    <w:p w14:paraId="6DEA387C">
      <w:pPr>
        <w:pStyle w:val="13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44"/>
          <w:szCs w:val="44"/>
          <w:lang w:val="en-US" w:eastAsia="zh-CN"/>
        </w:rPr>
        <w:t>“双随机、一公开”部门联合检查</w:t>
      </w:r>
    </w:p>
    <w:p w14:paraId="5B479566">
      <w:pPr>
        <w:pStyle w:val="13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60" w:lineRule="exact"/>
        <w:ind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44"/>
          <w:szCs w:val="44"/>
          <w:lang w:val="en-US" w:eastAsia="zh-CN"/>
        </w:rPr>
        <w:t>实施方案的通知</w:t>
      </w:r>
    </w:p>
    <w:p w14:paraId="73D416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position w:val="0"/>
          <w:sz w:val="32"/>
          <w:szCs w:val="32"/>
          <w:lang w:val="en-US" w:eastAsia="zh-CN"/>
        </w:rPr>
      </w:pPr>
    </w:p>
    <w:p w14:paraId="094642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80" w:lineRule="exact"/>
        <w:ind w:leftChars="0" w:right="0"/>
        <w:jc w:val="left"/>
        <w:textAlignment w:val="auto"/>
        <w:rPr>
          <w:rFonts w:hint="default" w:ascii="仿宋_GB2312" w:hAnsi="仿宋_GB2312" w:eastAsia="仿宋_GB2312" w:cs="仿宋_GB2312"/>
          <w:color w:val="auto"/>
          <w:spacing w:val="0"/>
          <w:kern w:val="0"/>
          <w:positio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kern w:val="0"/>
          <w:position w:val="0"/>
          <w:sz w:val="32"/>
          <w:szCs w:val="32"/>
          <w:lang w:val="en-US" w:eastAsia="zh-CN"/>
        </w:rPr>
        <w:t>乳山市公安局、</w:t>
      </w:r>
      <w:bookmarkStart w:id="0" w:name="OLE_LINK6"/>
      <w:r>
        <w:rPr>
          <w:rFonts w:hint="eastAsia" w:ascii="仿宋_GB2312" w:hAnsi="仿宋_GB2312" w:eastAsia="仿宋_GB2312" w:cs="仿宋_GB2312"/>
          <w:spacing w:val="0"/>
          <w:kern w:val="0"/>
          <w:position w:val="0"/>
          <w:sz w:val="32"/>
          <w:szCs w:val="32"/>
          <w:lang w:val="en-US" w:eastAsia="zh-CN"/>
        </w:rPr>
        <w:t>威海市生态环境局乳山分局</w:t>
      </w:r>
      <w:bookmarkEnd w:id="0"/>
      <w:r>
        <w:rPr>
          <w:rFonts w:hint="eastAsia" w:ascii="仿宋_GB2312" w:hAnsi="仿宋_GB2312" w:eastAsia="仿宋_GB2312" w:cs="仿宋_GB2312"/>
          <w:spacing w:val="0"/>
          <w:kern w:val="0"/>
          <w:position w:val="0"/>
          <w:sz w:val="32"/>
          <w:szCs w:val="32"/>
          <w:lang w:val="en-US" w:eastAsia="zh-CN"/>
        </w:rPr>
        <w:t>：</w:t>
      </w:r>
    </w:p>
    <w:p w14:paraId="70C40277">
      <w:pPr>
        <w:pStyle w:val="13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80" w:lineRule="exact"/>
        <w:ind w:leftChars="0" w:right="0"/>
        <w:jc w:val="both"/>
        <w:textAlignment w:val="auto"/>
        <w:outlineLvl w:val="9"/>
        <w:rPr>
          <w:rFonts w:hint="eastAsia" w:ascii="仿宋_GB2312" w:hAnsi="仿宋_GB2312" w:eastAsia="仿宋_GB2312" w:cs="Times New Roman"/>
          <w:color w:val="auto"/>
          <w:spacing w:val="0"/>
          <w:kern w:val="0"/>
          <w:position w:val="0"/>
          <w:sz w:val="32"/>
          <w:szCs w:val="2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kern w:val="0"/>
          <w:position w:val="0"/>
          <w:sz w:val="44"/>
          <w:szCs w:val="44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position w:val="0"/>
          <w:sz w:val="32"/>
          <w:szCs w:val="32"/>
          <w:lang w:val="zh-CN" w:eastAsia="zh-CN"/>
        </w:rPr>
        <w:t>为进一步加强机动车检验机构的监督管理，规范行业秩序，营造公平有序的市场环境，</w:t>
      </w:r>
      <w:r>
        <w:rPr>
          <w:rFonts w:hint="eastAsia" w:ascii="仿宋_GB2312" w:hAnsi="仿宋_GB2312" w:eastAsia="仿宋_GB2312" w:cs="Times New Roman"/>
          <w:color w:val="auto"/>
          <w:spacing w:val="0"/>
          <w:kern w:val="0"/>
          <w:position w:val="0"/>
          <w:sz w:val="32"/>
          <w:szCs w:val="20"/>
          <w:lang w:val="zh-CN" w:eastAsia="zh-CN"/>
        </w:rPr>
        <w:t>根据《威海市2024年度部门联合“双随机、一公开”暨跨部门综合监管抽查检查计划》（威双随机办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position w:val="0"/>
          <w:sz w:val="32"/>
          <w:szCs w:val="32"/>
          <w:lang w:val="en-US" w:eastAsia="zh-CN"/>
        </w:rPr>
        <w:t>[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position w:val="0"/>
          <w:sz w:val="32"/>
          <w:szCs w:val="32"/>
          <w:lang w:val="zh-CN" w:eastAsia="zh-CN"/>
        </w:rPr>
        <w:t>2024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position w:val="0"/>
          <w:sz w:val="32"/>
          <w:szCs w:val="32"/>
          <w:lang w:val="en-US" w:eastAsia="zh-CN"/>
        </w:rPr>
        <w:t>]</w:t>
      </w:r>
      <w:r>
        <w:rPr>
          <w:rFonts w:hint="eastAsia" w:ascii="仿宋_GB2312" w:hAnsi="仿宋_GB2312" w:eastAsia="仿宋_GB2312" w:cs="Times New Roman"/>
          <w:color w:val="auto"/>
          <w:spacing w:val="0"/>
          <w:kern w:val="0"/>
          <w:position w:val="0"/>
          <w:sz w:val="32"/>
          <w:szCs w:val="20"/>
          <w:lang w:val="zh-CN" w:eastAsia="zh-CN"/>
        </w:rPr>
        <w:t>1号）</w:t>
      </w:r>
      <w:r>
        <w:rPr>
          <w:rFonts w:hint="eastAsia" w:ascii="仿宋_GB2312" w:hAnsi="仿宋_GB2312" w:eastAsia="仿宋_GB2312" w:cs="Times New Roman"/>
          <w:color w:val="auto"/>
          <w:spacing w:val="0"/>
          <w:kern w:val="0"/>
          <w:position w:val="0"/>
          <w:sz w:val="32"/>
          <w:szCs w:val="20"/>
          <w:lang w:val="en-US" w:eastAsia="zh-CN"/>
        </w:rPr>
        <w:t>，现就开展2024年度乳山市机动车检测机构“双随机、一公开”部门联合检查工作，制定本方案。</w:t>
      </w:r>
    </w:p>
    <w:p w14:paraId="66C779E6"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 w:val="0"/>
        <w:bidi w:val="0"/>
        <w:spacing w:line="580" w:lineRule="exact"/>
        <w:ind w:leftChars="0" w:firstLine="640" w:firstLineChars="200"/>
        <w:textAlignment w:val="auto"/>
        <w:rPr>
          <w:rFonts w:hint="eastAsia" w:ascii="黑体" w:hAnsi="黑体" w:eastAsia="黑体" w:cs="黑体"/>
          <w:bCs/>
          <w:spacing w:val="0"/>
          <w:kern w:val="0"/>
          <w:position w:val="0"/>
          <w:sz w:val="32"/>
          <w:szCs w:val="32"/>
        </w:rPr>
      </w:pPr>
      <w:bookmarkStart w:id="1" w:name="bookmark4"/>
      <w:r>
        <w:rPr>
          <w:rFonts w:hint="eastAsia" w:ascii="黑体" w:hAnsi="黑体" w:eastAsia="黑体" w:cs="黑体"/>
          <w:bCs/>
          <w:spacing w:val="0"/>
          <w:kern w:val="0"/>
          <w:position w:val="0"/>
          <w:sz w:val="32"/>
          <w:szCs w:val="32"/>
        </w:rPr>
        <w:t>一、工作原则及目标</w:t>
      </w:r>
    </w:p>
    <w:p w14:paraId="1651347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pacing w:line="580" w:lineRule="exact"/>
        <w:ind w:leftChars="0" w:firstLine="640" w:firstLineChars="200"/>
        <w:jc w:val="both"/>
        <w:textAlignment w:val="auto"/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TW" w:eastAsia="zh-CN" w:bidi="ar-SA"/>
        </w:rPr>
      </w:pP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TW" w:eastAsia="zh-CN" w:bidi="ar-SA"/>
        </w:rPr>
        <w:t>坚持“依法监管、疏堵结合、从严查处”的原则，通过“双随机、一公开”监督抽查，规范一批、查处一批、曝光一批不按标准检验、超范围检验、弄虚作假、出具虚假检验报告的机动车检验机构，切实净化机动车检验市场秩序，规范机构的检验和服务行为。</w:t>
      </w:r>
    </w:p>
    <w:p w14:paraId="45297EEA">
      <w:pPr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Chars="0" w:right="0" w:firstLine="640" w:firstLineChars="200"/>
        <w:jc w:val="both"/>
        <w:textAlignment w:val="auto"/>
        <w:rPr>
          <w:rFonts w:hint="eastAsia" w:ascii="黑体" w:hAnsi="黑体" w:eastAsia="黑体" w:cs="黑体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黑体" w:hAnsi="黑体" w:eastAsia="黑体" w:cs="黑体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检查对象及时间</w:t>
      </w:r>
    </w:p>
    <w:p w14:paraId="76E3B5D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pacing w:line="580" w:lineRule="exact"/>
        <w:ind w:leftChars="0" w:firstLine="640" w:firstLineChars="200"/>
        <w:jc w:val="both"/>
        <w:textAlignment w:val="auto"/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TW" w:eastAsia="zh-CN" w:bidi="ar-SA"/>
        </w:rPr>
      </w:pP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TW" w:eastAsia="zh-CN" w:bidi="ar-SA"/>
        </w:rPr>
        <w:t>通过省政府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CN" w:eastAsia="zh-CN" w:bidi="ar-SA"/>
        </w:rPr>
        <w:t>“双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TW" w:eastAsia="zh-CN" w:bidi="ar-SA"/>
        </w:rPr>
        <w:t>随机、一公开”监管平台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,结合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TW" w:eastAsia="zh-CN" w:bidi="ar-SA"/>
        </w:rPr>
        <w:t>信用风险等级</w:t>
      </w:r>
      <w:bookmarkEnd w:id="1"/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TW" w:eastAsia="zh-CN" w:bidi="ar-SA"/>
        </w:rPr>
        <w:t>随机抽取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1家机动车检验机构进行监督检查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position w:val="0"/>
          <w:sz w:val="32"/>
          <w:szCs w:val="22"/>
          <w:lang w:eastAsia="zh-CN" w:bidi="ar-SA"/>
        </w:rPr>
        <w:t>。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TW" w:eastAsia="zh-CN" w:bidi="ar-SA"/>
        </w:rPr>
        <w:t>检查时间</w:t>
      </w:r>
      <w:r>
        <w:rPr>
          <w:rFonts w:hint="default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自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9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TW" w:eastAsia="zh-CN" w:bidi="ar-SA"/>
        </w:rPr>
        <w:t>月开始至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10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TW" w:eastAsia="zh-CN" w:bidi="ar-SA"/>
        </w:rPr>
        <w:t>月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底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TW" w:eastAsia="zh-CN" w:bidi="ar-SA"/>
        </w:rPr>
        <w:t>前结束。</w:t>
      </w:r>
    </w:p>
    <w:p w14:paraId="43592E98">
      <w:pPr>
        <w:pStyle w:val="14"/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tabs>
          <w:tab w:val="left" w:pos="85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80" w:lineRule="exact"/>
        <w:ind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000000"/>
          <w:spacing w:val="0"/>
          <w:w w:val="100"/>
          <w:kern w:val="0"/>
          <w:position w:val="0"/>
          <w:sz w:val="32"/>
          <w:szCs w:val="32"/>
          <w:lang w:val="zh-TW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0"/>
          <w:w w:val="100"/>
          <w:kern w:val="0"/>
          <w:position w:val="0"/>
          <w:sz w:val="32"/>
          <w:szCs w:val="32"/>
          <w:lang w:val="zh-TW" w:eastAsia="zh-CN"/>
        </w:rPr>
        <w:t>三、检查</w:t>
      </w:r>
      <w:bookmarkStart w:id="2" w:name="bookmark9"/>
      <w:r>
        <w:rPr>
          <w:rFonts w:hint="eastAsia" w:ascii="黑体" w:hAnsi="黑体" w:eastAsia="黑体" w:cs="黑体"/>
          <w:b w:val="0"/>
          <w:bCs w:val="0"/>
          <w:color w:val="000000"/>
          <w:spacing w:val="0"/>
          <w:w w:val="100"/>
          <w:kern w:val="0"/>
          <w:position w:val="0"/>
          <w:sz w:val="32"/>
          <w:szCs w:val="32"/>
          <w:lang w:val="zh-TW" w:eastAsia="zh-CN"/>
        </w:rPr>
        <w:t>工作分工</w:t>
      </w:r>
    </w:p>
    <w:p w14:paraId="1744AC9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pacing w:line="580" w:lineRule="exact"/>
        <w:ind w:lef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" w:eastAsia="zh-CN" w:bidi="ar-SA"/>
        </w:rPr>
      </w:pPr>
      <w:r>
        <w:rPr>
          <w:rFonts w:hint="eastAsia" w:ascii="楷体_GB2312" w:hAnsi="楷体_GB2312" w:eastAsia="楷体_GB2312" w:cs="楷体_GB2312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（一）</w:t>
      </w:r>
      <w:bookmarkStart w:id="3" w:name="OLE_LINK5"/>
      <w:r>
        <w:rPr>
          <w:rFonts w:hint="eastAsia" w:ascii="楷体_GB2312" w:hAnsi="楷体_GB2312" w:eastAsia="楷体_GB2312" w:cs="楷体_GB2312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乳山市</w:t>
      </w:r>
      <w:bookmarkEnd w:id="3"/>
      <w:r>
        <w:rPr>
          <w:rFonts w:hint="eastAsia" w:ascii="楷体_GB2312" w:hAnsi="楷体_GB2312" w:eastAsia="楷体_GB2312" w:cs="楷体_GB2312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市场监管局</w:t>
      </w:r>
    </w:p>
    <w:p w14:paraId="1972895D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pacing w:line="580" w:lineRule="exact"/>
        <w:ind w:leftChars="0" w:firstLine="640" w:firstLineChars="200"/>
        <w:jc w:val="both"/>
        <w:textAlignment w:val="auto"/>
        <w:rPr>
          <w:rFonts w:hint="eastAsia" w:ascii="楷体" w:hAnsi="楷体" w:eastAsia="楷体" w:cs="楷体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</w:pPr>
      <w:r>
        <w:rPr>
          <w:rFonts w:hint="eastAsia" w:ascii="仿宋_GB2312" w:hAnsi="楷体_GB2312" w:eastAsia="仿宋_GB2312" w:cs="楷体_GB2312"/>
          <w:color w:val="auto"/>
          <w:spacing w:val="0"/>
          <w:kern w:val="0"/>
          <w:position w:val="0"/>
          <w:sz w:val="32"/>
          <w:szCs w:val="22"/>
          <w:lang w:val="en-US" w:eastAsia="zh-CN" w:bidi="ar-SA"/>
        </w:rPr>
        <w:t>按照《检验检测机构监督管理办法》(市场监管总局令第39号)、《检验检测机构资质认定管理办法》(原质检总局令163号)等要求，重点对机动车检验机构持续符合相应条件和要求、遵守从业规范、开展检测活动以及统计数据等；检查检测机构合规性检验行为进行监督检查。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position w:val="0"/>
          <w:sz w:val="32"/>
          <w:szCs w:val="22"/>
          <w:lang w:val="en-US" w:eastAsia="zh-CN" w:bidi="ar-SA"/>
        </w:rPr>
        <w:br w:type="textWrapping"/>
      </w:r>
      <w:r>
        <w:rPr>
          <w:rFonts w:hint="eastAsia" w:ascii="仿宋_GB2312" w:hAnsi="仿宋_GB2312" w:eastAsia="仿宋_GB2312" w:cs="仿宋_GB2312"/>
          <w:spacing w:val="0"/>
          <w:kern w:val="0"/>
          <w:position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" w:hAnsi="楷体" w:eastAsia="楷体" w:cs="楷体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 xml:space="preserve"> </w:t>
      </w:r>
      <w:r>
        <w:rPr>
          <w:rFonts w:hint="eastAsia" w:ascii="楷体_GB2312" w:hAnsi="楷体_GB2312" w:eastAsia="楷体_GB2312" w:cs="楷体_GB2312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（二）乳山市</w:t>
      </w:r>
      <w:bookmarkStart w:id="4" w:name="OLE_LINK7"/>
      <w:r>
        <w:rPr>
          <w:rFonts w:hint="eastAsia" w:ascii="楷体_GB2312" w:hAnsi="楷体_GB2312" w:eastAsia="楷体_GB2312" w:cs="楷体_GB2312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公安</w:t>
      </w:r>
      <w:bookmarkEnd w:id="4"/>
      <w:r>
        <w:rPr>
          <w:rFonts w:hint="eastAsia" w:ascii="楷体_GB2312" w:hAnsi="楷体_GB2312" w:eastAsia="楷体_GB2312" w:cs="楷体_GB2312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局</w:t>
      </w:r>
    </w:p>
    <w:p w14:paraId="7E46C86C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pacing w:line="580" w:lineRule="exact"/>
        <w:ind w:leftChars="0" w:firstLine="640" w:firstLineChars="200"/>
        <w:jc w:val="both"/>
        <w:textAlignment w:val="auto"/>
        <w:rPr>
          <w:rFonts w:hint="eastAsia" w:ascii="楷体" w:hAnsi="楷体" w:eastAsia="楷体" w:cs="楷体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</w:pPr>
      <w:r>
        <w:rPr>
          <w:rFonts w:hint="eastAsia" w:ascii="仿宋_GB2312" w:hAnsi="楷体_GB2312" w:eastAsia="仿宋_GB2312" w:cs="楷体_GB2312"/>
          <w:color w:val="auto"/>
          <w:spacing w:val="0"/>
          <w:kern w:val="0"/>
          <w:position w:val="0"/>
          <w:sz w:val="32"/>
          <w:szCs w:val="22"/>
          <w:lang w:val="en-US" w:eastAsia="zh-CN" w:bidi="ar-SA"/>
        </w:rPr>
        <w:t>按照《道路交通安全法》等要求，重点对机动车检验机构是否存在对未经检验、替检、擅自减少检验项目、降低检验标准等检验机动车出具虚假检验检测结果的违法行为；是否为检测不合格的机动车出具检验合格证明进行监督检查。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position w:val="0"/>
          <w:sz w:val="32"/>
          <w:szCs w:val="22"/>
          <w:lang w:val="en-US" w:eastAsia="zh-CN" w:bidi="ar-SA"/>
        </w:rPr>
        <w:br w:type="textWrapping"/>
      </w:r>
      <w:r>
        <w:rPr>
          <w:rFonts w:hint="eastAsia" w:ascii="仿宋_GB2312" w:hAnsi="仿宋_GB2312" w:eastAsia="仿宋_GB2312" w:cs="仿宋_GB2312"/>
          <w:spacing w:val="0"/>
          <w:kern w:val="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eastAsia" w:ascii="楷体" w:hAnsi="楷体" w:eastAsia="楷体" w:cs="楷体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 xml:space="preserve">  </w:t>
      </w:r>
      <w:r>
        <w:rPr>
          <w:rFonts w:hint="eastAsia" w:ascii="楷体_GB2312" w:hAnsi="楷体_GB2312" w:eastAsia="楷体_GB2312" w:cs="楷体_GB2312"/>
          <w:color w:val="000000"/>
          <w:spacing w:val="0"/>
          <w:w w:val="100"/>
          <w:kern w:val="0"/>
          <w:position w:val="0"/>
          <w:sz w:val="32"/>
          <w:szCs w:val="22"/>
          <w:shd w:val="clear" w:color="auto" w:fill="auto"/>
          <w:lang w:val="en-US" w:eastAsia="zh-CN" w:bidi="ar-SA"/>
        </w:rPr>
        <w:t>（三）威海市生态环境局乳山分局</w:t>
      </w:r>
    </w:p>
    <w:p w14:paraId="228B0193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pacing w:line="580" w:lineRule="exact"/>
        <w:ind w:leftChars="0" w:firstLine="640" w:firstLineChars="200"/>
        <w:jc w:val="both"/>
        <w:textAlignment w:val="auto"/>
        <w:rPr>
          <w:rFonts w:hint="eastAsia" w:ascii="黑体" w:hAnsi="黑体" w:eastAsia="黑体" w:cs="黑体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仿宋_GB2312" w:hAnsi="楷体_GB2312" w:eastAsia="仿宋_GB2312" w:cs="楷体_GB2312"/>
          <w:color w:val="auto"/>
          <w:spacing w:val="0"/>
          <w:kern w:val="0"/>
          <w:position w:val="0"/>
          <w:sz w:val="32"/>
          <w:szCs w:val="22"/>
          <w:lang w:val="en-US" w:eastAsia="zh-CN" w:bidi="ar-SA"/>
        </w:rPr>
        <w:t>按照《中华人民共和国大气污染防治法》等要求，重点对机动车检验机构持续符合相应条件和要求、遵守从业规范、开展检测活动以及统计数据等；严查未经检测，伪造、变造原始数据、记录等虚假检测行为进行监督检查。</w:t>
      </w:r>
      <w:bookmarkEnd w:id="2"/>
    </w:p>
    <w:p w14:paraId="5BFC8888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="0" w:leftChars="0" w:right="0" w:firstLine="640" w:firstLineChars="200"/>
        <w:jc w:val="both"/>
        <w:textAlignment w:val="auto"/>
        <w:rPr>
          <w:rFonts w:hint="eastAsia" w:ascii="黑体" w:hAnsi="黑体" w:eastAsia="黑体" w:cs="黑体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黑体" w:hAnsi="黑体" w:eastAsia="黑体" w:cs="黑体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四、检查流程</w:t>
      </w:r>
    </w:p>
    <w:p w14:paraId="1DF682A4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="0" w:leftChars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楷体_GB2312" w:hAnsi="楷体_GB2312" w:eastAsia="楷体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（一）抽取检查对象名单</w:t>
      </w:r>
    </w:p>
    <w:p w14:paraId="323F494F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="0" w:leftChars="0" w:right="0" w:firstLine="640" w:firstLineChars="200"/>
        <w:jc w:val="both"/>
        <w:textAlignment w:val="auto"/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本次抽查涉及的检查对象，由市场监管局统一抽取，并通过省工作平台自动派发各单位。各单位自行通过工作账号登录省工作平台，获取检查对象名单。</w:t>
      </w:r>
    </w:p>
    <w:p w14:paraId="1F274E43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楷体_GB2312" w:hAnsi="楷体_GB2312" w:eastAsia="楷体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（二）随机匹配检查人员</w:t>
      </w:r>
    </w:p>
    <w:p w14:paraId="62D92E13">
      <w:pPr>
        <w:keepNext w:val="0"/>
        <w:keepLines w:val="0"/>
        <w:pageBreakBefore w:val="0"/>
        <w:widowControl w:val="0"/>
        <w:kinsoku/>
        <w:wordWrap/>
        <w:topLinePunct w:val="0"/>
        <w:autoSpaceDE/>
        <w:bidi w:val="0"/>
        <w:snapToGrid w:val="0"/>
        <w:spacing w:line="580" w:lineRule="exact"/>
        <w:ind w:leftChars="0" w:firstLine="640" w:firstLineChars="200"/>
        <w:textAlignment w:val="auto"/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各单位将检查人员名单按照全省统一的数据标准和格式规范，录入省工作平台，并进行检查对象与检查人员的随机匹配。各单位在人员匹配结束后，要将人员匹配情况、检查人员联系方式报送至牵头单位，由牵头单位检查人员任组长，组织开展联合检查。</w:t>
      </w:r>
    </w:p>
    <w:p w14:paraId="554EE14A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="0" w:leftChars="0" w:right="0" w:firstLine="640" w:firstLineChars="200"/>
        <w:jc w:val="both"/>
        <w:textAlignment w:val="auto"/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抽取的检查人员原则上不得更换，但因岗位调整、工作冲突、身体健康状况等特殊情况无法继续履行检查任务的，经部门分管领导同意后，可委托其他检查人员进行检查。</w:t>
      </w:r>
      <w:bookmarkStart w:id="5" w:name="bookmark14"/>
    </w:p>
    <w:bookmarkEnd w:id="5"/>
    <w:p w14:paraId="38EA9220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楷体_GB2312" w:hAnsi="楷体_GB2312" w:eastAsia="楷体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（三）开展现场检查</w:t>
      </w:r>
    </w:p>
    <w:p w14:paraId="3984C2A6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现场检查要严格按照各执法类别相关法律法规和工作程序进行，各检查组按照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CN" w:eastAsia="zh-CN" w:bidi="ar-SA"/>
        </w:rPr>
        <w:t>“进一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次门、查多项事”的要求，负责抽查任务实施期间的组织协调管理，组员应当服从、配合组长的安排，按照各自分工完成抽查任务。开展现场检查前，检查组长应汇总参检单位检查需求，根据工作需要提前通知检查对象做好迎检准备工作。检查过程中，检查人员按照工作职责有序开展检查，分别进行现场检查记录并填写检查记录表。</w:t>
      </w:r>
    </w:p>
    <w:p w14:paraId="595202BC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楷体_GB2312" w:hAnsi="楷体_GB2312" w:eastAsia="楷体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en" w:eastAsia="zh-CN" w:bidi="ar-SA"/>
        </w:rPr>
        <w:t>(四）</w:t>
      </w:r>
      <w:r>
        <w:rPr>
          <w:rFonts w:hint="eastAsia" w:ascii="楷体_GB2312" w:hAnsi="楷体_GB2312" w:eastAsia="楷体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录入检查结果</w:t>
      </w:r>
    </w:p>
    <w:p w14:paraId="58EFECC6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按照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CN" w:eastAsia="zh-CN" w:bidi="ar-SA"/>
        </w:rPr>
        <w:t>“谁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检查、谁录入、谁公示”的原则，于检查期限结束前各自录入省工作平台。检查结果一经录入，不得随意修改。检查结果确有错误的，经所在单位主要负责人签字确认后及时更正。检查结果将自动记于企业名下，并通过国家企业信用信息公示系统（山东）向社会公示。</w:t>
      </w:r>
    </w:p>
    <w:p w14:paraId="35B5CBE2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Chars="0" w:right="0" w:rightChars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楷体_GB2312" w:hAnsi="楷体_GB2312" w:eastAsia="楷体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（五）检查结果后续处理</w:t>
      </w:r>
    </w:p>
    <w:p w14:paraId="4F6A8895"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Chars="0" w:right="0" w:rightChars="0" w:firstLine="640" w:firstLineChars="200"/>
        <w:jc w:val="both"/>
        <w:textAlignment w:val="auto"/>
        <w:rPr>
          <w:rFonts w:hint="eastAsia" w:ascii="仿宋_GB2312" w:hAnsi="楷体_GB2312" w:eastAsia="仿宋_GB2312" w:cs="楷体_GB2312"/>
          <w:color w:val="auto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仿宋_GB2312" w:hAnsi="楷体_GB2312" w:eastAsia="仿宋_GB2312" w:cs="楷体_GB2312"/>
          <w:color w:val="auto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对检查中发现问题的检查对象，相关单位要依法采取列入经营异常名录、立案调查等后续处理措施，防止监管脱节。需要作出一般性行政处罚的，各相关单位要将行政处罚信息录入国家企业信用信息公示系统（山东）协同监管平台。</w:t>
      </w:r>
    </w:p>
    <w:p w14:paraId="7B291D61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="0" w:leftChars="0" w:right="0" w:firstLine="640" w:firstLineChars="200"/>
        <w:jc w:val="both"/>
        <w:textAlignment w:val="auto"/>
        <w:rPr>
          <w:rFonts w:hint="eastAsia" w:ascii="黑体" w:hAnsi="黑体" w:eastAsia="黑体" w:cs="黑体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黑体" w:hAnsi="黑体" w:eastAsia="黑体" w:cs="黑体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五、工作要求</w:t>
      </w:r>
    </w:p>
    <w:p w14:paraId="717C23E3"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 w:val="0"/>
        <w:topLinePunct w:val="0"/>
        <w:autoSpaceDE/>
        <w:autoSpaceDN/>
        <w:bidi w:val="0"/>
        <w:spacing w:before="0" w:after="0" w:line="580" w:lineRule="exact"/>
        <w:ind w:left="0" w:leftChars="0" w:right="0" w:firstLine="640" w:firstLineChars="200"/>
        <w:jc w:val="both"/>
        <w:textAlignment w:val="auto"/>
        <w:rPr>
          <w:rFonts w:hint="eastAsia" w:ascii="仿宋_GB2312" w:hAnsi="楷体_GB2312" w:eastAsia="仿宋_GB2312" w:cs="楷体_GB2312"/>
          <w:color w:val="FF0000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</w:pP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各单位要充分认识部门联合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val="zh-CN" w:eastAsia="zh-CN" w:bidi="ar-SA"/>
        </w:rPr>
        <w:t>“双</w:t>
      </w:r>
      <w:r>
        <w:rPr>
          <w:rFonts w:hint="eastAsia" w:ascii="仿宋_GB2312" w:hAnsi="楷体_GB2312" w:eastAsia="仿宋_GB2312" w:cs="楷体_GB2312"/>
          <w:spacing w:val="0"/>
          <w:w w:val="100"/>
          <w:kern w:val="0"/>
          <w:position w:val="0"/>
          <w:sz w:val="32"/>
          <w:szCs w:val="22"/>
          <w:shd w:val="clear" w:color="auto" w:fill="auto"/>
          <w:lang w:eastAsia="zh-CN" w:bidi="ar-SA"/>
        </w:rPr>
        <w:t>随机、一公开”监管工作的重要性，加强组织领导，统筹执法资源，强化业务培训，提升检查人员业务素养和执法水平。要加大宣传力度，扩大社会认知度和影响力，营造良好的舆论氛围。联合检查部门间要各负其责，互联配合，密切协作，积极沟通，提高整体工作效能。</w:t>
      </w:r>
    </w:p>
    <w:p w14:paraId="637F3D14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leftChars="0"/>
        <w:textAlignment w:val="auto"/>
        <w:rPr>
          <w:rFonts w:hint="default" w:ascii="Times New Roman" w:hAnsi="Times New Roman" w:eastAsia="仿宋_GB2312" w:cs="Times New Roman"/>
          <w:color w:val="000000"/>
          <w:spacing w:val="0"/>
          <w:kern w:val="0"/>
          <w:position w:val="0"/>
          <w:sz w:val="32"/>
          <w:szCs w:val="32"/>
          <w:lang w:val="zh-TW" w:eastAsia="zh-CN" w:bidi="ar"/>
        </w:rPr>
      </w:pPr>
      <w:bookmarkStart w:id="6" w:name="OLE_LINK8"/>
      <w:bookmarkEnd w:id="6"/>
    </w:p>
    <w:p w14:paraId="283290A0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0" w:lineRule="exact"/>
        <w:ind w:leftChars="0"/>
        <w:textAlignment w:val="auto"/>
        <w:rPr>
          <w:rFonts w:hint="default" w:ascii="Times New Roman" w:hAnsi="Times New Roman" w:eastAsia="仿宋_GB2312" w:cs="Times New Roman"/>
          <w:color w:val="000000"/>
          <w:spacing w:val="0"/>
          <w:kern w:val="0"/>
          <w:position w:val="0"/>
          <w:sz w:val="32"/>
          <w:szCs w:val="32"/>
          <w:lang w:val="zh-TW" w:eastAsia="zh-CN" w:bidi="ar"/>
        </w:rPr>
      </w:pPr>
    </w:p>
    <w:p w14:paraId="662A1BAD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0" w:leftChars="0" w:right="0" w:rightChars="0" w:firstLine="320" w:firstLineChars="100"/>
        <w:textAlignment w:val="auto"/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 xml:space="preserve">乳山市市场监督管理局    </w:t>
      </w:r>
      <w:r>
        <w:rPr>
          <w:rFonts w:hint="eastAsia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 xml:space="preserve">  乳山市公安局</w:t>
      </w:r>
    </w:p>
    <w:p w14:paraId="24D81275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0" w:leftChars="0" w:right="0" w:rightChars="0" w:firstLine="0" w:firstLineChars="0"/>
        <w:textAlignment w:val="auto"/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</w:pPr>
      <w:bookmarkStart w:id="8" w:name="_GoBack"/>
      <w:bookmarkEnd w:id="8"/>
    </w:p>
    <w:p w14:paraId="3D1564FF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0" w:leftChars="0" w:right="0" w:rightChars="0" w:firstLine="0" w:firstLineChars="0"/>
        <w:textAlignment w:val="auto"/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</w:pPr>
    </w:p>
    <w:p w14:paraId="75954857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left="0" w:leftChars="0" w:right="0" w:rightChars="0" w:firstLine="640" w:firstLineChars="200"/>
        <w:textAlignment w:val="auto"/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 xml:space="preserve">                 </w:t>
      </w:r>
      <w:r>
        <w:rPr>
          <w:rFonts w:hint="eastAsia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 xml:space="preserve">    </w:t>
      </w:r>
      <w:bookmarkStart w:id="7" w:name="OLE_LINK10"/>
      <w:r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position w:val="0"/>
          <w:sz w:val="32"/>
          <w:szCs w:val="32"/>
          <w:lang w:val="en-US" w:eastAsia="zh-CN"/>
        </w:rPr>
        <w:t>威海市生态环境局乳山分局</w:t>
      </w:r>
    </w:p>
    <w:bookmarkEnd w:id="7"/>
    <w:p w14:paraId="4F005DD7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ind w:right="0" w:rightChars="0" w:firstLine="4480" w:firstLineChars="1400"/>
        <w:textAlignment w:val="auto"/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Cs w:val="0"/>
          <w:color w:val="auto"/>
          <w:sz w:val="32"/>
          <w:szCs w:val="32"/>
          <w:lang w:val="en-US" w:eastAsia="zh-CN"/>
        </w:rPr>
        <w:t>2024年9月14日</w:t>
      </w:r>
    </w:p>
    <w:p w14:paraId="4A21B17B">
      <w:pPr>
        <w:pStyle w:val="2"/>
        <w:rPr>
          <w:rFonts w:hint="eastAsia" w:ascii="仿宋_GB2312" w:hAnsi="仿宋_GB2312" w:eastAsia="仿宋_GB2312" w:cs="仿宋_GB2312"/>
          <w:color w:val="auto"/>
          <w:spacing w:val="-5"/>
          <w:kern w:val="2"/>
          <w:sz w:val="32"/>
          <w:szCs w:val="32"/>
          <w:lang w:val="en-US" w:eastAsia="zh-CN" w:bidi="ar-SA"/>
        </w:rPr>
      </w:pPr>
    </w:p>
    <w:p w14:paraId="07FB6334">
      <w:pPr>
        <w:pStyle w:val="2"/>
        <w:rPr>
          <w:rFonts w:hint="eastAsia" w:ascii="仿宋_GB2312" w:hAnsi="仿宋_GB2312" w:eastAsia="仿宋_GB2312" w:cs="仿宋_GB2312"/>
          <w:color w:val="auto"/>
          <w:spacing w:val="-5"/>
          <w:kern w:val="2"/>
          <w:sz w:val="32"/>
          <w:szCs w:val="32"/>
          <w:lang w:val="en-US" w:eastAsia="zh-CN" w:bidi="ar-SA"/>
        </w:rPr>
      </w:pPr>
    </w:p>
    <w:p w14:paraId="05C0CCAC">
      <w:pPr>
        <w:pStyle w:val="2"/>
        <w:rPr>
          <w:rFonts w:hint="eastAsia" w:ascii="仿宋_GB2312" w:hAnsi="仿宋_GB2312" w:eastAsia="仿宋_GB2312" w:cs="仿宋_GB2312"/>
          <w:color w:val="auto"/>
          <w:spacing w:val="-5"/>
          <w:kern w:val="2"/>
          <w:sz w:val="32"/>
          <w:szCs w:val="32"/>
          <w:lang w:val="en-US" w:eastAsia="zh-CN" w:bidi="ar-SA"/>
        </w:rPr>
      </w:pPr>
    </w:p>
    <w:p w14:paraId="48750784">
      <w:pPr>
        <w:keepNext w:val="0"/>
        <w:keepLines w:val="0"/>
        <w:pageBreakBefore w:val="0"/>
        <w:widowControl w:val="0"/>
        <w:pBdr>
          <w:top w:val="single" w:color="auto" w:sz="4" w:space="0"/>
          <w:bottom w:val="single" w:color="auto" w:sz="4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280" w:firstLineChars="100"/>
        <w:jc w:val="both"/>
        <w:textAlignment w:val="center"/>
        <w:rPr>
          <w:rFonts w:hint="default" w:ascii="Times New Roman" w:hAnsi="Times New Roman" w:eastAsia="仿宋_GB2312" w:cs="Times New Roman"/>
          <w:spacing w:val="0"/>
          <w:kern w:val="0"/>
          <w:position w:val="0"/>
          <w:sz w:val="32"/>
          <w:szCs w:val="32"/>
        </w:rPr>
      </w:pPr>
      <w:r>
        <w:rPr>
          <w:rFonts w:hint="eastAsia" w:ascii="宋体" w:hAnsi="宋体" w:eastAsia="仿宋_GB2312"/>
          <w:color w:val="auto"/>
          <w:sz w:val="28"/>
          <w:szCs w:val="28"/>
          <w:lang w:val="en-US" w:eastAsia="zh-CN"/>
        </w:rPr>
        <w:t xml:space="preserve">乳山市市场监督管理局办公室             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 xml:space="preserve"> 2024年</w:t>
      </w:r>
      <w:r>
        <w:rPr>
          <w:rFonts w:hint="eastAsia" w:eastAsia="仿宋_GB2312" w:cs="Times New Roman"/>
          <w:color w:val="auto"/>
          <w:sz w:val="28"/>
          <w:szCs w:val="28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28"/>
          <w:szCs w:val="28"/>
          <w:lang w:val="en-US" w:eastAsia="zh-CN"/>
        </w:rPr>
        <w:t>14</w:t>
      </w:r>
      <w:r>
        <w:rPr>
          <w:rFonts w:hint="eastAsia" w:ascii="宋体" w:hAnsi="宋体" w:eastAsia="仿宋_GB2312"/>
          <w:color w:val="auto"/>
          <w:sz w:val="28"/>
          <w:szCs w:val="28"/>
          <w:lang w:val="en-US" w:eastAsia="zh-CN"/>
        </w:rPr>
        <w:t>日印发</w:t>
      </w:r>
    </w:p>
    <w:sectPr>
      <w:footerReference r:id="rId3" w:type="default"/>
      <w:pgSz w:w="11906" w:h="16838"/>
      <w:pgMar w:top="2268" w:right="1531" w:bottom="1701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4473A8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2B79A50">
                          <w:pPr>
                            <w:pStyle w:val="6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40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2B79A50">
                    <w:pPr>
                      <w:pStyle w:val="6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40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0F661A6"/>
    <w:multiLevelType w:val="singleLevel"/>
    <w:tmpl w:val="90F661A6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FhYTgxMDViZDExMjE0NzhhZTM1NDQ0MDQwNjliOGQifQ=="/>
  </w:docVars>
  <w:rsids>
    <w:rsidRoot w:val="760F10E1"/>
    <w:rsid w:val="00CD7A0A"/>
    <w:rsid w:val="1B4A3A72"/>
    <w:rsid w:val="24427C3F"/>
    <w:rsid w:val="2A2257E3"/>
    <w:rsid w:val="2AA03B95"/>
    <w:rsid w:val="3DFC7529"/>
    <w:rsid w:val="48963DDE"/>
    <w:rsid w:val="552072B9"/>
    <w:rsid w:val="60D76AEC"/>
    <w:rsid w:val="6F464ADF"/>
    <w:rsid w:val="760F1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qFormat="1" w:uiPriority="99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position w:val="-6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9"/>
    <w:pPr>
      <w:spacing w:before="100" w:beforeAutospacing="1" w:after="100" w:afterAutospacing="1"/>
      <w:jc w:val="left"/>
      <w:outlineLvl w:val="1"/>
    </w:pPr>
    <w:rPr>
      <w:rFonts w:hint="eastAsia" w:ascii="宋体" w:hAnsi="宋体"/>
      <w:b/>
      <w:kern w:val="0"/>
      <w:sz w:val="36"/>
      <w:szCs w:val="36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4">
    <w:name w:val="Normal Indent"/>
    <w:basedOn w:val="1"/>
    <w:unhideWhenUsed/>
    <w:qFormat/>
    <w:uiPriority w:val="99"/>
    <w:pPr>
      <w:ind w:firstLine="420" w:firstLineChars="200"/>
    </w:pPr>
  </w:style>
  <w:style w:type="paragraph" w:styleId="5">
    <w:name w:val="Body Text Indent"/>
    <w:basedOn w:val="1"/>
    <w:next w:val="4"/>
    <w:unhideWhenUsed/>
    <w:qFormat/>
    <w:uiPriority w:val="99"/>
    <w:pPr>
      <w:spacing w:after="120"/>
      <w:ind w:left="420" w:left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footnote text"/>
    <w:basedOn w:val="1"/>
    <w:next w:val="1"/>
    <w:semiHidden/>
    <w:unhideWhenUsed/>
    <w:qFormat/>
    <w:uiPriority w:val="99"/>
    <w:pPr>
      <w:snapToGrid w:val="0"/>
      <w:jc w:val="left"/>
    </w:pPr>
    <w:rPr>
      <w:sz w:val="18"/>
      <w:szCs w:val="18"/>
    </w:rPr>
  </w:style>
  <w:style w:type="paragraph" w:styleId="9">
    <w:name w:val="Body Text First Indent 2"/>
    <w:basedOn w:val="5"/>
    <w:unhideWhenUsed/>
    <w:qFormat/>
    <w:uiPriority w:val="99"/>
    <w:pPr>
      <w:ind w:firstLine="420" w:firstLineChars="200"/>
    </w:pPr>
  </w:style>
  <w:style w:type="table" w:styleId="11">
    <w:name w:val="Table Grid"/>
    <w:basedOn w:val="10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Body text|4"/>
    <w:basedOn w:val="1"/>
    <w:qFormat/>
    <w:uiPriority w:val="0"/>
    <w:pPr>
      <w:widowControl w:val="0"/>
      <w:shd w:val="clear" w:color="auto" w:fill="auto"/>
      <w:spacing w:after="300" w:line="448" w:lineRule="exact"/>
      <w:jc w:val="center"/>
    </w:pPr>
    <w:rPr>
      <w:rFonts w:ascii="MingLiU" w:hAnsi="MingLiU" w:eastAsia="MingLiU" w:cs="MingLiU"/>
      <w:sz w:val="28"/>
      <w:szCs w:val="28"/>
      <w:u w:val="none"/>
      <w:shd w:val="clear" w:color="auto" w:fill="auto"/>
      <w:lang w:val="zh-TW" w:eastAsia="zh-TW" w:bidi="zh-TW"/>
    </w:rPr>
  </w:style>
  <w:style w:type="paragraph" w:customStyle="1" w:styleId="14">
    <w:name w:val="Body text|1"/>
    <w:basedOn w:val="1"/>
    <w:qFormat/>
    <w:uiPriority w:val="0"/>
    <w:pPr>
      <w:widowControl w:val="0"/>
      <w:shd w:val="clear" w:color="auto" w:fill="auto"/>
      <w:spacing w:line="420" w:lineRule="auto"/>
      <w:ind w:firstLine="400"/>
    </w:pPr>
    <w:rPr>
      <w:rFonts w:ascii="MingLiU" w:hAnsi="MingLiU" w:eastAsia="MingLiU" w:cs="MingLiU"/>
      <w:sz w:val="19"/>
      <w:szCs w:val="19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1697</Words>
  <Characters>1728</Characters>
  <Lines>0</Lines>
  <Paragraphs>0</Paragraphs>
  <TotalTime>13</TotalTime>
  <ScaleCrop>false</ScaleCrop>
  <LinksUpToDate>false</LinksUpToDate>
  <CharactersWithSpaces>1789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2024-09-14T00:02:00Z</dcterms:created>
  <dc:creator>程京</dc:creator>
  <cp:lastModifiedBy>横霜晚、断念残。</cp:lastModifiedBy>
  <dcterms:modified xsi:type="dcterms:W3CDTF">2024-11-04T08:01:50Z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BEF0FBB1517F4B3481F26FB4B583D3D2_13</vt:lpwstr>
  </property>
</Properties>
</file>