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09069">
      <w:pPr>
        <w:keepNext w:val="0"/>
        <w:keepLines w:val="0"/>
        <w:pageBreakBefore w:val="0"/>
        <w:wordWrap/>
        <w:topLinePunct w:val="0"/>
        <w:autoSpaceDE w:val="0"/>
        <w:autoSpaceDN w:val="0"/>
        <w:bidi w:val="0"/>
        <w:adjustRightInd w:val="0"/>
        <w:snapToGrid w:val="0"/>
        <w:spacing w:line="560" w:lineRule="exact"/>
        <w:jc w:val="center"/>
        <w:textAlignment w:val="baseline"/>
        <w:outlineLvl w:val="0"/>
        <w:rPr>
          <w:rFonts w:hint="eastAsia" w:ascii="方正小标宋简体" w:hAnsi="方正小标宋简体" w:eastAsia="方正小标宋简体" w:cs="方正小标宋简体"/>
          <w:spacing w:val="9"/>
          <w:sz w:val="44"/>
          <w:szCs w:val="44"/>
        </w:rPr>
      </w:pPr>
      <w:r>
        <w:rPr>
          <w:rFonts w:hint="eastAsia" w:ascii="方正小标宋简体" w:hAnsi="方正小标宋简体" w:eastAsia="方正小标宋简体" w:cs="方正小标宋简体"/>
          <w:spacing w:val="16"/>
          <w:sz w:val="44"/>
          <w:szCs w:val="44"/>
          <w:lang w:val="en-US" w:eastAsia="zh-CN"/>
        </w:rPr>
        <w:t>乳山</w:t>
      </w:r>
      <w:r>
        <w:rPr>
          <w:rFonts w:hint="eastAsia" w:ascii="方正小标宋简体" w:hAnsi="方正小标宋简体" w:eastAsia="方正小标宋简体" w:cs="方正小标宋简体"/>
          <w:spacing w:val="9"/>
          <w:sz w:val="44"/>
          <w:szCs w:val="44"/>
        </w:rPr>
        <w:t>市噪声敏感建筑物集中区域划定方案</w:t>
      </w:r>
    </w:p>
    <w:p w14:paraId="73B9998D">
      <w:pPr>
        <w:keepNext w:val="0"/>
        <w:keepLines w:val="0"/>
        <w:pageBreakBefore w:val="0"/>
        <w:wordWrap/>
        <w:topLinePunct w:val="0"/>
        <w:autoSpaceDE w:val="0"/>
        <w:autoSpaceDN w:val="0"/>
        <w:bidi w:val="0"/>
        <w:adjustRightInd w:val="0"/>
        <w:snapToGrid w:val="0"/>
        <w:spacing w:line="560" w:lineRule="exact"/>
        <w:jc w:val="center"/>
        <w:textAlignment w:val="baseline"/>
        <w:outlineLvl w:val="0"/>
        <w:rPr>
          <w:rFonts w:hint="eastAsia" w:ascii="方正小标宋简体" w:hAnsi="方正小标宋简体" w:eastAsia="方正小标宋简体" w:cs="方正小标宋简体"/>
          <w:spacing w:val="9"/>
          <w:sz w:val="44"/>
          <w:szCs w:val="44"/>
          <w:lang w:eastAsia="zh-CN"/>
        </w:rPr>
      </w:pPr>
      <w:r>
        <w:rPr>
          <w:rFonts w:hint="eastAsia" w:ascii="方正小标宋简体" w:hAnsi="方正小标宋简体" w:eastAsia="方正小标宋简体" w:cs="方正小标宋简体"/>
          <w:spacing w:val="9"/>
          <w:sz w:val="44"/>
          <w:szCs w:val="44"/>
          <w:lang w:eastAsia="zh-CN"/>
        </w:rPr>
        <w:t>（</w:t>
      </w:r>
      <w:r>
        <w:rPr>
          <w:rFonts w:hint="eastAsia" w:ascii="方正小标宋简体" w:hAnsi="方正小标宋简体" w:eastAsia="方正小标宋简体" w:cs="方正小标宋简体"/>
          <w:spacing w:val="9"/>
          <w:sz w:val="44"/>
          <w:szCs w:val="44"/>
        </w:rPr>
        <w:t>试行</w:t>
      </w:r>
      <w:r>
        <w:rPr>
          <w:rFonts w:hint="eastAsia" w:ascii="方正小标宋简体" w:hAnsi="方正小标宋简体" w:eastAsia="方正小标宋简体" w:cs="方正小标宋简体"/>
          <w:spacing w:val="9"/>
          <w:sz w:val="44"/>
          <w:szCs w:val="44"/>
          <w:lang w:eastAsia="zh-CN"/>
        </w:rPr>
        <w:t>）（征求意见稿）</w:t>
      </w:r>
    </w:p>
    <w:p w14:paraId="76B3F339">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rPr>
      </w:pPr>
    </w:p>
    <w:p w14:paraId="3FD01502">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72"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8"/>
          <w:sz w:val="32"/>
          <w:szCs w:val="32"/>
        </w:rPr>
        <w:t>为进一步</w:t>
      </w:r>
      <w:r>
        <w:rPr>
          <w:rFonts w:hint="default" w:ascii="Times New Roman" w:hAnsi="Times New Roman" w:eastAsia="仿宋_GB2312" w:cs="Times New Roman"/>
          <w:spacing w:val="6"/>
          <w:sz w:val="32"/>
          <w:szCs w:val="32"/>
        </w:rPr>
        <w:t>提</w:t>
      </w:r>
      <w:r>
        <w:rPr>
          <w:rFonts w:hint="default" w:ascii="Times New Roman" w:hAnsi="Times New Roman" w:eastAsia="仿宋_GB2312" w:cs="Times New Roman"/>
          <w:spacing w:val="4"/>
          <w:sz w:val="32"/>
          <w:szCs w:val="32"/>
        </w:rPr>
        <w:t>升我市声环境质量，持续保障人民群众安静居住</w:t>
      </w:r>
      <w:r>
        <w:rPr>
          <w:rFonts w:hint="default" w:ascii="Times New Roman" w:hAnsi="Times New Roman" w:eastAsia="仿宋_GB2312" w:cs="Times New Roman"/>
          <w:spacing w:val="10"/>
          <w:sz w:val="32"/>
          <w:szCs w:val="32"/>
        </w:rPr>
        <w:t>环境</w:t>
      </w:r>
      <w:r>
        <w:rPr>
          <w:rFonts w:hint="default" w:ascii="Times New Roman" w:hAnsi="Times New Roman" w:eastAsia="仿宋_GB2312" w:cs="Times New Roman"/>
          <w:spacing w:val="8"/>
          <w:sz w:val="32"/>
          <w:szCs w:val="32"/>
        </w:rPr>
        <w:t>，</w:t>
      </w:r>
      <w:r>
        <w:rPr>
          <w:rFonts w:hint="default" w:ascii="Times New Roman" w:hAnsi="Times New Roman" w:eastAsia="仿宋_GB2312" w:cs="Times New Roman"/>
          <w:spacing w:val="5"/>
          <w:sz w:val="32"/>
          <w:szCs w:val="32"/>
        </w:rPr>
        <w:t>依据相关法律法规和《山东省生态环境厅关于推动开展噪</w:t>
      </w:r>
      <w:r>
        <w:rPr>
          <w:rFonts w:hint="default" w:ascii="Times New Roman" w:hAnsi="Times New Roman" w:eastAsia="仿宋_GB2312" w:cs="Times New Roman"/>
          <w:spacing w:val="20"/>
          <w:sz w:val="32"/>
          <w:szCs w:val="32"/>
        </w:rPr>
        <w:t>声</w:t>
      </w:r>
      <w:r>
        <w:rPr>
          <w:rFonts w:hint="default" w:ascii="Times New Roman" w:hAnsi="Times New Roman" w:eastAsia="仿宋_GB2312" w:cs="Times New Roman"/>
          <w:spacing w:val="10"/>
          <w:sz w:val="32"/>
          <w:szCs w:val="32"/>
        </w:rPr>
        <w:t>敏感建筑物集中区域划定和管理试点工作的通知》</w:t>
      </w:r>
      <w:r>
        <w:rPr>
          <w:rFonts w:hint="default" w:ascii="Times New Roman" w:hAnsi="Times New Roman" w:eastAsia="仿宋_GB2312" w:cs="Times New Roman"/>
          <w:spacing w:val="10"/>
          <w:sz w:val="32"/>
          <w:szCs w:val="32"/>
          <w:lang w:eastAsia="zh-CN"/>
        </w:rPr>
        <w:t>（</w:t>
      </w:r>
      <w:r>
        <w:rPr>
          <w:rFonts w:hint="default" w:ascii="Times New Roman" w:hAnsi="Times New Roman" w:eastAsia="仿宋_GB2312" w:cs="Times New Roman"/>
          <w:spacing w:val="10"/>
          <w:sz w:val="32"/>
          <w:szCs w:val="32"/>
        </w:rPr>
        <w:t>鲁环便函</w:t>
      </w:r>
      <w:r>
        <w:rPr>
          <w:rFonts w:hint="default" w:ascii="Times New Roman" w:hAnsi="Times New Roman" w:eastAsia="仿宋_GB2312" w:cs="Times New Roman"/>
          <w:spacing w:val="3"/>
          <w:sz w:val="32"/>
          <w:szCs w:val="32"/>
        </w:rPr>
        <w:t>〔2025〕865号</w:t>
      </w:r>
      <w:r>
        <w:rPr>
          <w:rFonts w:hint="default" w:ascii="Times New Roman" w:hAnsi="Times New Roman" w:eastAsia="仿宋_GB2312" w:cs="Times New Roman"/>
          <w:spacing w:val="3"/>
          <w:sz w:val="32"/>
          <w:szCs w:val="32"/>
          <w:lang w:eastAsia="zh-CN"/>
        </w:rPr>
        <w:t>）、《威海市人民政府办公室关于印发威海市噪声敏感建筑物集中区域划定方案（试行）的通知》（威政办发〔2025〕12号）</w:t>
      </w:r>
      <w:r>
        <w:rPr>
          <w:rFonts w:hint="default" w:ascii="Times New Roman" w:hAnsi="Times New Roman" w:eastAsia="仿宋_GB2312" w:cs="Times New Roman"/>
          <w:spacing w:val="3"/>
          <w:sz w:val="32"/>
          <w:szCs w:val="32"/>
        </w:rPr>
        <w:t>等要求，结合我市实际，制定本方案。</w:t>
      </w:r>
    </w:p>
    <w:p w14:paraId="0751138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8" w:firstLineChars="200"/>
        <w:textAlignment w:val="baseline"/>
        <w:rPr>
          <w:rFonts w:hint="default" w:ascii="Times New Roman" w:hAnsi="Times New Roman" w:eastAsia="黑体" w:cs="Times New Roman"/>
          <w:spacing w:val="7"/>
          <w:position w:val="4"/>
          <w:sz w:val="32"/>
          <w:szCs w:val="32"/>
        </w:rPr>
      </w:pPr>
      <w:r>
        <w:rPr>
          <w:rFonts w:hint="default" w:ascii="Times New Roman" w:hAnsi="Times New Roman" w:eastAsia="黑体" w:cs="Times New Roman"/>
          <w:spacing w:val="7"/>
          <w:position w:val="4"/>
          <w:sz w:val="32"/>
          <w:szCs w:val="32"/>
          <w:lang w:val="en-US" w:eastAsia="zh-CN"/>
        </w:rPr>
        <w:t>一、</w:t>
      </w:r>
      <w:r>
        <w:rPr>
          <w:rFonts w:hint="default" w:ascii="Times New Roman" w:hAnsi="Times New Roman" w:eastAsia="黑体" w:cs="Times New Roman"/>
          <w:spacing w:val="7"/>
          <w:position w:val="4"/>
          <w:sz w:val="32"/>
          <w:szCs w:val="32"/>
        </w:rPr>
        <w:t>术语和定义</w:t>
      </w:r>
    </w:p>
    <w:p w14:paraId="22686549">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firstLine="636" w:firstLineChars="200"/>
        <w:jc w:val="both"/>
        <w:textAlignment w:val="baseline"/>
        <w:rPr>
          <w:rFonts w:hint="default" w:ascii="Times New Roman" w:hAnsi="Times New Roman" w:eastAsia="楷体_GB2312" w:cs="Times New Roman"/>
          <w:spacing w:val="-1"/>
          <w:sz w:val="32"/>
          <w:szCs w:val="32"/>
        </w:rPr>
      </w:pPr>
      <w:r>
        <w:rPr>
          <w:rFonts w:hint="default" w:ascii="Times New Roman" w:hAnsi="Times New Roman" w:eastAsia="楷体_GB2312" w:cs="Times New Roman"/>
          <w:spacing w:val="-1"/>
          <w:sz w:val="32"/>
          <w:szCs w:val="32"/>
          <w:lang w:eastAsia="zh-CN"/>
        </w:rPr>
        <w:t>（</w:t>
      </w:r>
      <w:r>
        <w:rPr>
          <w:rFonts w:hint="default" w:ascii="Times New Roman" w:hAnsi="Times New Roman" w:eastAsia="楷体_GB2312" w:cs="Times New Roman"/>
          <w:spacing w:val="-1"/>
          <w:sz w:val="32"/>
          <w:szCs w:val="32"/>
          <w:lang w:val="en-US" w:eastAsia="zh-CN"/>
        </w:rPr>
        <w:t>一</w:t>
      </w:r>
      <w:r>
        <w:rPr>
          <w:rFonts w:hint="default" w:ascii="Times New Roman" w:hAnsi="Times New Roman" w:eastAsia="楷体_GB2312" w:cs="Times New Roman"/>
          <w:spacing w:val="-1"/>
          <w:sz w:val="32"/>
          <w:szCs w:val="32"/>
          <w:lang w:eastAsia="zh-CN"/>
        </w:rPr>
        <w:t>）</w:t>
      </w:r>
      <w:r>
        <w:rPr>
          <w:rFonts w:hint="default" w:ascii="Times New Roman" w:hAnsi="Times New Roman" w:eastAsia="楷体_GB2312" w:cs="Times New Roman"/>
          <w:spacing w:val="-1"/>
          <w:sz w:val="32"/>
          <w:szCs w:val="32"/>
        </w:rPr>
        <w:t>噪声敏感建筑物</w:t>
      </w:r>
    </w:p>
    <w:p w14:paraId="051EF0D2">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firstLine="672"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8"/>
          <w:sz w:val="32"/>
          <w:szCs w:val="32"/>
        </w:rPr>
        <w:t>指用于居住、科学研究、医疗卫生、文化教育、机关团体办公、社会福利等需要保持安静的建筑物。</w:t>
      </w:r>
    </w:p>
    <w:p w14:paraId="6D1EE203">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firstLine="636" w:firstLineChars="200"/>
        <w:jc w:val="both"/>
        <w:textAlignment w:val="baseline"/>
        <w:rPr>
          <w:rFonts w:hint="default" w:ascii="Times New Roman" w:hAnsi="Times New Roman" w:eastAsia="楷体_GB2312" w:cs="Times New Roman"/>
          <w:spacing w:val="-1"/>
          <w:sz w:val="32"/>
          <w:szCs w:val="32"/>
          <w:lang w:eastAsia="zh-CN"/>
        </w:rPr>
      </w:pPr>
      <w:r>
        <w:rPr>
          <w:rFonts w:hint="default" w:ascii="Times New Roman" w:hAnsi="Times New Roman" w:eastAsia="楷体_GB2312" w:cs="Times New Roman"/>
          <w:spacing w:val="-1"/>
          <w:sz w:val="32"/>
          <w:szCs w:val="32"/>
          <w:lang w:eastAsia="zh-CN"/>
        </w:rPr>
        <w:t>（</w:t>
      </w:r>
      <w:r>
        <w:rPr>
          <w:rFonts w:hint="default" w:ascii="Times New Roman" w:hAnsi="Times New Roman" w:eastAsia="楷体_GB2312" w:cs="Times New Roman"/>
          <w:spacing w:val="-1"/>
          <w:sz w:val="32"/>
          <w:szCs w:val="32"/>
          <w:lang w:val="en-US" w:eastAsia="zh-CN"/>
        </w:rPr>
        <w:t>二</w:t>
      </w:r>
      <w:r>
        <w:rPr>
          <w:rFonts w:hint="default" w:ascii="Times New Roman" w:hAnsi="Times New Roman" w:eastAsia="楷体_GB2312" w:cs="Times New Roman"/>
          <w:spacing w:val="-1"/>
          <w:sz w:val="32"/>
          <w:szCs w:val="32"/>
          <w:lang w:eastAsia="zh-CN"/>
        </w:rPr>
        <w:t>）噪声敏感建筑物集中区域</w:t>
      </w:r>
    </w:p>
    <w:p w14:paraId="05425CF3">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0" w:leftChars="0" w:right="0" w:rightChars="0" w:firstLine="672"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8"/>
          <w:sz w:val="32"/>
          <w:szCs w:val="32"/>
        </w:rPr>
        <w:t>指用于居住、科学研究、医疗卫生、文化教育、机关团体办公、社会福利等建筑物为主的区域。</w:t>
      </w:r>
    </w:p>
    <w:p w14:paraId="69E0B45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8" w:firstLineChars="200"/>
        <w:textAlignment w:val="baseline"/>
        <w:rPr>
          <w:rFonts w:hint="default" w:ascii="Times New Roman" w:hAnsi="Times New Roman" w:eastAsia="黑体" w:cs="Times New Roman"/>
          <w:spacing w:val="7"/>
          <w:position w:val="4"/>
          <w:sz w:val="32"/>
          <w:szCs w:val="32"/>
        </w:rPr>
      </w:pPr>
      <w:r>
        <w:rPr>
          <w:rFonts w:hint="default" w:ascii="Times New Roman" w:hAnsi="Times New Roman" w:eastAsia="黑体" w:cs="Times New Roman"/>
          <w:spacing w:val="7"/>
          <w:position w:val="4"/>
          <w:sz w:val="32"/>
          <w:szCs w:val="32"/>
          <w:lang w:val="en-US" w:eastAsia="zh-CN"/>
        </w:rPr>
        <w:t>二</w:t>
      </w:r>
      <w:r>
        <w:rPr>
          <w:rFonts w:hint="default" w:ascii="Times New Roman" w:hAnsi="Times New Roman" w:eastAsia="黑体" w:cs="Times New Roman"/>
          <w:spacing w:val="7"/>
          <w:position w:val="4"/>
          <w:sz w:val="32"/>
          <w:szCs w:val="32"/>
        </w:rPr>
        <w:t>、划定原则</w:t>
      </w:r>
    </w:p>
    <w:p w14:paraId="0410FD9D">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36"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楷体_GB2312" w:cs="Times New Roman"/>
          <w:spacing w:val="-1"/>
          <w:sz w:val="32"/>
          <w:szCs w:val="32"/>
          <w:lang w:eastAsia="zh-CN"/>
        </w:rPr>
        <w:t>（</w:t>
      </w:r>
      <w:r>
        <w:rPr>
          <w:rFonts w:hint="default" w:ascii="Times New Roman" w:hAnsi="Times New Roman" w:eastAsia="楷体_GB2312" w:cs="Times New Roman"/>
          <w:spacing w:val="-1"/>
          <w:sz w:val="32"/>
          <w:szCs w:val="32"/>
          <w:lang w:val="en-US" w:eastAsia="zh-CN"/>
        </w:rPr>
        <w:t>一</w:t>
      </w:r>
      <w:r>
        <w:rPr>
          <w:rFonts w:hint="default" w:ascii="Times New Roman" w:hAnsi="Times New Roman" w:eastAsia="楷体_GB2312" w:cs="Times New Roman"/>
          <w:spacing w:val="-1"/>
          <w:sz w:val="32"/>
          <w:szCs w:val="32"/>
          <w:lang w:eastAsia="zh-CN"/>
        </w:rPr>
        <w:t>）现状优先。</w:t>
      </w:r>
      <w:r>
        <w:rPr>
          <w:rFonts w:hint="default" w:ascii="Times New Roman" w:hAnsi="Times New Roman" w:eastAsia="仿宋_GB2312" w:cs="Times New Roman"/>
          <w:spacing w:val="8"/>
          <w:sz w:val="32"/>
          <w:szCs w:val="32"/>
        </w:rPr>
        <w:t>以城市建设现状为基础进行划分，辅助结合规划。</w:t>
      </w:r>
    </w:p>
    <w:p w14:paraId="6CD68093">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6"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楷体_GB2312" w:cs="Times New Roman"/>
          <w:spacing w:val="-1"/>
          <w:sz w:val="32"/>
          <w:szCs w:val="32"/>
          <w:lang w:eastAsia="zh-CN"/>
        </w:rPr>
        <w:t>（</w:t>
      </w:r>
      <w:r>
        <w:rPr>
          <w:rFonts w:hint="default" w:ascii="Times New Roman" w:hAnsi="Times New Roman" w:eastAsia="楷体_GB2312" w:cs="Times New Roman"/>
          <w:spacing w:val="-1"/>
          <w:sz w:val="32"/>
          <w:szCs w:val="32"/>
          <w:lang w:val="en-US" w:eastAsia="zh-CN"/>
        </w:rPr>
        <w:t>二</w:t>
      </w:r>
      <w:r>
        <w:rPr>
          <w:rFonts w:hint="default" w:ascii="Times New Roman" w:hAnsi="Times New Roman" w:eastAsia="楷体_GB2312" w:cs="Times New Roman"/>
          <w:spacing w:val="-1"/>
          <w:sz w:val="32"/>
          <w:szCs w:val="32"/>
          <w:lang w:eastAsia="zh-CN"/>
        </w:rPr>
        <w:t>）边界清晰。</w:t>
      </w:r>
      <w:r>
        <w:rPr>
          <w:rFonts w:hint="default" w:ascii="Times New Roman" w:hAnsi="Times New Roman" w:eastAsia="仿宋_GB2312" w:cs="Times New Roman"/>
          <w:spacing w:val="8"/>
          <w:sz w:val="32"/>
          <w:szCs w:val="32"/>
        </w:rPr>
        <w:t>充分利用建筑用地边界、交通干线</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lang w:val="en-US" w:eastAsia="zh-CN"/>
        </w:rPr>
        <w:t>河流</w:t>
      </w:r>
      <w:r>
        <w:rPr>
          <w:rFonts w:hint="default" w:ascii="Times New Roman" w:hAnsi="Times New Roman" w:eastAsia="仿宋_GB2312" w:cs="Times New Roman"/>
          <w:spacing w:val="8"/>
          <w:sz w:val="32"/>
          <w:szCs w:val="32"/>
        </w:rPr>
        <w:t>等，形成易于辨识、清晰明确的边界。</w:t>
      </w:r>
    </w:p>
    <w:p w14:paraId="4643C4F7">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36" w:firstLineChars="200"/>
        <w:jc w:val="both"/>
        <w:textAlignment w:val="baseline"/>
        <w:rPr>
          <w:rFonts w:hint="default" w:ascii="Times New Roman" w:hAnsi="Times New Roman" w:eastAsia="仿宋_GB2312" w:cs="Times New Roman"/>
          <w:sz w:val="32"/>
          <w:szCs w:val="32"/>
        </w:rPr>
      </w:pPr>
      <w:r>
        <w:rPr>
          <w:rFonts w:hint="default" w:ascii="Times New Roman" w:hAnsi="Times New Roman" w:eastAsia="楷体_GB2312" w:cs="Times New Roman"/>
          <w:spacing w:val="-1"/>
          <w:sz w:val="32"/>
          <w:szCs w:val="32"/>
          <w:lang w:eastAsia="zh-CN"/>
        </w:rPr>
        <w:t>（</w:t>
      </w:r>
      <w:r>
        <w:rPr>
          <w:rFonts w:hint="default" w:ascii="Times New Roman" w:hAnsi="Times New Roman" w:eastAsia="楷体_GB2312" w:cs="Times New Roman"/>
          <w:spacing w:val="-1"/>
          <w:sz w:val="32"/>
          <w:szCs w:val="32"/>
          <w:lang w:val="en-US" w:eastAsia="zh-CN"/>
        </w:rPr>
        <w:t>三</w:t>
      </w:r>
      <w:r>
        <w:rPr>
          <w:rFonts w:hint="default" w:ascii="Times New Roman" w:hAnsi="Times New Roman" w:eastAsia="楷体_GB2312" w:cs="Times New Roman"/>
          <w:spacing w:val="-1"/>
          <w:sz w:val="32"/>
          <w:szCs w:val="32"/>
          <w:lang w:eastAsia="zh-CN"/>
        </w:rPr>
        <w:t>）集中连片。</w:t>
      </w:r>
      <w:r>
        <w:rPr>
          <w:rFonts w:hint="default" w:ascii="Times New Roman" w:hAnsi="Times New Roman" w:eastAsia="仿宋_GB2312" w:cs="Times New Roman"/>
          <w:spacing w:val="8"/>
          <w:sz w:val="32"/>
          <w:szCs w:val="32"/>
        </w:rPr>
        <w:t>单一区块内噪声敏感建筑物面积占比原则上不小于70</w:t>
      </w:r>
      <w:r>
        <w:rPr>
          <w:rFonts w:hint="default" w:ascii="Times New Roman" w:hAnsi="Times New Roman" w:eastAsia="仿宋_GB2312" w:cs="Times New Roman"/>
          <w:spacing w:val="8"/>
          <w:sz w:val="32"/>
          <w:szCs w:val="32"/>
          <w:lang w:val="en-US" w:eastAsia="zh-CN"/>
        </w:rPr>
        <w:t>%</w:t>
      </w:r>
      <w:r>
        <w:rPr>
          <w:rFonts w:hint="default" w:ascii="Times New Roman" w:hAnsi="Times New Roman" w:eastAsia="仿宋_GB2312" w:cs="Times New Roman"/>
          <w:spacing w:val="8"/>
          <w:sz w:val="32"/>
          <w:szCs w:val="32"/>
        </w:rPr>
        <w:t>，区块最小面积阈值为0.1km</w:t>
      </w:r>
      <w:r>
        <w:rPr>
          <w:rFonts w:hint="default" w:ascii="Times New Roman" w:hAnsi="Times New Roman" w:eastAsia="仿宋_GB2312" w:cs="Times New Roman"/>
          <w:spacing w:val="8"/>
          <w:sz w:val="32"/>
          <w:szCs w:val="32"/>
          <w:vertAlign w:val="superscript"/>
          <w:lang w:val="en-US" w:eastAsia="zh-CN"/>
        </w:rPr>
        <w:t>2</w:t>
      </w:r>
      <w:r>
        <w:rPr>
          <w:rFonts w:hint="default" w:ascii="Times New Roman" w:hAnsi="Times New Roman" w:eastAsia="仿宋_GB2312" w:cs="Times New Roman"/>
          <w:spacing w:val="8"/>
          <w:sz w:val="32"/>
          <w:szCs w:val="32"/>
        </w:rPr>
        <w:t>，避免零散划分。</w:t>
      </w:r>
    </w:p>
    <w:p w14:paraId="5DE81DF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8" w:firstLineChars="200"/>
        <w:textAlignment w:val="baseline"/>
        <w:rPr>
          <w:rFonts w:hint="default" w:ascii="Times New Roman" w:hAnsi="Times New Roman" w:eastAsia="黑体" w:cs="Times New Roman"/>
          <w:spacing w:val="7"/>
          <w:position w:val="4"/>
          <w:sz w:val="32"/>
          <w:szCs w:val="32"/>
          <w:lang w:val="en-US" w:eastAsia="zh-CN"/>
        </w:rPr>
      </w:pPr>
      <w:r>
        <w:rPr>
          <w:rFonts w:hint="default" w:ascii="Times New Roman" w:hAnsi="Times New Roman" w:eastAsia="黑体" w:cs="Times New Roman"/>
          <w:spacing w:val="7"/>
          <w:position w:val="4"/>
          <w:sz w:val="32"/>
          <w:szCs w:val="32"/>
          <w:lang w:val="en-US" w:eastAsia="zh-CN"/>
        </w:rPr>
        <w:t>三</w:t>
      </w:r>
      <w:r>
        <w:rPr>
          <w:rFonts w:hint="default" w:ascii="Times New Roman" w:hAnsi="Times New Roman" w:eastAsia="黑体" w:cs="Times New Roman"/>
          <w:spacing w:val="7"/>
          <w:position w:val="4"/>
          <w:sz w:val="32"/>
          <w:szCs w:val="32"/>
        </w:rPr>
        <w:t>、划定</w:t>
      </w:r>
      <w:r>
        <w:rPr>
          <w:rFonts w:hint="default" w:ascii="Times New Roman" w:hAnsi="Times New Roman" w:eastAsia="黑体" w:cs="Times New Roman"/>
          <w:spacing w:val="7"/>
          <w:position w:val="4"/>
          <w:sz w:val="32"/>
          <w:szCs w:val="32"/>
          <w:lang w:val="en-US" w:eastAsia="zh-CN"/>
        </w:rPr>
        <w:t>方法</w:t>
      </w:r>
    </w:p>
    <w:p w14:paraId="4E052F63">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2"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lang w:val="en-US" w:eastAsia="zh-CN"/>
        </w:rPr>
        <w:t>一</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对1类声环境功能区范围内，噪声敏感建筑物</w:t>
      </w:r>
      <w:r>
        <w:rPr>
          <w:rFonts w:hint="default" w:ascii="Times New Roman" w:hAnsi="Times New Roman" w:eastAsia="仿宋_GB2312" w:cs="Times New Roman"/>
          <w:spacing w:val="8"/>
          <w:sz w:val="32"/>
          <w:szCs w:val="32"/>
          <w:lang w:val="en-US" w:eastAsia="zh-CN"/>
        </w:rPr>
        <w:t>集中的区域</w:t>
      </w:r>
      <w:r>
        <w:rPr>
          <w:rFonts w:hint="default" w:ascii="Times New Roman" w:hAnsi="Times New Roman" w:eastAsia="仿宋_GB2312" w:cs="Times New Roman"/>
          <w:spacing w:val="8"/>
          <w:sz w:val="32"/>
          <w:szCs w:val="32"/>
        </w:rPr>
        <w:t>划定为噪声敏感建筑物集中区域</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剔除集市贸易、公用设施</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空地</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lang w:val="en-US" w:eastAsia="zh-CN"/>
        </w:rPr>
        <w:t>公园、大片绿地</w:t>
      </w:r>
      <w:r>
        <w:rPr>
          <w:rFonts w:hint="default" w:ascii="Times New Roman" w:hAnsi="Times New Roman" w:eastAsia="仿宋_GB2312" w:cs="Times New Roman"/>
          <w:spacing w:val="8"/>
          <w:sz w:val="32"/>
          <w:szCs w:val="32"/>
        </w:rPr>
        <w:t>等非敏感建筑物。</w:t>
      </w:r>
    </w:p>
    <w:p w14:paraId="0EB0D305">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2"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lang w:val="en-US" w:eastAsia="zh-CN"/>
        </w:rPr>
        <w:t>二</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临街的商业综合体应剔尽剔，沿街商铺除外。</w:t>
      </w:r>
    </w:p>
    <w:p w14:paraId="46D4CFF0">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2"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lang w:val="en-US" w:eastAsia="zh-CN"/>
        </w:rPr>
        <w:t>三</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将非交通干线分隔的多个相邻区域合并为一个连片噪声敏感建筑物集中区域。其中，非交通干线可作为集中区域内部道路纳入面积统计。</w:t>
      </w:r>
    </w:p>
    <w:p w14:paraId="73A680D0">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8" w:firstLineChars="200"/>
        <w:textAlignment w:val="baseline"/>
        <w:rPr>
          <w:rFonts w:hint="default" w:ascii="Times New Roman" w:hAnsi="Times New Roman" w:eastAsia="黑体" w:cs="Times New Roman"/>
          <w:spacing w:val="7"/>
          <w:position w:val="4"/>
          <w:sz w:val="32"/>
          <w:szCs w:val="32"/>
          <w:lang w:val="en-US"/>
        </w:rPr>
      </w:pPr>
      <w:r>
        <w:rPr>
          <w:rFonts w:hint="default" w:ascii="Times New Roman" w:hAnsi="Times New Roman" w:eastAsia="黑体" w:cs="Times New Roman"/>
          <w:spacing w:val="7"/>
          <w:position w:val="4"/>
          <w:sz w:val="32"/>
          <w:szCs w:val="32"/>
          <w:lang w:val="en-US" w:eastAsia="zh-CN"/>
        </w:rPr>
        <w:t>四、划定结果</w:t>
      </w:r>
    </w:p>
    <w:p w14:paraId="1D52F9DA">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2" w:firstLineChars="200"/>
        <w:jc w:val="both"/>
        <w:textAlignment w:val="baseline"/>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8"/>
          <w:sz w:val="32"/>
          <w:szCs w:val="32"/>
        </w:rPr>
        <w:t>本</w:t>
      </w:r>
      <w:r>
        <w:rPr>
          <w:rFonts w:hint="default" w:ascii="Times New Roman" w:hAnsi="Times New Roman" w:eastAsia="仿宋_GB2312" w:cs="Times New Roman"/>
          <w:spacing w:val="8"/>
          <w:sz w:val="32"/>
          <w:szCs w:val="32"/>
          <w:lang w:val="en-US" w:eastAsia="zh-CN"/>
        </w:rPr>
        <w:t>次</w:t>
      </w:r>
      <w:r>
        <w:rPr>
          <w:rFonts w:hint="default" w:ascii="Times New Roman" w:hAnsi="Times New Roman" w:eastAsia="仿宋_GB2312" w:cs="Times New Roman"/>
          <w:spacing w:val="8"/>
          <w:sz w:val="32"/>
          <w:szCs w:val="32"/>
        </w:rPr>
        <w:t>共划定</w:t>
      </w:r>
      <w:r>
        <w:rPr>
          <w:rFonts w:hint="default" w:ascii="Times New Roman" w:hAnsi="Times New Roman" w:eastAsia="仿宋_GB2312" w:cs="Times New Roman"/>
          <w:spacing w:val="8"/>
          <w:sz w:val="32"/>
          <w:szCs w:val="32"/>
          <w:lang w:val="en-US" w:eastAsia="zh-CN"/>
        </w:rPr>
        <w:t>31个区划单元</w:t>
      </w:r>
      <w:r>
        <w:rPr>
          <w:rFonts w:hint="default" w:ascii="Times New Roman" w:hAnsi="Times New Roman" w:eastAsia="仿宋_GB2312" w:cs="Times New Roman"/>
          <w:spacing w:val="8"/>
          <w:sz w:val="32"/>
          <w:szCs w:val="32"/>
        </w:rPr>
        <w:t>，</w:t>
      </w:r>
      <w:r>
        <w:rPr>
          <w:rFonts w:hint="default" w:ascii="Times New Roman" w:hAnsi="Times New Roman" w:eastAsia="仿宋_GB2312" w:cs="Times New Roman"/>
          <w:spacing w:val="8"/>
          <w:sz w:val="32"/>
          <w:szCs w:val="32"/>
          <w:highlight w:val="none"/>
        </w:rPr>
        <w:t>总面积</w:t>
      </w:r>
      <w:r>
        <w:rPr>
          <w:rFonts w:hint="default" w:ascii="Times New Roman" w:hAnsi="Times New Roman" w:eastAsia="仿宋_GB2312" w:cs="Times New Roman"/>
          <w:spacing w:val="8"/>
          <w:sz w:val="32"/>
          <w:szCs w:val="32"/>
          <w:highlight w:val="none"/>
          <w:lang w:val="en-US" w:eastAsia="zh-CN"/>
        </w:rPr>
        <w:t>9.6</w:t>
      </w:r>
      <w:r>
        <w:rPr>
          <w:rFonts w:hint="eastAsia" w:ascii="Times New Roman" w:hAnsi="Times New Roman" w:eastAsia="仿宋_GB2312" w:cs="Times New Roman"/>
          <w:spacing w:val="8"/>
          <w:sz w:val="32"/>
          <w:szCs w:val="32"/>
          <w:highlight w:val="none"/>
          <w:lang w:val="en-US" w:eastAsia="zh-CN"/>
        </w:rPr>
        <w:t>5</w:t>
      </w:r>
      <w:r>
        <w:rPr>
          <w:rFonts w:hint="default" w:ascii="Times New Roman" w:hAnsi="Times New Roman" w:eastAsia="仿宋_GB2312" w:cs="Times New Roman"/>
          <w:spacing w:val="8"/>
          <w:sz w:val="32"/>
          <w:szCs w:val="32"/>
          <w:highlight w:val="none"/>
        </w:rPr>
        <w:t>km</w:t>
      </w:r>
      <w:r>
        <w:rPr>
          <w:rFonts w:hint="default" w:ascii="Times New Roman" w:hAnsi="Times New Roman" w:eastAsia="仿宋_GB2312" w:cs="Times New Roman"/>
          <w:spacing w:val="8"/>
          <w:sz w:val="32"/>
          <w:szCs w:val="32"/>
          <w:highlight w:val="none"/>
          <w:vertAlign w:val="superscript"/>
        </w:rPr>
        <w:t>2</w:t>
      </w:r>
      <w:r>
        <w:rPr>
          <w:rFonts w:hint="default" w:ascii="Times New Roman" w:hAnsi="Times New Roman" w:eastAsia="仿宋_GB2312" w:cs="Times New Roman"/>
          <w:spacing w:val="8"/>
          <w:sz w:val="32"/>
          <w:szCs w:val="32"/>
        </w:rPr>
        <w:t>。具体划定范围及示意图见附件1、2</w:t>
      </w:r>
      <w:r>
        <w:rPr>
          <w:rFonts w:hint="default" w:ascii="Times New Roman" w:hAnsi="Times New Roman" w:eastAsia="仿宋_GB2312" w:cs="Times New Roman"/>
          <w:spacing w:val="-1"/>
          <w:sz w:val="32"/>
          <w:szCs w:val="32"/>
        </w:rPr>
        <w:t>。</w:t>
      </w:r>
    </w:p>
    <w:p w14:paraId="418AA8F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8" w:firstLineChars="200"/>
        <w:textAlignment w:val="baseline"/>
        <w:rPr>
          <w:rFonts w:hint="default" w:ascii="Times New Roman" w:hAnsi="Times New Roman" w:eastAsia="黑体" w:cs="Times New Roman"/>
          <w:spacing w:val="7"/>
          <w:position w:val="4"/>
          <w:sz w:val="32"/>
          <w:szCs w:val="32"/>
          <w:lang w:val="en-US" w:eastAsia="zh-CN"/>
        </w:rPr>
      </w:pPr>
      <w:r>
        <w:rPr>
          <w:rFonts w:hint="default" w:ascii="Times New Roman" w:hAnsi="Times New Roman" w:eastAsia="黑体" w:cs="Times New Roman"/>
          <w:spacing w:val="7"/>
          <w:position w:val="4"/>
          <w:sz w:val="32"/>
          <w:szCs w:val="32"/>
          <w:lang w:val="en-US" w:eastAsia="zh-CN"/>
        </w:rPr>
        <w:t>五、适用标准</w:t>
      </w:r>
    </w:p>
    <w:p w14:paraId="636570CC">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2"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8"/>
          <w:sz w:val="32"/>
          <w:szCs w:val="32"/>
        </w:rPr>
        <w:t>噪声敏感建筑物集中区域执行所处声环境功能区</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lang w:val="en-US" w:eastAsia="zh-CN"/>
        </w:rPr>
        <w:t>即1类</w:t>
      </w:r>
      <w:r>
        <w:rPr>
          <w:rFonts w:hint="default" w:ascii="Times New Roman" w:hAnsi="Times New Roman" w:eastAsia="仿宋_GB2312" w:cs="Times New Roman"/>
          <w:spacing w:val="8"/>
          <w:sz w:val="32"/>
          <w:szCs w:val="32"/>
        </w:rPr>
        <w:t>声环境功能区的环境质量要求，昼间</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6</w:t>
      </w:r>
      <w:r>
        <w:rPr>
          <w:rFonts w:hint="default" w:ascii="Times New Roman" w:hAnsi="Times New Roman" w:eastAsia="仿宋_GB2312" w:cs="Times New Roman"/>
          <w:spacing w:val="8"/>
          <w:sz w:val="32"/>
          <w:szCs w:val="32"/>
          <w:lang w:val="en-US" w:eastAsia="zh-CN"/>
        </w:rPr>
        <w:t>:</w:t>
      </w:r>
      <w:r>
        <w:rPr>
          <w:rFonts w:hint="default" w:ascii="Times New Roman" w:hAnsi="Times New Roman" w:eastAsia="仿宋_GB2312" w:cs="Times New Roman"/>
          <w:spacing w:val="8"/>
          <w:sz w:val="32"/>
          <w:szCs w:val="32"/>
        </w:rPr>
        <w:t>00</w:t>
      </w:r>
      <w:r>
        <w:rPr>
          <w:rFonts w:hint="default" w:ascii="Times New Roman" w:hAnsi="Times New Roman" w:eastAsia="仿宋_GB2312" w:cs="Times New Roman"/>
          <w:spacing w:val="8"/>
          <w:sz w:val="32"/>
          <w:szCs w:val="32"/>
          <w:lang w:val="en-US" w:eastAsia="zh-CN"/>
        </w:rPr>
        <w:t>-</w:t>
      </w:r>
      <w:r>
        <w:rPr>
          <w:rFonts w:hint="default" w:ascii="Times New Roman" w:hAnsi="Times New Roman" w:eastAsia="仿宋_GB2312" w:cs="Times New Roman"/>
          <w:spacing w:val="8"/>
          <w:sz w:val="32"/>
          <w:szCs w:val="32"/>
        </w:rPr>
        <w:t>22</w:t>
      </w:r>
      <w:r>
        <w:rPr>
          <w:rFonts w:hint="default" w:ascii="Times New Roman" w:hAnsi="Times New Roman" w:eastAsia="仿宋_GB2312" w:cs="Times New Roman"/>
          <w:spacing w:val="8"/>
          <w:sz w:val="32"/>
          <w:szCs w:val="32"/>
          <w:lang w:val="en-US" w:eastAsia="zh-CN"/>
        </w:rPr>
        <w:t>:</w:t>
      </w:r>
      <w:r>
        <w:rPr>
          <w:rFonts w:hint="default" w:ascii="Times New Roman" w:hAnsi="Times New Roman" w:eastAsia="仿宋_GB2312" w:cs="Times New Roman"/>
          <w:spacing w:val="8"/>
          <w:sz w:val="32"/>
          <w:szCs w:val="32"/>
        </w:rPr>
        <w:t>00</w:t>
      </w:r>
      <w:r>
        <w:rPr>
          <w:rFonts w:hint="default" w:ascii="Times New Roman" w:hAnsi="Times New Roman" w:eastAsia="仿宋_GB2312" w:cs="Times New Roman"/>
          <w:spacing w:val="8"/>
          <w:sz w:val="32"/>
          <w:szCs w:val="32"/>
          <w:lang w:eastAsia="zh-CN"/>
        </w:rPr>
        <w:t>）环境噪声限值</w:t>
      </w:r>
      <w:r>
        <w:rPr>
          <w:rFonts w:hint="default" w:ascii="Times New Roman" w:hAnsi="Times New Roman" w:eastAsia="仿宋_GB2312" w:cs="Times New Roman"/>
          <w:spacing w:val="8"/>
          <w:sz w:val="32"/>
          <w:szCs w:val="32"/>
          <w:lang w:val="en-US" w:eastAsia="zh-CN"/>
        </w:rPr>
        <w:t>不超过</w:t>
      </w:r>
      <w:r>
        <w:rPr>
          <w:rFonts w:hint="default" w:ascii="Times New Roman" w:hAnsi="Times New Roman" w:eastAsia="仿宋_GB2312" w:cs="Times New Roman"/>
          <w:spacing w:val="8"/>
          <w:sz w:val="32"/>
          <w:szCs w:val="32"/>
        </w:rPr>
        <w:t>55dB</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A</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夜间</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22</w:t>
      </w:r>
      <w:r>
        <w:rPr>
          <w:rFonts w:hint="default" w:ascii="Times New Roman" w:hAnsi="Times New Roman" w:eastAsia="仿宋_GB2312" w:cs="Times New Roman"/>
          <w:spacing w:val="8"/>
          <w:sz w:val="32"/>
          <w:szCs w:val="32"/>
          <w:lang w:val="en-US" w:eastAsia="zh-CN"/>
        </w:rPr>
        <w:t>:</w:t>
      </w:r>
      <w:r>
        <w:rPr>
          <w:rFonts w:hint="default" w:ascii="Times New Roman" w:hAnsi="Times New Roman" w:eastAsia="仿宋_GB2312" w:cs="Times New Roman"/>
          <w:spacing w:val="8"/>
          <w:sz w:val="32"/>
          <w:szCs w:val="32"/>
        </w:rPr>
        <w:t>00</w:t>
      </w:r>
      <w:r>
        <w:rPr>
          <w:rFonts w:hint="default" w:ascii="Times New Roman" w:hAnsi="Times New Roman" w:eastAsia="仿宋_GB2312" w:cs="Times New Roman"/>
          <w:spacing w:val="8"/>
          <w:sz w:val="32"/>
          <w:szCs w:val="32"/>
          <w:lang w:val="en-US" w:eastAsia="zh-CN"/>
        </w:rPr>
        <w:t>-</w:t>
      </w:r>
      <w:r>
        <w:rPr>
          <w:rFonts w:hint="default" w:ascii="Times New Roman" w:hAnsi="Times New Roman" w:eastAsia="仿宋_GB2312" w:cs="Times New Roman"/>
          <w:spacing w:val="8"/>
          <w:sz w:val="32"/>
          <w:szCs w:val="32"/>
        </w:rPr>
        <w:t>6</w:t>
      </w:r>
      <w:r>
        <w:rPr>
          <w:rFonts w:hint="default" w:ascii="Times New Roman" w:hAnsi="Times New Roman" w:eastAsia="仿宋_GB2312" w:cs="Times New Roman"/>
          <w:spacing w:val="8"/>
          <w:sz w:val="32"/>
          <w:szCs w:val="32"/>
          <w:lang w:val="en-US" w:eastAsia="zh-CN"/>
        </w:rPr>
        <w:t>:</w:t>
      </w:r>
      <w:r>
        <w:rPr>
          <w:rFonts w:hint="default" w:ascii="Times New Roman" w:hAnsi="Times New Roman" w:eastAsia="仿宋_GB2312" w:cs="Times New Roman"/>
          <w:spacing w:val="8"/>
          <w:sz w:val="32"/>
          <w:szCs w:val="32"/>
        </w:rPr>
        <w:t>00</w:t>
      </w:r>
      <w:r>
        <w:rPr>
          <w:rFonts w:hint="default" w:ascii="Times New Roman" w:hAnsi="Times New Roman" w:eastAsia="仿宋_GB2312" w:cs="Times New Roman"/>
          <w:spacing w:val="8"/>
          <w:sz w:val="32"/>
          <w:szCs w:val="32"/>
          <w:lang w:eastAsia="zh-CN"/>
        </w:rPr>
        <w:t>）环境噪声限值</w:t>
      </w:r>
      <w:r>
        <w:rPr>
          <w:rFonts w:hint="default" w:ascii="Times New Roman" w:hAnsi="Times New Roman" w:eastAsia="仿宋_GB2312" w:cs="Times New Roman"/>
          <w:spacing w:val="8"/>
          <w:sz w:val="32"/>
          <w:szCs w:val="32"/>
          <w:lang w:val="en-US" w:eastAsia="zh-CN"/>
        </w:rPr>
        <w:t>不超过</w:t>
      </w:r>
      <w:r>
        <w:rPr>
          <w:rFonts w:hint="default" w:ascii="Times New Roman" w:hAnsi="Times New Roman" w:eastAsia="仿宋_GB2312" w:cs="Times New Roman"/>
          <w:spacing w:val="8"/>
          <w:sz w:val="32"/>
          <w:szCs w:val="32"/>
        </w:rPr>
        <w:t>45dB</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A</w:t>
      </w:r>
      <w:r>
        <w:rPr>
          <w:rFonts w:hint="default" w:ascii="Times New Roman" w:hAnsi="Times New Roman" w:eastAsia="仿宋_GB2312" w:cs="Times New Roman"/>
          <w:spacing w:val="8"/>
          <w:sz w:val="32"/>
          <w:szCs w:val="32"/>
          <w:lang w:eastAsia="zh-CN"/>
        </w:rPr>
        <w:t>）。</w:t>
      </w:r>
    </w:p>
    <w:p w14:paraId="0C56F549">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8" w:firstLineChars="200"/>
        <w:textAlignment w:val="baseline"/>
        <w:rPr>
          <w:rFonts w:hint="default" w:ascii="Times New Roman" w:hAnsi="Times New Roman" w:eastAsia="黑体" w:cs="Times New Roman"/>
          <w:spacing w:val="7"/>
          <w:position w:val="4"/>
          <w:sz w:val="32"/>
          <w:szCs w:val="32"/>
          <w:lang w:val="en-US" w:eastAsia="zh-CN"/>
        </w:rPr>
      </w:pPr>
      <w:r>
        <w:rPr>
          <w:rFonts w:hint="default" w:ascii="Times New Roman" w:hAnsi="Times New Roman" w:eastAsia="黑体" w:cs="Times New Roman"/>
          <w:spacing w:val="7"/>
          <w:position w:val="4"/>
          <w:sz w:val="32"/>
          <w:szCs w:val="32"/>
          <w:lang w:val="en-US" w:eastAsia="zh-CN"/>
        </w:rPr>
        <w:t>六、管理要求</w:t>
      </w:r>
    </w:p>
    <w:p w14:paraId="7423A2BD">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2"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8"/>
          <w:sz w:val="32"/>
          <w:szCs w:val="32"/>
        </w:rPr>
        <w:t>（一）禁止新建排放噪声的工业企业，改建、扩建工业企业的，应当采取有效措施防止工业噪声污染。</w:t>
      </w:r>
    </w:p>
    <w:p w14:paraId="65115312">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2"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8"/>
          <w:sz w:val="32"/>
          <w:szCs w:val="32"/>
        </w:rPr>
        <w:t>（</w:t>
      </w:r>
      <w:r>
        <w:rPr>
          <w:rFonts w:hint="default" w:ascii="Times New Roman" w:hAnsi="Times New Roman" w:eastAsia="仿宋_GB2312" w:cs="Times New Roman"/>
          <w:spacing w:val="8"/>
          <w:sz w:val="32"/>
          <w:szCs w:val="32"/>
          <w:lang w:val="en-US" w:eastAsia="zh-CN"/>
        </w:rPr>
        <w:t>二</w:t>
      </w:r>
      <w:r>
        <w:rPr>
          <w:rFonts w:hint="default" w:ascii="Times New Roman" w:hAnsi="Times New Roman" w:eastAsia="仿宋_GB2312" w:cs="Times New Roman"/>
          <w:spacing w:val="8"/>
          <w:sz w:val="32"/>
          <w:szCs w:val="32"/>
        </w:rPr>
        <w:t>）施工作业应当优先使用低噪声施工工艺和设备。</w:t>
      </w:r>
    </w:p>
    <w:p w14:paraId="151B3473">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2"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8"/>
          <w:sz w:val="32"/>
          <w:szCs w:val="32"/>
        </w:rPr>
        <w:t>（</w:t>
      </w:r>
      <w:r>
        <w:rPr>
          <w:rFonts w:hint="default" w:ascii="Times New Roman" w:hAnsi="Times New Roman" w:eastAsia="仿宋_GB2312" w:cs="Times New Roman"/>
          <w:spacing w:val="8"/>
          <w:sz w:val="32"/>
          <w:szCs w:val="32"/>
          <w:lang w:val="en-US" w:eastAsia="zh-CN"/>
        </w:rPr>
        <w:t>三</w:t>
      </w:r>
      <w:r>
        <w:rPr>
          <w:rFonts w:hint="default" w:ascii="Times New Roman" w:hAnsi="Times New Roman" w:eastAsia="仿宋_GB2312" w:cs="Times New Roman"/>
          <w:spacing w:val="8"/>
          <w:sz w:val="32"/>
          <w:szCs w:val="32"/>
        </w:rPr>
        <w:t>）施工作业时，建设单位应当按照国家规定，设置噪声自动监测系统，与监督管理部门联网，保存原始监测记录。</w:t>
      </w:r>
    </w:p>
    <w:p w14:paraId="4838FCAD">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72" w:firstLineChars="200"/>
        <w:jc w:val="both"/>
        <w:textAlignment w:val="baseline"/>
        <w:rPr>
          <w:rFonts w:hint="default" w:ascii="Times New Roman" w:hAnsi="Times New Roman" w:eastAsia="仿宋_GB2312" w:cs="Times New Roman"/>
          <w:spacing w:val="8"/>
          <w:sz w:val="32"/>
          <w:szCs w:val="32"/>
          <w:lang w:eastAsia="zh-CN"/>
        </w:rPr>
      </w:pPr>
      <w:r>
        <w:rPr>
          <w:rFonts w:hint="default" w:ascii="Times New Roman" w:hAnsi="Times New Roman" w:eastAsia="仿宋_GB2312" w:cs="Times New Roman"/>
          <w:spacing w:val="8"/>
          <w:sz w:val="32"/>
          <w:szCs w:val="32"/>
        </w:rPr>
        <w:t>（</w:t>
      </w:r>
      <w:r>
        <w:rPr>
          <w:rFonts w:hint="default" w:ascii="Times New Roman" w:hAnsi="Times New Roman" w:eastAsia="仿宋_GB2312" w:cs="Times New Roman"/>
          <w:spacing w:val="8"/>
          <w:sz w:val="32"/>
          <w:szCs w:val="32"/>
          <w:lang w:val="en-US" w:eastAsia="zh-CN"/>
        </w:rPr>
        <w:t>四</w:t>
      </w:r>
      <w:r>
        <w:rPr>
          <w:rFonts w:hint="default" w:ascii="Times New Roman" w:hAnsi="Times New Roman" w:eastAsia="仿宋_GB2312" w:cs="Times New Roman"/>
          <w:spacing w:val="8"/>
          <w:sz w:val="32"/>
          <w:szCs w:val="32"/>
        </w:rPr>
        <w:t>）禁止夜间进行产生噪声的施工作业，但</w:t>
      </w:r>
      <w:r>
        <w:rPr>
          <w:rFonts w:hint="default" w:ascii="Times New Roman" w:hAnsi="Times New Roman" w:eastAsia="仿宋_GB2312" w:cs="Times New Roman"/>
          <w:spacing w:val="8"/>
          <w:sz w:val="32"/>
          <w:szCs w:val="32"/>
          <w:lang w:val="en-US" w:eastAsia="zh-CN"/>
        </w:rPr>
        <w:t>是</w:t>
      </w:r>
      <w:r>
        <w:rPr>
          <w:rFonts w:hint="default" w:ascii="Times New Roman" w:hAnsi="Times New Roman" w:eastAsia="仿宋_GB2312" w:cs="Times New Roman"/>
          <w:spacing w:val="8"/>
          <w:sz w:val="32"/>
          <w:szCs w:val="32"/>
        </w:rPr>
        <w:t>抢修、抢险施工作业，因生产工艺要求或者其他特殊需要必须连续施工作业的除外</w:t>
      </w:r>
      <w:r>
        <w:rPr>
          <w:rFonts w:hint="default" w:ascii="Times New Roman" w:hAnsi="Times New Roman" w:eastAsia="仿宋_GB2312" w:cs="Times New Roman"/>
          <w:spacing w:val="8"/>
          <w:sz w:val="32"/>
          <w:szCs w:val="32"/>
          <w:lang w:eastAsia="zh-CN"/>
        </w:rPr>
        <w:t>。</w:t>
      </w:r>
    </w:p>
    <w:p w14:paraId="2FF7249D">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72"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8"/>
          <w:sz w:val="32"/>
          <w:szCs w:val="32"/>
        </w:rPr>
        <w:t>（</w:t>
      </w:r>
      <w:r>
        <w:rPr>
          <w:rFonts w:hint="default" w:ascii="Times New Roman" w:hAnsi="Times New Roman" w:eastAsia="仿宋_GB2312" w:cs="Times New Roman"/>
          <w:spacing w:val="8"/>
          <w:sz w:val="32"/>
          <w:szCs w:val="32"/>
          <w:lang w:val="en-US" w:eastAsia="zh-CN"/>
        </w:rPr>
        <w:t>五</w:t>
      </w:r>
      <w:r>
        <w:rPr>
          <w:rFonts w:hint="default" w:ascii="Times New Roman" w:hAnsi="Times New Roman" w:eastAsia="仿宋_GB2312" w:cs="Times New Roman"/>
          <w:spacing w:val="8"/>
          <w:sz w:val="32"/>
          <w:szCs w:val="32"/>
        </w:rPr>
        <w:t>）新建公路、铁路线路选线设计，应当尽量避</w:t>
      </w:r>
      <w:r>
        <w:rPr>
          <w:rFonts w:hint="default" w:ascii="Times New Roman" w:hAnsi="Times New Roman" w:eastAsia="仿宋_GB2312" w:cs="Times New Roman"/>
          <w:spacing w:val="8"/>
          <w:sz w:val="32"/>
          <w:szCs w:val="32"/>
          <w:lang w:val="en-US" w:eastAsia="zh-CN"/>
        </w:rPr>
        <w:t>让</w:t>
      </w:r>
      <w:r>
        <w:rPr>
          <w:rFonts w:hint="default" w:ascii="Times New Roman" w:hAnsi="Times New Roman" w:eastAsia="仿宋_GB2312" w:cs="Times New Roman"/>
          <w:spacing w:val="8"/>
          <w:sz w:val="32"/>
          <w:szCs w:val="32"/>
        </w:rPr>
        <w:t>噪声敏感建筑物集中区域。新建民用机场选址与噪声敏感建筑物集中区域的距离应当符合标准</w:t>
      </w:r>
      <w:r>
        <w:rPr>
          <w:rFonts w:hint="default" w:ascii="Times New Roman" w:hAnsi="Times New Roman" w:eastAsia="仿宋_GB2312" w:cs="Times New Roman"/>
          <w:spacing w:val="8"/>
          <w:sz w:val="32"/>
          <w:szCs w:val="32"/>
          <w:lang w:val="en-US" w:eastAsia="zh-CN"/>
        </w:rPr>
        <w:t>的</w:t>
      </w:r>
      <w:r>
        <w:rPr>
          <w:rFonts w:hint="default" w:ascii="Times New Roman" w:hAnsi="Times New Roman" w:eastAsia="仿宋_GB2312" w:cs="Times New Roman"/>
          <w:spacing w:val="8"/>
          <w:sz w:val="32"/>
          <w:szCs w:val="32"/>
        </w:rPr>
        <w:t>要求。</w:t>
      </w:r>
    </w:p>
    <w:p w14:paraId="2DCCDDFE">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72" w:firstLineChars="200"/>
        <w:jc w:val="both"/>
        <w:textAlignment w:val="baseline"/>
        <w:rPr>
          <w:rFonts w:hint="default" w:ascii="Times New Roman" w:hAnsi="Times New Roman" w:eastAsia="仿宋_GB2312" w:cs="Times New Roman"/>
          <w:spacing w:val="8"/>
          <w:sz w:val="32"/>
          <w:szCs w:val="32"/>
          <w:lang w:val="en-US" w:eastAsia="zh-CN"/>
        </w:rPr>
      </w:pPr>
      <w:r>
        <w:rPr>
          <w:rFonts w:hint="default" w:ascii="Times New Roman" w:hAnsi="Times New Roman" w:eastAsia="仿宋_GB2312" w:cs="Times New Roman"/>
          <w:spacing w:val="8"/>
          <w:sz w:val="32"/>
          <w:szCs w:val="32"/>
        </w:rPr>
        <w:t>（</w:t>
      </w:r>
      <w:r>
        <w:rPr>
          <w:rFonts w:hint="default" w:ascii="Times New Roman" w:hAnsi="Times New Roman" w:eastAsia="仿宋_GB2312" w:cs="Times New Roman"/>
          <w:spacing w:val="8"/>
          <w:sz w:val="32"/>
          <w:szCs w:val="32"/>
          <w:lang w:val="en-US" w:eastAsia="zh-CN"/>
        </w:rPr>
        <w:t>六</w:t>
      </w:r>
      <w:r>
        <w:rPr>
          <w:rFonts w:hint="default" w:ascii="Times New Roman" w:hAnsi="Times New Roman" w:eastAsia="仿宋_GB2312" w:cs="Times New Roman"/>
          <w:spacing w:val="8"/>
          <w:sz w:val="32"/>
          <w:szCs w:val="32"/>
        </w:rPr>
        <w:t>）</w:t>
      </w:r>
      <w:r>
        <w:rPr>
          <w:rFonts w:hint="default" w:ascii="Times New Roman" w:hAnsi="Times New Roman" w:eastAsia="仿宋_GB2312" w:cs="Times New Roman"/>
          <w:spacing w:val="8"/>
          <w:sz w:val="32"/>
          <w:szCs w:val="32"/>
          <w:lang w:val="en-US" w:eastAsia="zh-CN"/>
        </w:rPr>
        <w:t>新建、改建、扩建经过噪声敏感建筑物集中区域的高速公路、城市高架、铁路和城市轨道交通线路等的，建设单位应当在可能造成噪声污染的重点路段设置声屏障或者采取其他减少振动、降低噪声的措施，符合相关交通基础设施工程技术规范和标准的要求。</w:t>
      </w:r>
    </w:p>
    <w:p w14:paraId="73F30A7B">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72"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lang w:val="en-US" w:eastAsia="zh-CN"/>
        </w:rPr>
        <w:t>七</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禁止使用高音广播喇叭，但</w:t>
      </w:r>
      <w:r>
        <w:rPr>
          <w:rFonts w:hint="default" w:ascii="Times New Roman" w:hAnsi="Times New Roman" w:eastAsia="仿宋_GB2312" w:cs="Times New Roman"/>
          <w:spacing w:val="8"/>
          <w:sz w:val="32"/>
          <w:szCs w:val="32"/>
          <w:lang w:val="en-US" w:eastAsia="zh-CN"/>
        </w:rPr>
        <w:t>是</w:t>
      </w:r>
      <w:r>
        <w:rPr>
          <w:rFonts w:hint="default" w:ascii="Times New Roman" w:hAnsi="Times New Roman" w:eastAsia="仿宋_GB2312" w:cs="Times New Roman"/>
          <w:spacing w:val="8"/>
          <w:sz w:val="32"/>
          <w:szCs w:val="32"/>
        </w:rPr>
        <w:t>紧急情况以及地方人民政府规定的特殊情形除外。</w:t>
      </w:r>
    </w:p>
    <w:p w14:paraId="1B3CBB8C">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72"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lang w:val="en-US" w:eastAsia="zh-CN"/>
        </w:rPr>
        <w:t>八</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对社会生活噪声扰民行为，基层群众性自治组织、业主委员会、物业服务人应当及时劝阻、调解；劝阻、调解无效的，可以向负有社会生活噪声污染防治监督管理职责的部门或者地方人民政府指定的部门报告或者投诉，接到报告或者投诉的部门应当依法处理。</w:t>
      </w:r>
    </w:p>
    <w:p w14:paraId="5B8DCB8C">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72" w:firstLineChars="200"/>
        <w:jc w:val="both"/>
        <w:textAlignment w:val="baseline"/>
        <w:rPr>
          <w:rFonts w:hint="default" w:ascii="Times New Roman" w:hAnsi="Times New Roman" w:eastAsia="仿宋_GB2312" w:cs="Times New Roman"/>
          <w:spacing w:val="8"/>
          <w:sz w:val="32"/>
          <w:szCs w:val="32"/>
        </w:rPr>
      </w:pP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lang w:val="en-US" w:eastAsia="zh-CN"/>
        </w:rPr>
        <w:t>九</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rPr>
        <w:t>法律、法规其他规定。</w:t>
      </w:r>
    </w:p>
    <w:p w14:paraId="6AA2539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8" w:firstLineChars="200"/>
        <w:textAlignment w:val="baseline"/>
        <w:rPr>
          <w:rFonts w:hint="default" w:ascii="Times New Roman" w:hAnsi="Times New Roman" w:eastAsia="黑体" w:cs="Times New Roman"/>
          <w:spacing w:val="7"/>
          <w:position w:val="4"/>
          <w:sz w:val="32"/>
          <w:szCs w:val="32"/>
          <w:lang w:val="en-US" w:eastAsia="zh-CN"/>
        </w:rPr>
      </w:pPr>
      <w:r>
        <w:rPr>
          <w:rFonts w:hint="default" w:ascii="Times New Roman" w:hAnsi="Times New Roman" w:eastAsia="黑体" w:cs="Times New Roman"/>
          <w:spacing w:val="7"/>
          <w:position w:val="4"/>
          <w:sz w:val="32"/>
          <w:szCs w:val="32"/>
          <w:lang w:val="en-US" w:eastAsia="zh-CN"/>
        </w:rPr>
        <w:t>七、其他</w:t>
      </w:r>
    </w:p>
    <w:p w14:paraId="7C774D32">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2" w:firstLineChars="200"/>
        <w:jc w:val="both"/>
        <w:textAlignment w:val="baseline"/>
        <w:rPr>
          <w:rFonts w:hint="default" w:ascii="Times New Roman" w:hAnsi="Times New Roman" w:eastAsia="仿宋_GB2312" w:cs="Times New Roman"/>
          <w:spacing w:val="8"/>
          <w:sz w:val="32"/>
          <w:szCs w:val="32"/>
          <w:lang w:eastAsia="zh-CN"/>
        </w:rPr>
      </w:pP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lang w:val="en-US" w:eastAsia="zh-CN"/>
        </w:rPr>
        <w:t>一</w:t>
      </w:r>
      <w:r>
        <w:rPr>
          <w:rFonts w:hint="default" w:ascii="Times New Roman" w:hAnsi="Times New Roman" w:eastAsia="仿宋_GB2312" w:cs="Times New Roman"/>
          <w:spacing w:val="8"/>
          <w:sz w:val="32"/>
          <w:szCs w:val="32"/>
          <w:lang w:eastAsia="zh-CN"/>
        </w:rPr>
        <w:t>）本方案实施后，根据噪声管理要求进行动态调整。</w:t>
      </w:r>
    </w:p>
    <w:p w14:paraId="5EE7313B">
      <w:pPr>
        <w:keepNext w:val="0"/>
        <w:keepLines w:val="0"/>
        <w:pageBreakBefore w:val="0"/>
        <w:widowControl w:val="0"/>
        <w:kinsoku/>
        <w:wordWrap/>
        <w:overflowPunct w:val="0"/>
        <w:topLinePunct w:val="0"/>
        <w:autoSpaceDE w:val="0"/>
        <w:autoSpaceDN w:val="0"/>
        <w:bidi w:val="0"/>
        <w:adjustRightInd w:val="0"/>
        <w:snapToGrid w:val="0"/>
        <w:spacing w:line="560" w:lineRule="exact"/>
        <w:ind w:left="0" w:right="0" w:firstLine="672" w:firstLineChars="200"/>
        <w:jc w:val="both"/>
        <w:textAlignment w:val="baseline"/>
        <w:rPr>
          <w:rFonts w:hint="default" w:ascii="Times New Roman" w:hAnsi="Times New Roman" w:eastAsia="仿宋_GB2312" w:cs="Times New Roman"/>
          <w:spacing w:val="8"/>
          <w:sz w:val="32"/>
          <w:szCs w:val="32"/>
          <w:lang w:eastAsia="zh-CN"/>
        </w:rPr>
      </w:pP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lang w:val="en-US" w:eastAsia="zh-CN"/>
        </w:rPr>
        <w:t>二</w:t>
      </w:r>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spacing w:val="8"/>
          <w:sz w:val="32"/>
          <w:szCs w:val="32"/>
          <w:highlight w:val="none"/>
          <w:lang w:eastAsia="zh-CN"/>
        </w:rPr>
        <w:t>本方案自2026年</w:t>
      </w:r>
      <w:r>
        <w:rPr>
          <w:rFonts w:hint="default" w:ascii="Times New Roman" w:hAnsi="Times New Roman" w:eastAsia="仿宋_GB2312" w:cs="Times New Roman"/>
          <w:spacing w:val="8"/>
          <w:sz w:val="32"/>
          <w:szCs w:val="32"/>
          <w:highlight w:val="none"/>
          <w:lang w:val="en-US" w:eastAsia="zh-CN"/>
        </w:rPr>
        <w:t>**</w:t>
      </w:r>
      <w:r>
        <w:rPr>
          <w:rFonts w:hint="default" w:ascii="Times New Roman" w:hAnsi="Times New Roman" w:eastAsia="仿宋_GB2312" w:cs="Times New Roman"/>
          <w:spacing w:val="8"/>
          <w:sz w:val="32"/>
          <w:szCs w:val="32"/>
          <w:highlight w:val="none"/>
          <w:lang w:eastAsia="zh-CN"/>
        </w:rPr>
        <w:t>月</w:t>
      </w:r>
      <w:r>
        <w:rPr>
          <w:rFonts w:hint="default" w:ascii="Times New Roman" w:hAnsi="Times New Roman" w:eastAsia="仿宋_GB2312" w:cs="Times New Roman"/>
          <w:spacing w:val="8"/>
          <w:sz w:val="32"/>
          <w:szCs w:val="32"/>
          <w:highlight w:val="none"/>
          <w:lang w:val="en-US" w:eastAsia="zh-CN"/>
        </w:rPr>
        <w:t>**</w:t>
      </w:r>
      <w:r>
        <w:rPr>
          <w:rFonts w:hint="default" w:ascii="Times New Roman" w:hAnsi="Times New Roman" w:eastAsia="仿宋_GB2312" w:cs="Times New Roman"/>
          <w:spacing w:val="8"/>
          <w:sz w:val="32"/>
          <w:szCs w:val="32"/>
          <w:highlight w:val="none"/>
          <w:lang w:eastAsia="zh-CN"/>
        </w:rPr>
        <w:t>日施行，有效期至</w:t>
      </w:r>
      <w:r>
        <w:rPr>
          <w:rFonts w:hint="default" w:ascii="Times New Roman" w:hAnsi="Times New Roman" w:eastAsia="仿宋_GB2312" w:cs="Times New Roman"/>
          <w:spacing w:val="8"/>
          <w:sz w:val="32"/>
          <w:szCs w:val="32"/>
          <w:highlight w:val="none"/>
          <w:lang w:val="en-US" w:eastAsia="zh-CN"/>
        </w:rPr>
        <w:t>**</w:t>
      </w:r>
      <w:r>
        <w:rPr>
          <w:rFonts w:hint="default" w:ascii="Times New Roman" w:hAnsi="Times New Roman" w:eastAsia="仿宋_GB2312" w:cs="Times New Roman"/>
          <w:spacing w:val="8"/>
          <w:sz w:val="32"/>
          <w:szCs w:val="32"/>
          <w:highlight w:val="none"/>
          <w:lang w:eastAsia="zh-CN"/>
        </w:rPr>
        <w:t>年</w:t>
      </w:r>
      <w:r>
        <w:rPr>
          <w:rFonts w:hint="default" w:ascii="Times New Roman" w:hAnsi="Times New Roman" w:eastAsia="仿宋_GB2312" w:cs="Times New Roman"/>
          <w:spacing w:val="8"/>
          <w:sz w:val="32"/>
          <w:szCs w:val="32"/>
          <w:highlight w:val="none"/>
          <w:lang w:val="en-US" w:eastAsia="zh-CN"/>
        </w:rPr>
        <w:t>**</w:t>
      </w:r>
      <w:r>
        <w:rPr>
          <w:rFonts w:hint="default" w:ascii="Times New Roman" w:hAnsi="Times New Roman" w:eastAsia="仿宋_GB2312" w:cs="Times New Roman"/>
          <w:spacing w:val="8"/>
          <w:sz w:val="32"/>
          <w:szCs w:val="32"/>
          <w:highlight w:val="none"/>
          <w:lang w:eastAsia="zh-CN"/>
        </w:rPr>
        <w:t>月</w:t>
      </w:r>
      <w:r>
        <w:rPr>
          <w:rFonts w:hint="default" w:ascii="Times New Roman" w:hAnsi="Times New Roman" w:eastAsia="仿宋_GB2312" w:cs="Times New Roman"/>
          <w:spacing w:val="8"/>
          <w:sz w:val="32"/>
          <w:szCs w:val="32"/>
          <w:highlight w:val="none"/>
          <w:lang w:val="en-US" w:eastAsia="zh-CN"/>
        </w:rPr>
        <w:t>**</w:t>
      </w:r>
      <w:r>
        <w:rPr>
          <w:rFonts w:hint="default" w:ascii="Times New Roman" w:hAnsi="Times New Roman" w:eastAsia="仿宋_GB2312" w:cs="Times New Roman"/>
          <w:spacing w:val="8"/>
          <w:sz w:val="32"/>
          <w:szCs w:val="32"/>
          <w:highlight w:val="none"/>
          <w:lang w:eastAsia="zh-CN"/>
        </w:rPr>
        <w:t>日</w:t>
      </w:r>
      <w:r>
        <w:rPr>
          <w:rFonts w:hint="default" w:ascii="Times New Roman" w:hAnsi="Times New Roman" w:eastAsia="仿宋_GB2312" w:cs="Times New Roman"/>
          <w:spacing w:val="8"/>
          <w:sz w:val="32"/>
          <w:szCs w:val="32"/>
          <w:lang w:eastAsia="zh-CN"/>
        </w:rPr>
        <w:t>。</w:t>
      </w:r>
    </w:p>
    <w:p w14:paraId="5394FC42">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72" w:firstLineChars="200"/>
        <w:jc w:val="both"/>
        <w:textAlignment w:val="baseline"/>
        <w:rPr>
          <w:rFonts w:hint="default" w:ascii="Times New Roman" w:hAnsi="Times New Roman" w:eastAsia="仿宋_GB2312" w:cs="Times New Roman"/>
          <w:spacing w:val="8"/>
          <w:sz w:val="32"/>
          <w:szCs w:val="32"/>
          <w:lang w:eastAsia="zh-CN"/>
        </w:rPr>
      </w:pPr>
    </w:p>
    <w:p w14:paraId="0716C2BC">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72" w:firstLineChars="200"/>
        <w:jc w:val="both"/>
        <w:textAlignment w:val="baseline"/>
        <w:rPr>
          <w:rFonts w:hint="default" w:ascii="Times New Roman" w:hAnsi="Times New Roman" w:eastAsia="仿宋_GB2312" w:cs="Times New Roman"/>
          <w:spacing w:val="8"/>
          <w:sz w:val="32"/>
          <w:szCs w:val="32"/>
          <w:lang w:eastAsia="zh-CN"/>
        </w:rPr>
      </w:pPr>
      <w:r>
        <w:rPr>
          <w:rFonts w:hint="default" w:ascii="Times New Roman" w:hAnsi="Times New Roman" w:eastAsia="仿宋_GB2312" w:cs="Times New Roman"/>
          <w:spacing w:val="8"/>
          <w:sz w:val="32"/>
          <w:szCs w:val="32"/>
          <w:lang w:eastAsia="zh-CN"/>
        </w:rPr>
        <w:t>附件：1.</w:t>
      </w:r>
      <w:r>
        <w:rPr>
          <w:rFonts w:hint="default" w:ascii="Times New Roman" w:hAnsi="Times New Roman" w:eastAsia="仿宋_GB2312" w:cs="Times New Roman"/>
          <w:spacing w:val="8"/>
          <w:sz w:val="32"/>
          <w:szCs w:val="32"/>
          <w:lang w:val="en-US" w:eastAsia="zh-CN"/>
        </w:rPr>
        <w:t>乳山</w:t>
      </w:r>
      <w:r>
        <w:rPr>
          <w:rFonts w:hint="default" w:ascii="Times New Roman" w:hAnsi="Times New Roman" w:eastAsia="仿宋_GB2312" w:cs="Times New Roman"/>
          <w:spacing w:val="8"/>
          <w:sz w:val="32"/>
          <w:szCs w:val="32"/>
          <w:lang w:eastAsia="zh-CN"/>
        </w:rPr>
        <w:t>市噪声敏感建筑物集中区域划定范围</w:t>
      </w:r>
    </w:p>
    <w:p w14:paraId="34E03519">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1680" w:firstLineChars="500"/>
        <w:jc w:val="both"/>
        <w:textAlignment w:val="baseline"/>
        <w:rPr>
          <w:rFonts w:hint="default" w:ascii="Times New Roman" w:hAnsi="Times New Roman" w:eastAsia="仿宋_GB2312" w:cs="Times New Roman"/>
          <w:spacing w:val="8"/>
          <w:sz w:val="32"/>
          <w:szCs w:val="32"/>
          <w:lang w:eastAsia="zh-CN"/>
        </w:rPr>
        <w:sectPr>
          <w:footerReference r:id="rId5" w:type="default"/>
          <w:pgSz w:w="11906" w:h="16839"/>
          <w:pgMar w:top="2098" w:right="1531" w:bottom="1984" w:left="1531" w:header="794" w:footer="907" w:gutter="0"/>
          <w:cols w:space="720" w:num="1"/>
        </w:sectPr>
      </w:pPr>
      <w:r>
        <w:rPr>
          <w:rFonts w:hint="default" w:ascii="Times New Roman" w:hAnsi="Times New Roman" w:eastAsia="仿宋_GB2312" w:cs="Times New Roman"/>
          <w:spacing w:val="8"/>
          <w:sz w:val="32"/>
          <w:szCs w:val="32"/>
          <w:lang w:eastAsia="zh-CN"/>
        </w:rPr>
        <w:t>2.</w:t>
      </w:r>
      <w:r>
        <w:rPr>
          <w:rFonts w:hint="default" w:ascii="Times New Roman" w:hAnsi="Times New Roman" w:eastAsia="仿宋_GB2312" w:cs="Times New Roman"/>
          <w:spacing w:val="8"/>
          <w:sz w:val="32"/>
          <w:szCs w:val="32"/>
          <w:lang w:val="en-US" w:eastAsia="zh-CN"/>
        </w:rPr>
        <w:t>乳山</w:t>
      </w:r>
      <w:r>
        <w:rPr>
          <w:rFonts w:hint="default" w:ascii="Times New Roman" w:hAnsi="Times New Roman" w:eastAsia="仿宋_GB2312" w:cs="Times New Roman"/>
          <w:spacing w:val="8"/>
          <w:sz w:val="32"/>
          <w:szCs w:val="32"/>
          <w:lang w:eastAsia="zh-CN"/>
        </w:rPr>
        <w:t>市噪声敏感建筑物集中区域</w:t>
      </w:r>
      <w:r>
        <w:rPr>
          <w:rFonts w:hint="default" w:ascii="Times New Roman" w:hAnsi="Times New Roman" w:eastAsia="仿宋_GB2312" w:cs="Times New Roman"/>
          <w:spacing w:val="8"/>
          <w:sz w:val="32"/>
          <w:szCs w:val="32"/>
          <w:lang w:val="en-US" w:eastAsia="zh-CN"/>
        </w:rPr>
        <w:t>划定</w:t>
      </w:r>
      <w:r>
        <w:rPr>
          <w:rFonts w:hint="default" w:ascii="Times New Roman" w:hAnsi="Times New Roman" w:eastAsia="仿宋_GB2312" w:cs="Times New Roman"/>
          <w:spacing w:val="8"/>
          <w:sz w:val="32"/>
          <w:szCs w:val="32"/>
          <w:lang w:eastAsia="zh-CN"/>
        </w:rPr>
        <w:t>示意图</w:t>
      </w:r>
    </w:p>
    <w:p w14:paraId="5EA5C985">
      <w:pPr>
        <w:spacing w:before="101" w:line="230" w:lineRule="auto"/>
        <w:ind w:left="146"/>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附件1</w:t>
      </w:r>
    </w:p>
    <w:p w14:paraId="6ABA081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黑体" w:hAnsi="黑体" w:eastAsia="黑体" w:cs="黑体"/>
          <w:spacing w:val="16"/>
          <w:sz w:val="30"/>
          <w:szCs w:val="30"/>
          <w:lang w:val="en-US" w:eastAsia="zh-CN"/>
        </w:rPr>
      </w:pPr>
    </w:p>
    <w:p w14:paraId="2A7067D3">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乳山</w:t>
      </w:r>
      <w:r>
        <w:rPr>
          <w:rFonts w:hint="eastAsia" w:ascii="方正小标宋简体" w:hAnsi="方正小标宋简体" w:eastAsia="方正小标宋简体" w:cs="方正小标宋简体"/>
          <w:sz w:val="44"/>
          <w:szCs w:val="44"/>
        </w:rPr>
        <w:t>市</w:t>
      </w:r>
      <w:bookmarkStart w:id="0" w:name="OLE_LINK1"/>
      <w:r>
        <w:rPr>
          <w:rFonts w:hint="eastAsia" w:ascii="方正小标宋简体" w:hAnsi="方正小标宋简体" w:eastAsia="方正小标宋简体" w:cs="方正小标宋简体"/>
          <w:sz w:val="44"/>
          <w:szCs w:val="44"/>
        </w:rPr>
        <w:t>噪声敏感建筑物集中区域</w:t>
      </w:r>
      <w:bookmarkEnd w:id="0"/>
      <w:r>
        <w:rPr>
          <w:rFonts w:hint="eastAsia" w:ascii="方正小标宋简体" w:hAnsi="方正小标宋简体" w:eastAsia="方正小标宋简体" w:cs="方正小标宋简体"/>
          <w:sz w:val="44"/>
          <w:szCs w:val="44"/>
        </w:rPr>
        <w:t>划定范围</w:t>
      </w:r>
    </w:p>
    <w:tbl>
      <w:tblPr>
        <w:tblStyle w:val="7"/>
        <w:tblW w:w="50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53"/>
        <w:gridCol w:w="5658"/>
        <w:gridCol w:w="1520"/>
      </w:tblGrid>
      <w:tr w14:paraId="01A4A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1BA4D32C">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ascii="黑体" w:hAnsi="黑体" w:eastAsia="黑体" w:cs="黑体"/>
                <w:sz w:val="24"/>
                <w:szCs w:val="24"/>
              </w:rPr>
            </w:pPr>
            <w:r>
              <w:rPr>
                <w:rFonts w:ascii="黑体" w:hAnsi="黑体" w:eastAsia="黑体" w:cs="黑体"/>
                <w:spacing w:val="4"/>
                <w:sz w:val="24"/>
                <w:szCs w:val="24"/>
              </w:rPr>
              <w:t>区划单元</w:t>
            </w:r>
          </w:p>
        </w:tc>
        <w:tc>
          <w:tcPr>
            <w:tcW w:w="3354" w:type="pct"/>
            <w:tcMar>
              <w:top w:w="0" w:type="dxa"/>
              <w:left w:w="57" w:type="dxa"/>
              <w:bottom w:w="0" w:type="dxa"/>
              <w:right w:w="57" w:type="dxa"/>
            </w:tcMar>
            <w:vAlign w:val="center"/>
          </w:tcPr>
          <w:p w14:paraId="5726AFED">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ascii="黑体" w:hAnsi="黑体" w:eastAsia="黑体" w:cs="黑体"/>
                <w:sz w:val="24"/>
                <w:szCs w:val="24"/>
              </w:rPr>
            </w:pPr>
            <w:r>
              <w:rPr>
                <w:rFonts w:ascii="黑体" w:hAnsi="黑体" w:eastAsia="黑体" w:cs="黑体"/>
                <w:spacing w:val="4"/>
                <w:sz w:val="24"/>
                <w:szCs w:val="24"/>
              </w:rPr>
              <w:t>区域范围</w:t>
            </w:r>
          </w:p>
        </w:tc>
        <w:tc>
          <w:tcPr>
            <w:tcW w:w="901" w:type="pct"/>
            <w:tcMar>
              <w:top w:w="0" w:type="dxa"/>
              <w:left w:w="57" w:type="dxa"/>
              <w:bottom w:w="0" w:type="dxa"/>
              <w:right w:w="57" w:type="dxa"/>
            </w:tcMar>
            <w:vAlign w:val="center"/>
          </w:tcPr>
          <w:p w14:paraId="20E25990">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z w:val="24"/>
                <w:szCs w:val="24"/>
                <w:lang w:val="en-US" w:eastAsia="zh-CN"/>
              </w:rPr>
            </w:pPr>
            <w:r>
              <w:rPr>
                <w:rFonts w:ascii="黑体" w:hAnsi="黑体" w:eastAsia="黑体" w:cs="黑体"/>
                <w:spacing w:val="8"/>
                <w:position w:val="2"/>
                <w:sz w:val="24"/>
                <w:szCs w:val="24"/>
              </w:rPr>
              <w:t>面</w:t>
            </w:r>
            <w:r>
              <w:rPr>
                <w:rFonts w:ascii="黑体" w:hAnsi="黑体" w:eastAsia="黑体" w:cs="黑体"/>
                <w:spacing w:val="5"/>
                <w:position w:val="2"/>
                <w:sz w:val="24"/>
                <w:szCs w:val="24"/>
              </w:rPr>
              <w:t>积/</w:t>
            </w:r>
            <w:r>
              <w:rPr>
                <w:rFonts w:ascii="Times New Roman" w:hAnsi="Times New Roman" w:eastAsia="Times New Roman" w:cs="Times New Roman"/>
                <w:position w:val="2"/>
                <w:sz w:val="24"/>
                <w:szCs w:val="24"/>
              </w:rPr>
              <w:t>km</w:t>
            </w:r>
            <w:r>
              <w:rPr>
                <w:rFonts w:hint="eastAsia" w:ascii="Times New Roman" w:hAnsi="Times New Roman" w:eastAsia="宋体" w:cs="Times New Roman"/>
                <w:position w:val="2"/>
                <w:sz w:val="24"/>
                <w:szCs w:val="24"/>
                <w:vertAlign w:val="superscript"/>
                <w:lang w:val="en-US" w:eastAsia="zh-CN"/>
              </w:rPr>
              <w:t>2</w:t>
            </w:r>
          </w:p>
        </w:tc>
      </w:tr>
      <w:tr w14:paraId="333F9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7FDBB76E">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w:t>
            </w:r>
          </w:p>
        </w:tc>
        <w:tc>
          <w:tcPr>
            <w:tcW w:w="3354" w:type="pct"/>
            <w:tcMar>
              <w:top w:w="0" w:type="dxa"/>
              <w:left w:w="57" w:type="dxa"/>
              <w:bottom w:w="0" w:type="dxa"/>
              <w:right w:w="57" w:type="dxa"/>
            </w:tcMar>
            <w:vAlign w:val="center"/>
          </w:tcPr>
          <w:p w14:paraId="44BE0939">
            <w:pPr>
              <w:keepNext w:val="0"/>
              <w:keepLines w:val="0"/>
              <w:widowControl/>
              <w:suppressLineNumbers w:val="0"/>
              <w:jc w:val="center"/>
              <w:textAlignment w:val="center"/>
              <w:rPr>
                <w:rFonts w:hint="eastAsia" w:ascii="黑体" w:hAnsi="黑体" w:eastAsia="黑体" w:cs="黑体"/>
                <w:sz w:val="24"/>
                <w:szCs w:val="24"/>
              </w:rPr>
            </w:pPr>
            <w:r>
              <w:rPr>
                <w:rFonts w:hint="eastAsia" w:ascii="黑体" w:hAnsi="宋体" w:eastAsia="黑体" w:cs="黑体"/>
                <w:i w:val="0"/>
                <w:iCs w:val="0"/>
                <w:snapToGrid w:val="0"/>
                <w:color w:val="000000"/>
                <w:kern w:val="0"/>
                <w:sz w:val="24"/>
                <w:szCs w:val="24"/>
                <w:u w:val="none"/>
                <w:lang w:val="en-US" w:eastAsia="zh-CN" w:bidi="ar"/>
              </w:rPr>
              <w:t>香格里拉二区范围内</w:t>
            </w:r>
          </w:p>
        </w:tc>
        <w:tc>
          <w:tcPr>
            <w:tcW w:w="1520" w:type="dxa"/>
            <w:tcMar>
              <w:top w:w="0" w:type="dxa"/>
              <w:left w:w="57" w:type="dxa"/>
              <w:bottom w:w="0" w:type="dxa"/>
              <w:right w:w="57" w:type="dxa"/>
            </w:tcMar>
            <w:vAlign w:val="center"/>
          </w:tcPr>
          <w:p w14:paraId="080653C4">
            <w:pPr>
              <w:keepNext w:val="0"/>
              <w:keepLines w:val="0"/>
              <w:widowControl/>
              <w:suppressLineNumbers w:val="0"/>
              <w:jc w:val="center"/>
              <w:textAlignment w:val="center"/>
              <w:rPr>
                <w:rFonts w:hint="default" w:ascii="Times New Roman" w:hAnsi="Times New Roman" w:eastAsia="Times New Roman" w:cs="Times New Roman"/>
                <w:sz w:val="24"/>
                <w:szCs w:val="24"/>
                <w:lang w:val="en-US"/>
              </w:rPr>
            </w:pPr>
            <w:r>
              <w:rPr>
                <w:rFonts w:hint="default" w:ascii="Times New Roman" w:hAnsi="Times New Roman" w:eastAsia="微软雅黑" w:cs="Times New Roman"/>
                <w:i w:val="0"/>
                <w:iCs w:val="0"/>
                <w:snapToGrid w:val="0"/>
                <w:color w:val="000000"/>
                <w:kern w:val="0"/>
                <w:sz w:val="24"/>
                <w:szCs w:val="24"/>
                <w:u w:val="none"/>
                <w:lang w:val="en-US" w:eastAsia="zh-CN" w:bidi="ar"/>
              </w:rPr>
              <w:t>0.11</w:t>
            </w:r>
          </w:p>
        </w:tc>
      </w:tr>
      <w:tr w14:paraId="1182E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62C19357">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p>
        </w:tc>
        <w:tc>
          <w:tcPr>
            <w:tcW w:w="3354" w:type="pct"/>
            <w:tcMar>
              <w:top w:w="0" w:type="dxa"/>
              <w:left w:w="57" w:type="dxa"/>
              <w:bottom w:w="0" w:type="dxa"/>
              <w:right w:w="57" w:type="dxa"/>
            </w:tcMar>
            <w:vAlign w:val="center"/>
          </w:tcPr>
          <w:p w14:paraId="4B5FF44E">
            <w:pPr>
              <w:keepNext w:val="0"/>
              <w:keepLines w:val="0"/>
              <w:widowControl/>
              <w:suppressLineNumbers w:val="0"/>
              <w:jc w:val="left"/>
              <w:textAlignment w:val="center"/>
              <w:rPr>
                <w:rFonts w:hint="eastAsia" w:ascii="黑体" w:hAnsi="黑体" w:eastAsia="黑体" w:cs="黑体"/>
                <w:sz w:val="24"/>
                <w:szCs w:val="24"/>
              </w:rPr>
            </w:pPr>
            <w:r>
              <w:rPr>
                <w:rFonts w:hint="eastAsia" w:ascii="黑体" w:hAnsi="宋体" w:eastAsia="黑体" w:cs="黑体"/>
                <w:i w:val="0"/>
                <w:iCs w:val="0"/>
                <w:snapToGrid w:val="0"/>
                <w:color w:val="000000"/>
                <w:kern w:val="0"/>
                <w:sz w:val="24"/>
                <w:szCs w:val="24"/>
                <w:u w:val="none"/>
                <w:lang w:val="en-US" w:eastAsia="zh-CN" w:bidi="ar"/>
              </w:rPr>
              <w:t>紫锦花园东区西边界-紫锦花园东区北边界-紫锦祥园西边界-紫锦祥园北边界-紫锦嘉园北边界-紫锦嘉园东边界-乳山幼师附属幼儿园东边界-乳山幼师附属幼儿园南边界-紫锦嘉园东边界-紫锦嘉园南边界-紫锦祥园南边界-紫锦花园东区南边界</w:t>
            </w:r>
          </w:p>
        </w:tc>
        <w:tc>
          <w:tcPr>
            <w:tcW w:w="1520" w:type="dxa"/>
            <w:tcMar>
              <w:top w:w="0" w:type="dxa"/>
              <w:left w:w="57" w:type="dxa"/>
              <w:bottom w:w="0" w:type="dxa"/>
              <w:right w:w="57" w:type="dxa"/>
            </w:tcMar>
            <w:vAlign w:val="center"/>
          </w:tcPr>
          <w:p w14:paraId="331B75A5">
            <w:pPr>
              <w:keepNext w:val="0"/>
              <w:keepLines w:val="0"/>
              <w:widowControl/>
              <w:suppressLineNumbers w:val="0"/>
              <w:jc w:val="center"/>
              <w:textAlignment w:val="center"/>
              <w:rPr>
                <w:rFonts w:hint="default" w:ascii="Times New Roman" w:hAnsi="Times New Roman" w:eastAsia="Times New Roman" w:cs="Times New Roman"/>
                <w:sz w:val="24"/>
                <w:szCs w:val="24"/>
              </w:rPr>
            </w:pPr>
            <w:r>
              <w:rPr>
                <w:rFonts w:hint="default" w:ascii="Times New Roman" w:hAnsi="Times New Roman" w:eastAsia="微软雅黑" w:cs="Times New Roman"/>
                <w:i w:val="0"/>
                <w:iCs w:val="0"/>
                <w:snapToGrid w:val="0"/>
                <w:color w:val="000000"/>
                <w:kern w:val="0"/>
                <w:sz w:val="24"/>
                <w:szCs w:val="24"/>
                <w:u w:val="none"/>
                <w:lang w:val="en-US" w:eastAsia="zh-CN" w:bidi="ar"/>
              </w:rPr>
              <w:t>0.23</w:t>
            </w:r>
          </w:p>
        </w:tc>
      </w:tr>
      <w:tr w14:paraId="3A73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5713D560">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c>
        <w:tc>
          <w:tcPr>
            <w:tcW w:w="3354" w:type="pct"/>
            <w:tcMar>
              <w:top w:w="0" w:type="dxa"/>
              <w:left w:w="57" w:type="dxa"/>
              <w:bottom w:w="0" w:type="dxa"/>
              <w:right w:w="57" w:type="dxa"/>
            </w:tcMar>
            <w:vAlign w:val="center"/>
          </w:tcPr>
          <w:p w14:paraId="19B81486">
            <w:pPr>
              <w:keepNext w:val="0"/>
              <w:keepLines w:val="0"/>
              <w:widowControl/>
              <w:suppressLineNumbers w:val="0"/>
              <w:jc w:val="center"/>
              <w:textAlignment w:val="center"/>
              <w:rPr>
                <w:rFonts w:hint="eastAsia" w:ascii="黑体" w:hAnsi="黑体" w:eastAsia="黑体" w:cs="黑体"/>
                <w:sz w:val="24"/>
                <w:szCs w:val="24"/>
              </w:rPr>
            </w:pPr>
            <w:r>
              <w:rPr>
                <w:rFonts w:hint="eastAsia" w:ascii="黑体" w:hAnsi="宋体" w:eastAsia="黑体" w:cs="黑体"/>
                <w:i w:val="0"/>
                <w:iCs w:val="0"/>
                <w:snapToGrid w:val="0"/>
                <w:color w:val="000000"/>
                <w:kern w:val="0"/>
                <w:sz w:val="24"/>
                <w:szCs w:val="24"/>
                <w:u w:val="none"/>
                <w:lang w:val="en-US" w:eastAsia="zh-CN" w:bidi="ar"/>
              </w:rPr>
              <w:t>浦东路-新华街-珠海路-滨河东街</w:t>
            </w:r>
          </w:p>
        </w:tc>
        <w:tc>
          <w:tcPr>
            <w:tcW w:w="1520" w:type="dxa"/>
            <w:tcMar>
              <w:top w:w="0" w:type="dxa"/>
              <w:left w:w="57" w:type="dxa"/>
              <w:bottom w:w="0" w:type="dxa"/>
              <w:right w:w="57" w:type="dxa"/>
            </w:tcMar>
            <w:vAlign w:val="center"/>
          </w:tcPr>
          <w:p w14:paraId="210EDC1A">
            <w:pPr>
              <w:keepNext w:val="0"/>
              <w:keepLines w:val="0"/>
              <w:widowControl/>
              <w:suppressLineNumbers w:val="0"/>
              <w:jc w:val="center"/>
              <w:textAlignment w:val="center"/>
              <w:rPr>
                <w:rFonts w:hint="default" w:ascii="Times New Roman" w:hAnsi="Times New Roman" w:eastAsia="Times New Roman" w:cs="Times New Roman"/>
                <w:sz w:val="24"/>
                <w:szCs w:val="24"/>
              </w:rPr>
            </w:pPr>
            <w:r>
              <w:rPr>
                <w:rFonts w:hint="default" w:ascii="Times New Roman" w:hAnsi="Times New Roman" w:eastAsia="微软雅黑" w:cs="Times New Roman"/>
                <w:i w:val="0"/>
                <w:iCs w:val="0"/>
                <w:snapToGrid w:val="0"/>
                <w:color w:val="000000"/>
                <w:kern w:val="0"/>
                <w:sz w:val="24"/>
                <w:szCs w:val="24"/>
                <w:u w:val="none"/>
                <w:lang w:val="en-US" w:eastAsia="zh-CN" w:bidi="ar"/>
              </w:rPr>
              <w:t>0.30</w:t>
            </w:r>
          </w:p>
        </w:tc>
      </w:tr>
      <w:tr w14:paraId="7C6DD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3F262DA0">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4</w:t>
            </w:r>
          </w:p>
        </w:tc>
        <w:tc>
          <w:tcPr>
            <w:tcW w:w="3354" w:type="pct"/>
            <w:tcMar>
              <w:top w:w="0" w:type="dxa"/>
              <w:left w:w="57" w:type="dxa"/>
              <w:bottom w:w="0" w:type="dxa"/>
              <w:right w:w="57" w:type="dxa"/>
            </w:tcMar>
            <w:vAlign w:val="center"/>
          </w:tcPr>
          <w:p w14:paraId="3439056B">
            <w:pPr>
              <w:keepNext w:val="0"/>
              <w:keepLines w:val="0"/>
              <w:widowControl/>
              <w:suppressLineNumbers w:val="0"/>
              <w:jc w:val="left"/>
              <w:textAlignment w:val="center"/>
              <w:rPr>
                <w:rFonts w:hint="eastAsia" w:ascii="黑体" w:hAnsi="黑体" w:eastAsia="黑体" w:cs="黑体"/>
                <w:sz w:val="24"/>
                <w:szCs w:val="24"/>
              </w:rPr>
            </w:pPr>
            <w:r>
              <w:rPr>
                <w:rFonts w:hint="eastAsia" w:ascii="黑体" w:hAnsi="宋体" w:eastAsia="黑体" w:cs="黑体"/>
                <w:i w:val="0"/>
                <w:iCs w:val="0"/>
                <w:snapToGrid w:val="0"/>
                <w:color w:val="000000"/>
                <w:kern w:val="0"/>
                <w:sz w:val="24"/>
                <w:szCs w:val="24"/>
                <w:u w:val="none"/>
                <w:lang w:val="en-US" w:eastAsia="zh-CN" w:bidi="ar"/>
              </w:rPr>
              <w:t>深圳路-兴东小区北边界-晨读东巷-胜利街-浦东路-新华街</w:t>
            </w:r>
          </w:p>
        </w:tc>
        <w:tc>
          <w:tcPr>
            <w:tcW w:w="1520" w:type="dxa"/>
            <w:tcMar>
              <w:top w:w="0" w:type="dxa"/>
              <w:left w:w="57" w:type="dxa"/>
              <w:bottom w:w="0" w:type="dxa"/>
              <w:right w:w="57" w:type="dxa"/>
            </w:tcMar>
            <w:vAlign w:val="center"/>
          </w:tcPr>
          <w:p w14:paraId="316B2DBC">
            <w:pPr>
              <w:keepNext w:val="0"/>
              <w:keepLines w:val="0"/>
              <w:widowControl/>
              <w:suppressLineNumbers w:val="0"/>
              <w:jc w:val="center"/>
              <w:textAlignment w:val="center"/>
              <w:rPr>
                <w:rFonts w:hint="default" w:ascii="Times New Roman" w:hAnsi="Times New Roman" w:eastAsia="Times New Roman" w:cs="Times New Roman"/>
                <w:sz w:val="24"/>
                <w:szCs w:val="24"/>
              </w:rPr>
            </w:pPr>
            <w:r>
              <w:rPr>
                <w:rFonts w:hint="default" w:ascii="Times New Roman" w:hAnsi="Times New Roman" w:eastAsia="微软雅黑" w:cs="Times New Roman"/>
                <w:i w:val="0"/>
                <w:iCs w:val="0"/>
                <w:snapToGrid w:val="0"/>
                <w:color w:val="000000"/>
                <w:kern w:val="0"/>
                <w:sz w:val="24"/>
                <w:szCs w:val="24"/>
                <w:u w:val="none"/>
                <w:lang w:val="en-US" w:eastAsia="zh-CN" w:bidi="ar"/>
              </w:rPr>
              <w:t>0.79</w:t>
            </w:r>
          </w:p>
        </w:tc>
      </w:tr>
      <w:tr w14:paraId="64F40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0BA8B4C5">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5</w:t>
            </w:r>
          </w:p>
        </w:tc>
        <w:tc>
          <w:tcPr>
            <w:tcW w:w="3354" w:type="pct"/>
            <w:tcMar>
              <w:top w:w="0" w:type="dxa"/>
              <w:left w:w="57" w:type="dxa"/>
              <w:bottom w:w="0" w:type="dxa"/>
              <w:right w:w="57" w:type="dxa"/>
            </w:tcMar>
            <w:vAlign w:val="center"/>
          </w:tcPr>
          <w:p w14:paraId="617581D3">
            <w:pPr>
              <w:keepNext w:val="0"/>
              <w:keepLines w:val="0"/>
              <w:widowControl/>
              <w:suppressLineNumbers w:val="0"/>
              <w:jc w:val="left"/>
              <w:textAlignment w:val="center"/>
              <w:rPr>
                <w:rFonts w:hint="eastAsia" w:ascii="黑体" w:hAnsi="黑体" w:eastAsia="黑体" w:cs="黑体"/>
                <w:sz w:val="24"/>
                <w:szCs w:val="24"/>
                <w:highlight w:val="none"/>
              </w:rPr>
            </w:pPr>
            <w:r>
              <w:rPr>
                <w:rFonts w:hint="eastAsia" w:ascii="黑体" w:hAnsi="宋体" w:eastAsia="黑体" w:cs="黑体"/>
                <w:i w:val="0"/>
                <w:iCs w:val="0"/>
                <w:snapToGrid w:val="0"/>
                <w:color w:val="000000"/>
                <w:kern w:val="0"/>
                <w:sz w:val="24"/>
                <w:szCs w:val="24"/>
                <w:u w:val="none"/>
                <w:lang w:val="en-US" w:eastAsia="zh-CN" w:bidi="ar"/>
              </w:rPr>
              <w:t>怡园小区西边界-怡园小区北边界-怡园西路-光明街小学西边界-光明街小学北边界-光明街小学东边界-怡园中学东边界-光明街</w:t>
            </w:r>
          </w:p>
        </w:tc>
        <w:tc>
          <w:tcPr>
            <w:tcW w:w="1520" w:type="dxa"/>
            <w:tcMar>
              <w:top w:w="0" w:type="dxa"/>
              <w:left w:w="57" w:type="dxa"/>
              <w:bottom w:w="0" w:type="dxa"/>
              <w:right w:w="57" w:type="dxa"/>
            </w:tcMar>
            <w:vAlign w:val="center"/>
          </w:tcPr>
          <w:p w14:paraId="4BB96A13">
            <w:pPr>
              <w:keepNext w:val="0"/>
              <w:keepLines w:val="0"/>
              <w:widowControl/>
              <w:suppressLineNumbers w:val="0"/>
              <w:jc w:val="center"/>
              <w:textAlignment w:val="center"/>
              <w:rPr>
                <w:rFonts w:hint="default" w:ascii="Times New Roman" w:hAnsi="Times New Roman" w:eastAsia="Times New Roman" w:cs="Times New Roman"/>
                <w:sz w:val="24"/>
                <w:szCs w:val="24"/>
              </w:rPr>
            </w:pPr>
            <w:r>
              <w:rPr>
                <w:rFonts w:hint="default" w:ascii="Times New Roman" w:hAnsi="Times New Roman" w:eastAsia="微软雅黑" w:cs="Times New Roman"/>
                <w:i w:val="0"/>
                <w:iCs w:val="0"/>
                <w:snapToGrid w:val="0"/>
                <w:color w:val="000000"/>
                <w:kern w:val="0"/>
                <w:sz w:val="24"/>
                <w:szCs w:val="24"/>
                <w:u w:val="none"/>
                <w:lang w:val="en-US" w:eastAsia="zh-CN" w:bidi="ar"/>
              </w:rPr>
              <w:t>0.18</w:t>
            </w:r>
          </w:p>
        </w:tc>
      </w:tr>
      <w:tr w14:paraId="5A14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6D65C971">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6</w:t>
            </w:r>
          </w:p>
        </w:tc>
        <w:tc>
          <w:tcPr>
            <w:tcW w:w="3354" w:type="pct"/>
            <w:tcMar>
              <w:top w:w="0" w:type="dxa"/>
              <w:left w:w="57" w:type="dxa"/>
              <w:bottom w:w="0" w:type="dxa"/>
              <w:right w:w="57" w:type="dxa"/>
            </w:tcMar>
            <w:vAlign w:val="center"/>
          </w:tcPr>
          <w:p w14:paraId="3CC151F9">
            <w:pPr>
              <w:keepNext w:val="0"/>
              <w:keepLines w:val="0"/>
              <w:widowControl/>
              <w:suppressLineNumbers w:val="0"/>
              <w:jc w:val="center"/>
              <w:textAlignment w:val="center"/>
              <w:rPr>
                <w:rFonts w:hint="eastAsia" w:ascii="黑体" w:hAnsi="黑体" w:eastAsia="黑体" w:cs="黑体"/>
                <w:sz w:val="24"/>
                <w:szCs w:val="24"/>
              </w:rPr>
            </w:pPr>
            <w:r>
              <w:rPr>
                <w:rFonts w:hint="eastAsia" w:ascii="黑体" w:hAnsi="宋体" w:eastAsia="黑体" w:cs="黑体"/>
                <w:i w:val="0"/>
                <w:iCs w:val="0"/>
                <w:snapToGrid w:val="0"/>
                <w:color w:val="000000"/>
                <w:kern w:val="0"/>
                <w:sz w:val="24"/>
                <w:szCs w:val="24"/>
                <w:u w:val="none"/>
                <w:lang w:val="en-US" w:eastAsia="zh-CN" w:bidi="ar"/>
              </w:rPr>
              <w:t>威海机械工程高级技工学校范围内</w:t>
            </w:r>
          </w:p>
        </w:tc>
        <w:tc>
          <w:tcPr>
            <w:tcW w:w="1520" w:type="dxa"/>
            <w:tcMar>
              <w:top w:w="0" w:type="dxa"/>
              <w:left w:w="57" w:type="dxa"/>
              <w:bottom w:w="0" w:type="dxa"/>
              <w:right w:w="57" w:type="dxa"/>
            </w:tcMar>
            <w:vAlign w:val="center"/>
          </w:tcPr>
          <w:p w14:paraId="74DA5EFE">
            <w:pPr>
              <w:keepNext w:val="0"/>
              <w:keepLines w:val="0"/>
              <w:widowControl/>
              <w:suppressLineNumbers w:val="0"/>
              <w:jc w:val="center"/>
              <w:textAlignment w:val="center"/>
              <w:rPr>
                <w:rFonts w:hint="default" w:ascii="Times New Roman" w:hAnsi="Times New Roman" w:eastAsia="Times New Roman" w:cs="Times New Roman"/>
                <w:sz w:val="24"/>
                <w:szCs w:val="24"/>
              </w:rPr>
            </w:pPr>
            <w:r>
              <w:rPr>
                <w:rFonts w:hint="default" w:ascii="Times New Roman" w:hAnsi="Times New Roman" w:eastAsia="微软雅黑" w:cs="Times New Roman"/>
                <w:i w:val="0"/>
                <w:iCs w:val="0"/>
                <w:snapToGrid w:val="0"/>
                <w:color w:val="000000"/>
                <w:kern w:val="0"/>
                <w:sz w:val="24"/>
                <w:szCs w:val="24"/>
                <w:u w:val="none"/>
                <w:lang w:val="en-US" w:eastAsia="zh-CN" w:bidi="ar"/>
              </w:rPr>
              <w:t>0.20</w:t>
            </w:r>
          </w:p>
        </w:tc>
      </w:tr>
      <w:tr w14:paraId="580BD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23877DC7">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7</w:t>
            </w:r>
          </w:p>
        </w:tc>
        <w:tc>
          <w:tcPr>
            <w:tcW w:w="3354" w:type="pct"/>
            <w:tcMar>
              <w:top w:w="0" w:type="dxa"/>
              <w:left w:w="57" w:type="dxa"/>
              <w:bottom w:w="0" w:type="dxa"/>
              <w:right w:w="57" w:type="dxa"/>
            </w:tcMar>
            <w:vAlign w:val="center"/>
          </w:tcPr>
          <w:p w14:paraId="4E236826">
            <w:pPr>
              <w:keepNext w:val="0"/>
              <w:keepLines w:val="0"/>
              <w:widowControl/>
              <w:suppressLineNumbers w:val="0"/>
              <w:jc w:val="left"/>
              <w:textAlignment w:val="center"/>
              <w:rPr>
                <w:rFonts w:hint="eastAsia" w:ascii="黑体" w:hAnsi="黑体" w:eastAsia="黑体" w:cs="黑体"/>
                <w:sz w:val="24"/>
                <w:szCs w:val="24"/>
              </w:rPr>
            </w:pPr>
            <w:r>
              <w:rPr>
                <w:rFonts w:hint="eastAsia" w:ascii="黑体" w:hAnsi="宋体" w:eastAsia="黑体" w:cs="黑体"/>
                <w:i w:val="0"/>
                <w:iCs w:val="0"/>
                <w:snapToGrid w:val="0"/>
                <w:color w:val="000000"/>
                <w:kern w:val="0"/>
                <w:sz w:val="24"/>
                <w:szCs w:val="24"/>
                <w:u w:val="none"/>
                <w:lang w:val="en-US" w:eastAsia="zh-CN" w:bidi="ar"/>
              </w:rPr>
              <w:t>笙歌小区西边界-笙歌学府家园二期南边界-笙歌学府家园二期西边界-笙歌学府家园二期北边界-笙歌小区北边界-金苹果小区北边界-金苹果小区东边界-金苹果小区南边界-笙歌小区南边界</w:t>
            </w:r>
          </w:p>
        </w:tc>
        <w:tc>
          <w:tcPr>
            <w:tcW w:w="1520" w:type="dxa"/>
            <w:tcMar>
              <w:top w:w="0" w:type="dxa"/>
              <w:left w:w="57" w:type="dxa"/>
              <w:bottom w:w="0" w:type="dxa"/>
              <w:right w:w="57" w:type="dxa"/>
            </w:tcMar>
            <w:vAlign w:val="center"/>
          </w:tcPr>
          <w:p w14:paraId="61B85443">
            <w:pPr>
              <w:keepNext w:val="0"/>
              <w:keepLines w:val="0"/>
              <w:widowControl/>
              <w:suppressLineNumbers w:val="0"/>
              <w:jc w:val="center"/>
              <w:textAlignment w:val="center"/>
              <w:rPr>
                <w:rFonts w:hint="default" w:ascii="Times New Roman" w:hAnsi="Times New Roman" w:eastAsia="Times New Roman" w:cs="Times New Roman"/>
                <w:sz w:val="24"/>
                <w:szCs w:val="24"/>
              </w:rPr>
            </w:pPr>
            <w:r>
              <w:rPr>
                <w:rFonts w:hint="default" w:ascii="Times New Roman" w:hAnsi="Times New Roman" w:eastAsia="微软雅黑" w:cs="Times New Roman"/>
                <w:i w:val="0"/>
                <w:iCs w:val="0"/>
                <w:snapToGrid w:val="0"/>
                <w:color w:val="000000"/>
                <w:kern w:val="0"/>
                <w:sz w:val="24"/>
                <w:szCs w:val="24"/>
                <w:u w:val="none"/>
                <w:lang w:val="en-US" w:eastAsia="zh-CN" w:bidi="ar"/>
              </w:rPr>
              <w:t>0.14</w:t>
            </w:r>
          </w:p>
        </w:tc>
      </w:tr>
      <w:tr w14:paraId="097F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00399DEF">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8</w:t>
            </w:r>
          </w:p>
        </w:tc>
        <w:tc>
          <w:tcPr>
            <w:tcW w:w="3354" w:type="pct"/>
            <w:tcMar>
              <w:top w:w="0" w:type="dxa"/>
              <w:left w:w="57" w:type="dxa"/>
              <w:bottom w:w="0" w:type="dxa"/>
              <w:right w:w="57" w:type="dxa"/>
            </w:tcMar>
            <w:vAlign w:val="center"/>
          </w:tcPr>
          <w:p w14:paraId="2D45B496">
            <w:pPr>
              <w:keepNext w:val="0"/>
              <w:keepLines w:val="0"/>
              <w:widowControl/>
              <w:suppressLineNumbers w:val="0"/>
              <w:jc w:val="both"/>
              <w:textAlignment w:val="center"/>
              <w:rPr>
                <w:rFonts w:hint="eastAsia" w:ascii="黑体" w:hAnsi="黑体" w:eastAsia="黑体" w:cs="黑体"/>
                <w:sz w:val="24"/>
                <w:szCs w:val="24"/>
              </w:rPr>
            </w:pPr>
            <w:r>
              <w:rPr>
                <w:rFonts w:hint="eastAsia" w:ascii="黑体" w:hAnsi="宋体" w:eastAsia="黑体" w:cs="黑体"/>
                <w:i w:val="0"/>
                <w:iCs w:val="0"/>
                <w:snapToGrid w:val="0"/>
                <w:color w:val="000000"/>
                <w:kern w:val="0"/>
                <w:sz w:val="24"/>
                <w:szCs w:val="24"/>
                <w:u w:val="none"/>
                <w:lang w:val="en-US" w:eastAsia="zh-CN" w:bidi="ar"/>
              </w:rPr>
              <w:t>春风巷-乳山市特殊教育学校南边界-乳山市特殊教育学校西边界-海峰街-乳山二中东边界-前进街</w:t>
            </w:r>
          </w:p>
        </w:tc>
        <w:tc>
          <w:tcPr>
            <w:tcW w:w="1520" w:type="dxa"/>
            <w:tcMar>
              <w:top w:w="0" w:type="dxa"/>
              <w:left w:w="57" w:type="dxa"/>
              <w:bottom w:w="0" w:type="dxa"/>
              <w:right w:w="57" w:type="dxa"/>
            </w:tcMar>
            <w:vAlign w:val="center"/>
          </w:tcPr>
          <w:p w14:paraId="75C334F0">
            <w:pPr>
              <w:keepNext w:val="0"/>
              <w:keepLines w:val="0"/>
              <w:widowControl/>
              <w:suppressLineNumbers w:val="0"/>
              <w:jc w:val="center"/>
              <w:textAlignment w:val="center"/>
              <w:rPr>
                <w:rFonts w:hint="default" w:ascii="Times New Roman" w:hAnsi="Times New Roman" w:eastAsia="Times New Roman" w:cs="Times New Roman"/>
                <w:sz w:val="24"/>
                <w:szCs w:val="24"/>
              </w:rPr>
            </w:pPr>
            <w:r>
              <w:rPr>
                <w:rFonts w:hint="default" w:ascii="Times New Roman" w:hAnsi="Times New Roman" w:eastAsia="微软雅黑" w:cs="Times New Roman"/>
                <w:i w:val="0"/>
                <w:iCs w:val="0"/>
                <w:snapToGrid w:val="0"/>
                <w:color w:val="000000"/>
                <w:kern w:val="0"/>
                <w:sz w:val="24"/>
                <w:szCs w:val="24"/>
                <w:u w:val="none"/>
                <w:lang w:val="en-US" w:eastAsia="zh-CN" w:bidi="ar"/>
              </w:rPr>
              <w:t>0.20</w:t>
            </w:r>
          </w:p>
        </w:tc>
      </w:tr>
      <w:tr w14:paraId="0E051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564B74F8">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9</w:t>
            </w:r>
          </w:p>
        </w:tc>
        <w:tc>
          <w:tcPr>
            <w:tcW w:w="3354" w:type="pct"/>
            <w:tcMar>
              <w:top w:w="0" w:type="dxa"/>
              <w:left w:w="57" w:type="dxa"/>
              <w:bottom w:w="0" w:type="dxa"/>
              <w:right w:w="57" w:type="dxa"/>
            </w:tcMar>
            <w:vAlign w:val="center"/>
          </w:tcPr>
          <w:p w14:paraId="6DB4C004">
            <w:pPr>
              <w:keepNext w:val="0"/>
              <w:keepLines w:val="0"/>
              <w:widowControl/>
              <w:suppressLineNumbers w:val="0"/>
              <w:jc w:val="both"/>
              <w:textAlignment w:val="center"/>
              <w:rPr>
                <w:rFonts w:hint="eastAsia" w:ascii="黑体" w:hAnsi="黑体" w:eastAsia="黑体" w:cs="黑体"/>
                <w:sz w:val="24"/>
                <w:szCs w:val="24"/>
              </w:rPr>
            </w:pPr>
            <w:r>
              <w:rPr>
                <w:rFonts w:hint="eastAsia" w:ascii="黑体" w:hAnsi="宋体" w:eastAsia="黑体" w:cs="黑体"/>
                <w:i w:val="0"/>
                <w:iCs w:val="0"/>
                <w:snapToGrid w:val="0"/>
                <w:color w:val="000000"/>
                <w:kern w:val="0"/>
                <w:sz w:val="24"/>
                <w:szCs w:val="24"/>
                <w:u w:val="none"/>
                <w:lang w:val="en-US" w:eastAsia="zh-CN" w:bidi="ar"/>
              </w:rPr>
              <w:t>幸福花园小区西边界-幸福巷-幸福中巷-乳山实验中学北边界-乳山实验中学东边界-富兴苑小区北边界-富兴苑小区东边界-富兴苑小区南边界-幸福花园小区南边界</w:t>
            </w:r>
          </w:p>
        </w:tc>
        <w:tc>
          <w:tcPr>
            <w:tcW w:w="1520" w:type="dxa"/>
            <w:tcMar>
              <w:top w:w="0" w:type="dxa"/>
              <w:left w:w="57" w:type="dxa"/>
              <w:bottom w:w="0" w:type="dxa"/>
              <w:right w:w="57" w:type="dxa"/>
            </w:tcMar>
            <w:vAlign w:val="center"/>
          </w:tcPr>
          <w:p w14:paraId="6C53B3FF">
            <w:pPr>
              <w:keepNext w:val="0"/>
              <w:keepLines w:val="0"/>
              <w:widowControl/>
              <w:suppressLineNumbers w:val="0"/>
              <w:jc w:val="center"/>
              <w:textAlignment w:val="center"/>
              <w:rPr>
                <w:rFonts w:hint="default" w:ascii="Times New Roman" w:hAnsi="Times New Roman" w:eastAsia="Times New Roman" w:cs="Times New Roman"/>
                <w:sz w:val="24"/>
                <w:szCs w:val="24"/>
              </w:rPr>
            </w:pPr>
            <w:r>
              <w:rPr>
                <w:rFonts w:hint="default" w:ascii="Times New Roman" w:hAnsi="Times New Roman" w:eastAsia="微软雅黑" w:cs="Times New Roman"/>
                <w:i w:val="0"/>
                <w:iCs w:val="0"/>
                <w:snapToGrid w:val="0"/>
                <w:color w:val="000000"/>
                <w:kern w:val="0"/>
                <w:sz w:val="24"/>
                <w:szCs w:val="24"/>
                <w:u w:val="none"/>
                <w:lang w:val="en-US" w:eastAsia="zh-CN" w:bidi="ar"/>
              </w:rPr>
              <w:t>0.33</w:t>
            </w:r>
          </w:p>
        </w:tc>
      </w:tr>
      <w:tr w14:paraId="04E29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3A59F919">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10</w:t>
            </w:r>
          </w:p>
        </w:tc>
        <w:tc>
          <w:tcPr>
            <w:tcW w:w="3354" w:type="pct"/>
            <w:tcMar>
              <w:top w:w="0" w:type="dxa"/>
              <w:left w:w="57" w:type="dxa"/>
              <w:bottom w:w="0" w:type="dxa"/>
              <w:right w:w="57" w:type="dxa"/>
            </w:tcMar>
            <w:vAlign w:val="center"/>
          </w:tcPr>
          <w:p w14:paraId="6EE667B3">
            <w:pPr>
              <w:keepNext w:val="0"/>
              <w:keepLines w:val="0"/>
              <w:widowControl/>
              <w:suppressLineNumbers w:val="0"/>
              <w:jc w:val="left"/>
              <w:textAlignment w:val="center"/>
              <w:rPr>
                <w:rFonts w:hint="eastAsia" w:ascii="黑体" w:hAnsi="黑体" w:eastAsia="黑体" w:cs="黑体"/>
                <w:sz w:val="24"/>
                <w:szCs w:val="24"/>
                <w:highlight w:val="none"/>
              </w:rPr>
            </w:pPr>
            <w:r>
              <w:rPr>
                <w:rFonts w:hint="eastAsia" w:ascii="黑体" w:hAnsi="宋体" w:eastAsia="黑体" w:cs="黑体"/>
                <w:i w:val="0"/>
                <w:iCs w:val="0"/>
                <w:snapToGrid w:val="0"/>
                <w:color w:val="000000"/>
                <w:kern w:val="0"/>
                <w:sz w:val="24"/>
                <w:szCs w:val="24"/>
                <w:u w:val="none"/>
                <w:lang w:val="en-US" w:eastAsia="zh-CN" w:bidi="ar"/>
              </w:rPr>
              <w:t>世纪大道-祥和小区北边界-祥和小区东边界-祥和小区南边界-祥和小区东边界-泰山路-府东路-胜利街</w:t>
            </w:r>
          </w:p>
        </w:tc>
        <w:tc>
          <w:tcPr>
            <w:tcW w:w="1520" w:type="dxa"/>
            <w:tcMar>
              <w:top w:w="0" w:type="dxa"/>
              <w:left w:w="57" w:type="dxa"/>
              <w:bottom w:w="0" w:type="dxa"/>
              <w:right w:w="57" w:type="dxa"/>
            </w:tcMar>
            <w:vAlign w:val="center"/>
          </w:tcPr>
          <w:p w14:paraId="15C32E70">
            <w:pPr>
              <w:keepNext w:val="0"/>
              <w:keepLines w:val="0"/>
              <w:widowControl/>
              <w:suppressLineNumbers w:val="0"/>
              <w:jc w:val="center"/>
              <w:textAlignment w:val="center"/>
              <w:rPr>
                <w:rFonts w:hint="default" w:ascii="Times New Roman" w:hAnsi="Times New Roman" w:eastAsia="Times New Roman" w:cs="Times New Roman"/>
                <w:sz w:val="24"/>
                <w:szCs w:val="24"/>
              </w:rPr>
            </w:pPr>
            <w:r>
              <w:rPr>
                <w:rFonts w:hint="default" w:ascii="Times New Roman" w:hAnsi="Times New Roman" w:eastAsia="微软雅黑" w:cs="Times New Roman"/>
                <w:i w:val="0"/>
                <w:iCs w:val="0"/>
                <w:snapToGrid w:val="0"/>
                <w:color w:val="000000"/>
                <w:kern w:val="0"/>
                <w:sz w:val="24"/>
                <w:szCs w:val="24"/>
                <w:u w:val="none"/>
                <w:lang w:val="en-US" w:eastAsia="zh-CN" w:bidi="ar"/>
              </w:rPr>
              <w:t>0.31</w:t>
            </w:r>
          </w:p>
        </w:tc>
      </w:tr>
      <w:tr w14:paraId="70CC4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0A0CA7B4">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11</w:t>
            </w:r>
          </w:p>
        </w:tc>
        <w:tc>
          <w:tcPr>
            <w:tcW w:w="3354" w:type="pct"/>
            <w:tcMar>
              <w:top w:w="0" w:type="dxa"/>
              <w:left w:w="57" w:type="dxa"/>
              <w:bottom w:w="0" w:type="dxa"/>
              <w:right w:w="57" w:type="dxa"/>
            </w:tcMar>
            <w:vAlign w:val="center"/>
          </w:tcPr>
          <w:p w14:paraId="795D63AF">
            <w:pPr>
              <w:keepNext w:val="0"/>
              <w:keepLines w:val="0"/>
              <w:widowControl/>
              <w:suppressLineNumbers w:val="0"/>
              <w:jc w:val="left"/>
              <w:textAlignment w:val="center"/>
              <w:rPr>
                <w:rFonts w:hint="eastAsia" w:ascii="黑体" w:hAnsi="黑体" w:eastAsia="黑体" w:cs="黑体"/>
                <w:sz w:val="24"/>
                <w:szCs w:val="24"/>
              </w:rPr>
            </w:pPr>
            <w:r>
              <w:rPr>
                <w:rFonts w:hint="eastAsia" w:ascii="黑体" w:hAnsi="宋体" w:eastAsia="黑体" w:cs="黑体"/>
                <w:i w:val="0"/>
                <w:iCs w:val="0"/>
                <w:snapToGrid w:val="0"/>
                <w:color w:val="000000"/>
                <w:kern w:val="0"/>
                <w:sz w:val="24"/>
                <w:szCs w:val="24"/>
                <w:u w:val="none"/>
                <w:lang w:val="en-US" w:eastAsia="zh-CN" w:bidi="ar"/>
              </w:rPr>
              <w:t>府前路-乳山市发展和改革局北边界-府前路学校北边界-乳山市民政局北边界-乳山市第二实验小学北边界-国安路-商业街</w:t>
            </w:r>
          </w:p>
        </w:tc>
        <w:tc>
          <w:tcPr>
            <w:tcW w:w="1520" w:type="dxa"/>
            <w:tcMar>
              <w:top w:w="0" w:type="dxa"/>
              <w:left w:w="57" w:type="dxa"/>
              <w:bottom w:w="0" w:type="dxa"/>
              <w:right w:w="57" w:type="dxa"/>
            </w:tcMar>
            <w:vAlign w:val="center"/>
          </w:tcPr>
          <w:p w14:paraId="74F89880">
            <w:pPr>
              <w:keepNext w:val="0"/>
              <w:keepLines w:val="0"/>
              <w:widowControl/>
              <w:suppressLineNumbers w:val="0"/>
              <w:jc w:val="center"/>
              <w:textAlignment w:val="center"/>
              <w:rPr>
                <w:rFonts w:hint="default" w:ascii="Times New Roman" w:hAnsi="Times New Roman" w:eastAsia="Times New Roman" w:cs="Times New Roman"/>
                <w:sz w:val="24"/>
                <w:szCs w:val="24"/>
              </w:rPr>
            </w:pPr>
            <w:r>
              <w:rPr>
                <w:rFonts w:hint="default" w:ascii="Times New Roman" w:hAnsi="Times New Roman" w:eastAsia="微软雅黑" w:cs="Times New Roman"/>
                <w:i w:val="0"/>
                <w:iCs w:val="0"/>
                <w:snapToGrid w:val="0"/>
                <w:color w:val="000000"/>
                <w:kern w:val="0"/>
                <w:sz w:val="24"/>
                <w:szCs w:val="24"/>
                <w:u w:val="none"/>
                <w:lang w:val="en-US" w:eastAsia="zh-CN" w:bidi="ar"/>
              </w:rPr>
              <w:t>0.10</w:t>
            </w:r>
          </w:p>
        </w:tc>
      </w:tr>
      <w:tr w14:paraId="42D39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69BA308B">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12</w:t>
            </w:r>
          </w:p>
        </w:tc>
        <w:tc>
          <w:tcPr>
            <w:tcW w:w="3354" w:type="pct"/>
            <w:tcMar>
              <w:top w:w="0" w:type="dxa"/>
              <w:left w:w="57" w:type="dxa"/>
              <w:bottom w:w="0" w:type="dxa"/>
              <w:right w:w="57" w:type="dxa"/>
            </w:tcMar>
            <w:vAlign w:val="center"/>
          </w:tcPr>
          <w:p w14:paraId="65A89BE9">
            <w:pPr>
              <w:keepNext w:val="0"/>
              <w:keepLines w:val="0"/>
              <w:widowControl/>
              <w:suppressLineNumbers w:val="0"/>
              <w:jc w:val="left"/>
              <w:textAlignment w:val="center"/>
              <w:rPr>
                <w:rFonts w:hint="eastAsia" w:ascii="黑体" w:hAnsi="黑体" w:eastAsia="黑体" w:cs="黑体"/>
                <w:sz w:val="24"/>
                <w:szCs w:val="24"/>
              </w:rPr>
            </w:pPr>
            <w:r>
              <w:rPr>
                <w:rFonts w:hint="eastAsia" w:ascii="黑体" w:hAnsi="宋体" w:eastAsia="黑体" w:cs="黑体"/>
                <w:i w:val="0"/>
                <w:iCs w:val="0"/>
                <w:snapToGrid w:val="0"/>
                <w:color w:val="000000"/>
                <w:kern w:val="0"/>
                <w:sz w:val="24"/>
                <w:szCs w:val="24"/>
                <w:u w:val="none"/>
                <w:lang w:val="en-US" w:eastAsia="zh-CN" w:bidi="ar"/>
              </w:rPr>
              <w:t>海之缘花苑、银泰海景花园、檀香丽湾小区范围内</w:t>
            </w:r>
          </w:p>
        </w:tc>
        <w:tc>
          <w:tcPr>
            <w:tcW w:w="1520" w:type="dxa"/>
            <w:tcMar>
              <w:top w:w="0" w:type="dxa"/>
              <w:left w:w="57" w:type="dxa"/>
              <w:bottom w:w="0" w:type="dxa"/>
              <w:right w:w="57" w:type="dxa"/>
            </w:tcMar>
            <w:vAlign w:val="center"/>
          </w:tcPr>
          <w:p w14:paraId="5A97A740">
            <w:pPr>
              <w:keepNext w:val="0"/>
              <w:keepLines w:val="0"/>
              <w:widowControl/>
              <w:suppressLineNumbers w:val="0"/>
              <w:jc w:val="center"/>
              <w:textAlignment w:val="center"/>
              <w:rPr>
                <w:rFonts w:hint="default" w:ascii="Times New Roman" w:hAnsi="Times New Roman" w:eastAsia="Times New Roman" w:cs="Times New Roman"/>
                <w:sz w:val="24"/>
                <w:szCs w:val="24"/>
              </w:rPr>
            </w:pPr>
            <w:r>
              <w:rPr>
                <w:rFonts w:hint="default" w:ascii="Times New Roman" w:hAnsi="Times New Roman" w:eastAsia="微软雅黑" w:cs="Times New Roman"/>
                <w:i w:val="0"/>
                <w:iCs w:val="0"/>
                <w:snapToGrid w:val="0"/>
                <w:color w:val="000000"/>
                <w:kern w:val="0"/>
                <w:sz w:val="24"/>
                <w:szCs w:val="24"/>
                <w:u w:val="none"/>
                <w:lang w:val="en-US" w:eastAsia="zh-CN" w:bidi="ar"/>
              </w:rPr>
              <w:t>0.65</w:t>
            </w:r>
          </w:p>
        </w:tc>
      </w:tr>
      <w:tr w14:paraId="7EA94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73B3BEAC">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13</w:t>
            </w:r>
          </w:p>
        </w:tc>
        <w:tc>
          <w:tcPr>
            <w:tcW w:w="3354" w:type="pct"/>
            <w:tcMar>
              <w:top w:w="0" w:type="dxa"/>
              <w:left w:w="57" w:type="dxa"/>
              <w:bottom w:w="0" w:type="dxa"/>
              <w:right w:w="57" w:type="dxa"/>
            </w:tcMar>
            <w:vAlign w:val="center"/>
          </w:tcPr>
          <w:p w14:paraId="32C1D266">
            <w:pPr>
              <w:keepNext w:val="0"/>
              <w:keepLines w:val="0"/>
              <w:widowControl/>
              <w:suppressLineNumbers w:val="0"/>
              <w:jc w:val="center"/>
              <w:textAlignment w:val="center"/>
              <w:rPr>
                <w:rFonts w:hint="eastAsia" w:ascii="黑体" w:hAnsi="黑体" w:eastAsia="黑体" w:cs="黑体"/>
                <w:sz w:val="24"/>
                <w:szCs w:val="24"/>
              </w:rPr>
            </w:pPr>
            <w:r>
              <w:rPr>
                <w:rFonts w:hint="eastAsia" w:ascii="黑体" w:hAnsi="宋体" w:eastAsia="黑体" w:cs="黑体"/>
                <w:i w:val="0"/>
                <w:iCs w:val="0"/>
                <w:snapToGrid w:val="0"/>
                <w:color w:val="000000"/>
                <w:kern w:val="0"/>
                <w:sz w:val="24"/>
                <w:szCs w:val="24"/>
                <w:u w:val="none"/>
                <w:lang w:val="en-US" w:eastAsia="zh-CN" w:bidi="ar"/>
              </w:rPr>
              <w:t>银金大道-学院东路-长江路-学院西路</w:t>
            </w:r>
          </w:p>
        </w:tc>
        <w:tc>
          <w:tcPr>
            <w:tcW w:w="1520" w:type="dxa"/>
            <w:tcMar>
              <w:top w:w="0" w:type="dxa"/>
              <w:left w:w="57" w:type="dxa"/>
              <w:bottom w:w="0" w:type="dxa"/>
              <w:right w:w="57" w:type="dxa"/>
            </w:tcMar>
            <w:vAlign w:val="center"/>
          </w:tcPr>
          <w:p w14:paraId="6CDB6BE2">
            <w:pPr>
              <w:keepNext w:val="0"/>
              <w:keepLines w:val="0"/>
              <w:widowControl/>
              <w:suppressLineNumbers w:val="0"/>
              <w:jc w:val="center"/>
              <w:textAlignment w:val="center"/>
              <w:rPr>
                <w:rFonts w:hint="default" w:ascii="Times New Roman" w:hAnsi="Times New Roman" w:eastAsia="Times New Roman" w:cs="Times New Roman"/>
                <w:sz w:val="24"/>
                <w:szCs w:val="24"/>
              </w:rPr>
            </w:pPr>
            <w:r>
              <w:rPr>
                <w:rFonts w:hint="default" w:ascii="Times New Roman" w:hAnsi="Times New Roman" w:eastAsia="微软雅黑" w:cs="Times New Roman"/>
                <w:i w:val="0"/>
                <w:iCs w:val="0"/>
                <w:snapToGrid w:val="0"/>
                <w:color w:val="000000"/>
                <w:kern w:val="0"/>
                <w:sz w:val="24"/>
                <w:szCs w:val="24"/>
                <w:u w:val="none"/>
                <w:lang w:val="en-US" w:eastAsia="zh-CN" w:bidi="ar"/>
              </w:rPr>
              <w:t>1.03</w:t>
            </w:r>
          </w:p>
        </w:tc>
      </w:tr>
      <w:tr w14:paraId="1F66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3F5C77A4">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14</w:t>
            </w:r>
          </w:p>
        </w:tc>
        <w:tc>
          <w:tcPr>
            <w:tcW w:w="3354" w:type="pct"/>
            <w:tcMar>
              <w:top w:w="0" w:type="dxa"/>
              <w:left w:w="57" w:type="dxa"/>
              <w:bottom w:w="0" w:type="dxa"/>
              <w:right w:w="57" w:type="dxa"/>
            </w:tcMar>
            <w:vAlign w:val="center"/>
          </w:tcPr>
          <w:p w14:paraId="201AF576">
            <w:pPr>
              <w:keepNext w:val="0"/>
              <w:keepLines w:val="0"/>
              <w:widowControl/>
              <w:suppressLineNumbers w:val="0"/>
              <w:jc w:val="left"/>
              <w:textAlignment w:val="center"/>
              <w:rPr>
                <w:rFonts w:hint="default" w:ascii="黑体" w:hAnsi="黑体" w:eastAsia="黑体" w:cs="黑体"/>
                <w:sz w:val="24"/>
                <w:szCs w:val="24"/>
                <w:highlight w:val="none"/>
                <w:lang w:val="en-US"/>
              </w:rPr>
            </w:pPr>
            <w:r>
              <w:rPr>
                <w:rFonts w:hint="eastAsia" w:ascii="黑体" w:hAnsi="宋体" w:eastAsia="黑体" w:cs="黑体"/>
                <w:i w:val="0"/>
                <w:iCs w:val="0"/>
                <w:snapToGrid w:val="0"/>
                <w:color w:val="000000"/>
                <w:kern w:val="0"/>
                <w:sz w:val="24"/>
                <w:szCs w:val="24"/>
                <w:u w:val="none"/>
                <w:lang w:val="en-US" w:eastAsia="zh-CN" w:bidi="ar"/>
              </w:rPr>
              <w:t>山水嘉苑、山海天建筑群、山译阅海苑、山东外事职业大学西校区建筑群范围内</w:t>
            </w:r>
          </w:p>
        </w:tc>
        <w:tc>
          <w:tcPr>
            <w:tcW w:w="1520" w:type="dxa"/>
            <w:tcMar>
              <w:top w:w="0" w:type="dxa"/>
              <w:left w:w="57" w:type="dxa"/>
              <w:bottom w:w="0" w:type="dxa"/>
              <w:right w:w="57" w:type="dxa"/>
            </w:tcMar>
            <w:vAlign w:val="center"/>
          </w:tcPr>
          <w:p w14:paraId="608E928D">
            <w:pPr>
              <w:keepNext w:val="0"/>
              <w:keepLines w:val="0"/>
              <w:widowControl/>
              <w:suppressLineNumbers w:val="0"/>
              <w:jc w:val="center"/>
              <w:textAlignment w:val="center"/>
              <w:rPr>
                <w:rFonts w:hint="default" w:ascii="Times New Roman" w:hAnsi="Times New Roman" w:eastAsia="Times New Roman" w:cs="Times New Roman"/>
                <w:sz w:val="24"/>
                <w:szCs w:val="24"/>
                <w:highlight w:val="none"/>
                <w:lang w:val="en-US"/>
              </w:rPr>
            </w:pPr>
            <w:r>
              <w:rPr>
                <w:rFonts w:hint="default" w:ascii="Times New Roman" w:hAnsi="Times New Roman" w:eastAsia="微软雅黑" w:cs="Times New Roman"/>
                <w:i w:val="0"/>
                <w:iCs w:val="0"/>
                <w:snapToGrid w:val="0"/>
                <w:color w:val="000000"/>
                <w:kern w:val="0"/>
                <w:sz w:val="24"/>
                <w:szCs w:val="24"/>
                <w:u w:val="none"/>
                <w:lang w:val="en-US" w:eastAsia="zh-CN" w:bidi="ar"/>
              </w:rPr>
              <w:t>0.51</w:t>
            </w:r>
          </w:p>
        </w:tc>
      </w:tr>
      <w:tr w14:paraId="0364F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27E2A6F3">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15</w:t>
            </w:r>
          </w:p>
        </w:tc>
        <w:tc>
          <w:tcPr>
            <w:tcW w:w="3354" w:type="pct"/>
            <w:tcMar>
              <w:top w:w="0" w:type="dxa"/>
              <w:left w:w="57" w:type="dxa"/>
              <w:bottom w:w="0" w:type="dxa"/>
              <w:right w:w="57" w:type="dxa"/>
            </w:tcMar>
            <w:vAlign w:val="center"/>
          </w:tcPr>
          <w:p w14:paraId="0AF2C755">
            <w:pPr>
              <w:keepNext w:val="0"/>
              <w:keepLines w:val="0"/>
              <w:widowControl/>
              <w:suppressLineNumbers w:val="0"/>
              <w:jc w:val="left"/>
              <w:textAlignment w:val="center"/>
              <w:rPr>
                <w:rFonts w:hint="eastAsia" w:ascii="黑体" w:hAnsi="黑体" w:eastAsia="黑体" w:cs="黑体"/>
                <w:sz w:val="24"/>
                <w:szCs w:val="24"/>
              </w:rPr>
            </w:pPr>
            <w:r>
              <w:rPr>
                <w:rFonts w:hint="eastAsia" w:ascii="黑体" w:hAnsi="宋体" w:eastAsia="黑体" w:cs="黑体"/>
                <w:i w:val="0"/>
                <w:iCs w:val="0"/>
                <w:snapToGrid w:val="0"/>
                <w:color w:val="000000"/>
                <w:kern w:val="0"/>
                <w:sz w:val="24"/>
                <w:szCs w:val="24"/>
                <w:u w:val="none"/>
                <w:lang w:val="en-US" w:eastAsia="zh-CN" w:bidi="ar"/>
              </w:rPr>
              <w:t>碧海苑小区、碧海苑社区、香港平远国际城小区范围内</w:t>
            </w:r>
          </w:p>
        </w:tc>
        <w:tc>
          <w:tcPr>
            <w:tcW w:w="1520" w:type="dxa"/>
            <w:tcMar>
              <w:top w:w="0" w:type="dxa"/>
              <w:left w:w="57" w:type="dxa"/>
              <w:bottom w:w="0" w:type="dxa"/>
              <w:right w:w="57" w:type="dxa"/>
            </w:tcMar>
            <w:vAlign w:val="center"/>
          </w:tcPr>
          <w:p w14:paraId="4A1EFE2E">
            <w:pPr>
              <w:keepNext w:val="0"/>
              <w:keepLines w:val="0"/>
              <w:widowControl/>
              <w:suppressLineNumbers w:val="0"/>
              <w:jc w:val="center"/>
              <w:textAlignment w:val="center"/>
              <w:rPr>
                <w:rFonts w:hint="default" w:ascii="Times New Roman" w:hAnsi="Times New Roman" w:eastAsia="Times New Roman" w:cs="Times New Roman"/>
                <w:sz w:val="24"/>
                <w:szCs w:val="24"/>
              </w:rPr>
            </w:pPr>
            <w:r>
              <w:rPr>
                <w:rFonts w:hint="default" w:ascii="Times New Roman" w:hAnsi="Times New Roman" w:eastAsia="微软雅黑" w:cs="Times New Roman"/>
                <w:i w:val="0"/>
                <w:iCs w:val="0"/>
                <w:snapToGrid w:val="0"/>
                <w:color w:val="000000"/>
                <w:kern w:val="0"/>
                <w:sz w:val="24"/>
                <w:szCs w:val="24"/>
                <w:u w:val="none"/>
                <w:lang w:val="en-US" w:eastAsia="zh-CN" w:bidi="ar"/>
              </w:rPr>
              <w:t>0.42</w:t>
            </w:r>
          </w:p>
        </w:tc>
      </w:tr>
      <w:tr w14:paraId="4569B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35DFB2D0">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16</w:t>
            </w:r>
          </w:p>
        </w:tc>
        <w:tc>
          <w:tcPr>
            <w:tcW w:w="3354" w:type="pct"/>
            <w:tcMar>
              <w:top w:w="0" w:type="dxa"/>
              <w:left w:w="57" w:type="dxa"/>
              <w:bottom w:w="0" w:type="dxa"/>
              <w:right w:w="57" w:type="dxa"/>
            </w:tcMar>
            <w:vAlign w:val="center"/>
          </w:tcPr>
          <w:p w14:paraId="254C6756">
            <w:pPr>
              <w:keepNext w:val="0"/>
              <w:keepLines w:val="0"/>
              <w:widowControl/>
              <w:suppressLineNumbers w:val="0"/>
              <w:jc w:val="center"/>
              <w:textAlignment w:val="center"/>
              <w:rPr>
                <w:rFonts w:hint="eastAsia" w:ascii="黑体" w:hAnsi="黑体" w:eastAsia="黑体" w:cs="黑体"/>
                <w:sz w:val="24"/>
                <w:szCs w:val="24"/>
                <w:highlight w:val="none"/>
              </w:rPr>
            </w:pPr>
            <w:r>
              <w:rPr>
                <w:rFonts w:hint="eastAsia" w:ascii="黑体" w:hAnsi="宋体" w:eastAsia="黑体" w:cs="黑体"/>
                <w:i w:val="0"/>
                <w:iCs w:val="0"/>
                <w:snapToGrid w:val="0"/>
                <w:color w:val="000000"/>
                <w:kern w:val="0"/>
                <w:sz w:val="24"/>
                <w:szCs w:val="24"/>
                <w:u w:val="none"/>
                <w:lang w:val="en-US" w:eastAsia="zh-CN" w:bidi="ar"/>
              </w:rPr>
              <w:t>祥隆花园、山水花都、银滩之心观海苑、银滩之心度假俱乐部小区范围内</w:t>
            </w:r>
          </w:p>
        </w:tc>
        <w:tc>
          <w:tcPr>
            <w:tcW w:w="1520" w:type="dxa"/>
            <w:tcMar>
              <w:top w:w="0" w:type="dxa"/>
              <w:left w:w="57" w:type="dxa"/>
              <w:bottom w:w="0" w:type="dxa"/>
              <w:right w:w="57" w:type="dxa"/>
            </w:tcMar>
            <w:vAlign w:val="center"/>
          </w:tcPr>
          <w:p w14:paraId="734732CA">
            <w:pPr>
              <w:keepNext w:val="0"/>
              <w:keepLines w:val="0"/>
              <w:widowControl/>
              <w:suppressLineNumbers w:val="0"/>
              <w:jc w:val="center"/>
              <w:textAlignment w:val="center"/>
              <w:rPr>
                <w:rFonts w:hint="default" w:ascii="Times New Roman" w:hAnsi="Times New Roman" w:eastAsia="Times New Roman" w:cs="Times New Roman"/>
                <w:sz w:val="24"/>
                <w:szCs w:val="24"/>
                <w:highlight w:val="none"/>
              </w:rPr>
            </w:pPr>
            <w:r>
              <w:rPr>
                <w:rFonts w:hint="default" w:ascii="Times New Roman" w:hAnsi="Times New Roman" w:eastAsia="微软雅黑" w:cs="Times New Roman"/>
                <w:i w:val="0"/>
                <w:iCs w:val="0"/>
                <w:snapToGrid w:val="0"/>
                <w:color w:val="000000"/>
                <w:kern w:val="0"/>
                <w:sz w:val="24"/>
                <w:szCs w:val="24"/>
                <w:u w:val="none"/>
                <w:lang w:val="en-US" w:eastAsia="zh-CN" w:bidi="ar"/>
              </w:rPr>
              <w:t>0.50</w:t>
            </w:r>
          </w:p>
        </w:tc>
      </w:tr>
      <w:tr w14:paraId="3465D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43995B6B">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17</w:t>
            </w:r>
          </w:p>
        </w:tc>
        <w:tc>
          <w:tcPr>
            <w:tcW w:w="3354" w:type="pct"/>
            <w:tcMar>
              <w:top w:w="0" w:type="dxa"/>
              <w:left w:w="57" w:type="dxa"/>
              <w:bottom w:w="0" w:type="dxa"/>
              <w:right w:w="57" w:type="dxa"/>
            </w:tcMar>
            <w:vAlign w:val="center"/>
          </w:tcPr>
          <w:p w14:paraId="56A7C595">
            <w:pPr>
              <w:keepNext w:val="0"/>
              <w:keepLines w:val="0"/>
              <w:widowControl/>
              <w:suppressLineNumbers w:val="0"/>
              <w:jc w:val="center"/>
              <w:textAlignment w:val="center"/>
              <w:rPr>
                <w:rFonts w:hint="eastAsia" w:ascii="黑体" w:hAnsi="黑体" w:eastAsia="黑体" w:cs="黑体"/>
                <w:sz w:val="24"/>
                <w:szCs w:val="24"/>
              </w:rPr>
            </w:pPr>
            <w:r>
              <w:rPr>
                <w:rFonts w:hint="eastAsia" w:ascii="黑体" w:hAnsi="宋体" w:eastAsia="黑体" w:cs="黑体"/>
                <w:i w:val="0"/>
                <w:iCs w:val="0"/>
                <w:snapToGrid w:val="0"/>
                <w:color w:val="000000"/>
                <w:kern w:val="0"/>
                <w:sz w:val="24"/>
                <w:szCs w:val="24"/>
                <w:u w:val="none"/>
                <w:lang w:val="en-US" w:eastAsia="zh-CN" w:bidi="ar"/>
              </w:rPr>
              <w:t>淮河</w:t>
            </w:r>
            <w:bookmarkStart w:id="1" w:name="_GoBack"/>
            <w:bookmarkEnd w:id="1"/>
            <w:r>
              <w:rPr>
                <w:rFonts w:hint="eastAsia" w:ascii="黑体" w:hAnsi="宋体" w:eastAsia="黑体" w:cs="黑体"/>
                <w:i w:val="0"/>
                <w:iCs w:val="0"/>
                <w:snapToGrid w:val="0"/>
                <w:color w:val="000000"/>
                <w:kern w:val="0"/>
                <w:sz w:val="24"/>
                <w:szCs w:val="24"/>
                <w:u w:val="none"/>
                <w:lang w:val="en-US" w:eastAsia="zh-CN" w:bidi="ar"/>
              </w:rPr>
              <w:t>路6号、香格里湾、香格里湾二区小区范围内</w:t>
            </w:r>
          </w:p>
        </w:tc>
        <w:tc>
          <w:tcPr>
            <w:tcW w:w="1520" w:type="dxa"/>
            <w:tcMar>
              <w:top w:w="0" w:type="dxa"/>
              <w:left w:w="57" w:type="dxa"/>
              <w:bottom w:w="0" w:type="dxa"/>
              <w:right w:w="57" w:type="dxa"/>
            </w:tcMar>
            <w:vAlign w:val="center"/>
          </w:tcPr>
          <w:p w14:paraId="3F52EBD6">
            <w:pPr>
              <w:keepNext w:val="0"/>
              <w:keepLines w:val="0"/>
              <w:widowControl/>
              <w:suppressLineNumbers w:val="0"/>
              <w:jc w:val="center"/>
              <w:textAlignment w:val="center"/>
              <w:rPr>
                <w:rFonts w:hint="default" w:ascii="Times New Roman" w:hAnsi="Times New Roman" w:eastAsia="Times New Roman" w:cs="Times New Roman"/>
                <w:sz w:val="24"/>
                <w:szCs w:val="24"/>
              </w:rPr>
            </w:pPr>
            <w:r>
              <w:rPr>
                <w:rFonts w:hint="default" w:ascii="Times New Roman" w:hAnsi="Times New Roman" w:eastAsia="微软雅黑" w:cs="Times New Roman"/>
                <w:i w:val="0"/>
                <w:iCs w:val="0"/>
                <w:snapToGrid w:val="0"/>
                <w:color w:val="000000"/>
                <w:kern w:val="0"/>
                <w:sz w:val="24"/>
                <w:szCs w:val="24"/>
                <w:u w:val="none"/>
                <w:lang w:val="en-US" w:eastAsia="zh-CN" w:bidi="ar"/>
              </w:rPr>
              <w:t>0.12</w:t>
            </w:r>
          </w:p>
        </w:tc>
      </w:tr>
      <w:tr w14:paraId="7BF35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770A4086">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18</w:t>
            </w:r>
          </w:p>
        </w:tc>
        <w:tc>
          <w:tcPr>
            <w:tcW w:w="3354" w:type="pct"/>
            <w:tcMar>
              <w:top w:w="0" w:type="dxa"/>
              <w:left w:w="57" w:type="dxa"/>
              <w:bottom w:w="0" w:type="dxa"/>
              <w:right w:w="57" w:type="dxa"/>
            </w:tcMar>
            <w:vAlign w:val="center"/>
          </w:tcPr>
          <w:p w14:paraId="054F173F">
            <w:pPr>
              <w:keepNext w:val="0"/>
              <w:keepLines w:val="0"/>
              <w:widowControl/>
              <w:suppressLineNumbers w:val="0"/>
              <w:jc w:val="center"/>
              <w:textAlignment w:val="center"/>
              <w:rPr>
                <w:rFonts w:hint="eastAsia" w:ascii="黑体" w:hAnsi="黑体" w:eastAsia="黑体" w:cs="黑体"/>
                <w:sz w:val="24"/>
                <w:szCs w:val="24"/>
                <w:highlight w:val="none"/>
              </w:rPr>
            </w:pPr>
            <w:r>
              <w:rPr>
                <w:rFonts w:hint="eastAsia" w:ascii="黑体" w:hAnsi="宋体" w:eastAsia="黑体" w:cs="黑体"/>
                <w:i w:val="0"/>
                <w:iCs w:val="0"/>
                <w:snapToGrid w:val="0"/>
                <w:color w:val="000000"/>
                <w:kern w:val="0"/>
                <w:sz w:val="24"/>
                <w:szCs w:val="24"/>
                <w:u w:val="none"/>
                <w:lang w:val="en-US" w:eastAsia="zh-CN" w:bidi="ar"/>
              </w:rPr>
              <w:t>假日海景海之梦花苑、宏泰阳光花园、临海宜家、淮河路壹号小区范围内</w:t>
            </w:r>
          </w:p>
        </w:tc>
        <w:tc>
          <w:tcPr>
            <w:tcW w:w="1520" w:type="dxa"/>
            <w:tcMar>
              <w:top w:w="0" w:type="dxa"/>
              <w:left w:w="57" w:type="dxa"/>
              <w:bottom w:w="0" w:type="dxa"/>
              <w:right w:w="57" w:type="dxa"/>
            </w:tcMar>
            <w:vAlign w:val="center"/>
          </w:tcPr>
          <w:p w14:paraId="35D17ADA">
            <w:pPr>
              <w:keepNext w:val="0"/>
              <w:keepLines w:val="0"/>
              <w:widowControl/>
              <w:suppressLineNumbers w:val="0"/>
              <w:jc w:val="center"/>
              <w:textAlignment w:val="center"/>
              <w:rPr>
                <w:rFonts w:hint="default" w:ascii="Times New Roman" w:hAnsi="Times New Roman" w:eastAsia="Times New Roman" w:cs="Times New Roman"/>
                <w:sz w:val="24"/>
                <w:szCs w:val="24"/>
                <w:highlight w:val="none"/>
              </w:rPr>
            </w:pPr>
            <w:r>
              <w:rPr>
                <w:rFonts w:hint="default" w:ascii="Times New Roman" w:hAnsi="Times New Roman" w:eastAsia="微软雅黑" w:cs="Times New Roman"/>
                <w:i w:val="0"/>
                <w:iCs w:val="0"/>
                <w:snapToGrid w:val="0"/>
                <w:color w:val="000000"/>
                <w:kern w:val="0"/>
                <w:sz w:val="24"/>
                <w:szCs w:val="24"/>
                <w:u w:val="none"/>
                <w:lang w:val="en-US" w:eastAsia="zh-CN" w:bidi="ar"/>
              </w:rPr>
              <w:t>0.33</w:t>
            </w:r>
          </w:p>
        </w:tc>
      </w:tr>
      <w:tr w14:paraId="18CB3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09B7EC3D">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19</w:t>
            </w:r>
          </w:p>
        </w:tc>
        <w:tc>
          <w:tcPr>
            <w:tcW w:w="3354" w:type="pct"/>
            <w:tcMar>
              <w:top w:w="0" w:type="dxa"/>
              <w:left w:w="57" w:type="dxa"/>
              <w:bottom w:w="0" w:type="dxa"/>
              <w:right w:w="57" w:type="dxa"/>
            </w:tcMar>
            <w:vAlign w:val="center"/>
          </w:tcPr>
          <w:p w14:paraId="52884177">
            <w:pPr>
              <w:keepNext w:val="0"/>
              <w:keepLines w:val="0"/>
              <w:widowControl/>
              <w:suppressLineNumbers w:val="0"/>
              <w:jc w:val="center"/>
              <w:textAlignment w:val="center"/>
              <w:rPr>
                <w:rFonts w:hint="eastAsia" w:ascii="黑体" w:hAnsi="黑体" w:eastAsia="黑体" w:cs="黑体"/>
                <w:sz w:val="24"/>
                <w:szCs w:val="24"/>
              </w:rPr>
            </w:pPr>
            <w:r>
              <w:rPr>
                <w:rFonts w:hint="eastAsia" w:ascii="黑体" w:hAnsi="宋体" w:eastAsia="黑体" w:cs="黑体"/>
                <w:i w:val="0"/>
                <w:iCs w:val="0"/>
                <w:snapToGrid w:val="0"/>
                <w:color w:val="000000"/>
                <w:kern w:val="0"/>
                <w:sz w:val="24"/>
                <w:szCs w:val="24"/>
                <w:u w:val="none"/>
                <w:lang w:val="en-US" w:eastAsia="zh-CN" w:bidi="ar"/>
              </w:rPr>
              <w:t>福海苑小区范围内</w:t>
            </w:r>
          </w:p>
        </w:tc>
        <w:tc>
          <w:tcPr>
            <w:tcW w:w="1520" w:type="dxa"/>
            <w:tcMar>
              <w:top w:w="0" w:type="dxa"/>
              <w:left w:w="57" w:type="dxa"/>
              <w:bottom w:w="0" w:type="dxa"/>
              <w:right w:w="57" w:type="dxa"/>
            </w:tcMar>
            <w:vAlign w:val="center"/>
          </w:tcPr>
          <w:p w14:paraId="61A47AA7">
            <w:pPr>
              <w:keepNext w:val="0"/>
              <w:keepLines w:val="0"/>
              <w:widowControl/>
              <w:suppressLineNumbers w:val="0"/>
              <w:jc w:val="center"/>
              <w:textAlignment w:val="center"/>
              <w:rPr>
                <w:rFonts w:hint="default" w:ascii="Times New Roman" w:hAnsi="Times New Roman" w:eastAsia="Times New Roman" w:cs="Times New Roman"/>
                <w:sz w:val="24"/>
                <w:szCs w:val="24"/>
              </w:rPr>
            </w:pPr>
            <w:r>
              <w:rPr>
                <w:rFonts w:hint="default" w:ascii="Times New Roman" w:hAnsi="Times New Roman" w:eastAsia="微软雅黑" w:cs="Times New Roman"/>
                <w:i w:val="0"/>
                <w:iCs w:val="0"/>
                <w:snapToGrid w:val="0"/>
                <w:color w:val="000000"/>
                <w:kern w:val="0"/>
                <w:sz w:val="24"/>
                <w:szCs w:val="24"/>
                <w:u w:val="none"/>
                <w:lang w:val="en-US" w:eastAsia="zh-CN" w:bidi="ar"/>
              </w:rPr>
              <w:t>0.29</w:t>
            </w:r>
          </w:p>
        </w:tc>
      </w:tr>
      <w:tr w14:paraId="0E7E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6708305F">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20</w:t>
            </w:r>
          </w:p>
        </w:tc>
        <w:tc>
          <w:tcPr>
            <w:tcW w:w="3354" w:type="pct"/>
            <w:tcMar>
              <w:top w:w="0" w:type="dxa"/>
              <w:left w:w="57" w:type="dxa"/>
              <w:bottom w:w="0" w:type="dxa"/>
              <w:right w:w="57" w:type="dxa"/>
            </w:tcMar>
            <w:vAlign w:val="center"/>
          </w:tcPr>
          <w:p w14:paraId="1C0AFC1C">
            <w:pPr>
              <w:keepNext w:val="0"/>
              <w:keepLines w:val="0"/>
              <w:widowControl/>
              <w:suppressLineNumbers w:val="0"/>
              <w:jc w:val="center"/>
              <w:textAlignment w:val="center"/>
              <w:rPr>
                <w:rFonts w:hint="eastAsia" w:ascii="黑体" w:hAnsi="黑体" w:eastAsia="黑体" w:cs="黑体"/>
                <w:sz w:val="24"/>
                <w:szCs w:val="24"/>
                <w:lang w:val="en-US" w:eastAsia="zh-CN"/>
              </w:rPr>
            </w:pPr>
            <w:r>
              <w:rPr>
                <w:rFonts w:hint="eastAsia" w:ascii="黑体" w:hAnsi="宋体" w:eastAsia="黑体" w:cs="黑体"/>
                <w:i w:val="0"/>
                <w:iCs w:val="0"/>
                <w:snapToGrid w:val="0"/>
                <w:color w:val="000000"/>
                <w:kern w:val="0"/>
                <w:sz w:val="24"/>
                <w:szCs w:val="24"/>
                <w:u w:val="none"/>
                <w:lang w:val="en-US" w:eastAsia="zh-CN" w:bidi="ar"/>
              </w:rPr>
              <w:t>银河海景御花园小区范围内</w:t>
            </w:r>
          </w:p>
        </w:tc>
        <w:tc>
          <w:tcPr>
            <w:tcW w:w="1520" w:type="dxa"/>
            <w:tcMar>
              <w:top w:w="0" w:type="dxa"/>
              <w:left w:w="57" w:type="dxa"/>
              <w:bottom w:w="0" w:type="dxa"/>
              <w:right w:w="57" w:type="dxa"/>
            </w:tcMar>
            <w:vAlign w:val="center"/>
          </w:tcPr>
          <w:p w14:paraId="3FA2D2CE">
            <w:pPr>
              <w:keepNext w:val="0"/>
              <w:keepLines w:val="0"/>
              <w:widowControl/>
              <w:suppressLineNumbers w:val="0"/>
              <w:jc w:val="center"/>
              <w:textAlignment w:val="center"/>
              <w:rPr>
                <w:rFonts w:hint="default" w:ascii="Times New Roman" w:hAnsi="Times New Roman" w:eastAsia="Times New Roman" w:cs="Times New Roman"/>
                <w:sz w:val="24"/>
                <w:szCs w:val="24"/>
              </w:rPr>
            </w:pPr>
            <w:r>
              <w:rPr>
                <w:rFonts w:hint="default" w:ascii="Times New Roman" w:hAnsi="Times New Roman" w:eastAsia="微软雅黑" w:cs="Times New Roman"/>
                <w:i w:val="0"/>
                <w:iCs w:val="0"/>
                <w:snapToGrid w:val="0"/>
                <w:color w:val="000000"/>
                <w:kern w:val="0"/>
                <w:sz w:val="24"/>
                <w:szCs w:val="24"/>
                <w:u w:val="none"/>
                <w:lang w:val="en-US" w:eastAsia="zh-CN" w:bidi="ar"/>
              </w:rPr>
              <w:t>0.15</w:t>
            </w:r>
          </w:p>
        </w:tc>
      </w:tr>
      <w:tr w14:paraId="6F52D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01A6D871">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21</w:t>
            </w:r>
          </w:p>
        </w:tc>
        <w:tc>
          <w:tcPr>
            <w:tcW w:w="3354" w:type="pct"/>
            <w:tcMar>
              <w:top w:w="0" w:type="dxa"/>
              <w:left w:w="57" w:type="dxa"/>
              <w:bottom w:w="0" w:type="dxa"/>
              <w:right w:w="57" w:type="dxa"/>
            </w:tcMar>
            <w:vAlign w:val="center"/>
          </w:tcPr>
          <w:p w14:paraId="22A3FE12">
            <w:pPr>
              <w:keepNext w:val="0"/>
              <w:keepLines w:val="0"/>
              <w:widowControl/>
              <w:suppressLineNumbers w:val="0"/>
              <w:jc w:val="center"/>
              <w:textAlignment w:val="center"/>
              <w:rPr>
                <w:rFonts w:hint="eastAsia" w:ascii="黑体" w:hAnsi="黑体" w:eastAsia="黑体" w:cs="黑体"/>
                <w:sz w:val="24"/>
                <w:szCs w:val="24"/>
                <w:lang w:val="en-US" w:eastAsia="zh-CN"/>
              </w:rPr>
            </w:pPr>
            <w:r>
              <w:rPr>
                <w:rFonts w:hint="eastAsia" w:ascii="黑体" w:hAnsi="宋体" w:eastAsia="黑体" w:cs="黑体"/>
                <w:i w:val="0"/>
                <w:iCs w:val="0"/>
                <w:snapToGrid w:val="0"/>
                <w:color w:val="000000"/>
                <w:kern w:val="0"/>
                <w:sz w:val="24"/>
                <w:szCs w:val="24"/>
                <w:u w:val="none"/>
                <w:lang w:val="en-US" w:eastAsia="zh-CN" w:bidi="ar"/>
              </w:rPr>
              <w:t>将军滨海花园、滨海如意花园、明珠海苑小区范围内</w:t>
            </w:r>
          </w:p>
        </w:tc>
        <w:tc>
          <w:tcPr>
            <w:tcW w:w="1520" w:type="dxa"/>
            <w:tcMar>
              <w:top w:w="0" w:type="dxa"/>
              <w:left w:w="57" w:type="dxa"/>
              <w:bottom w:w="0" w:type="dxa"/>
              <w:right w:w="57" w:type="dxa"/>
            </w:tcMar>
            <w:vAlign w:val="center"/>
          </w:tcPr>
          <w:p w14:paraId="0B55F569">
            <w:pPr>
              <w:keepNext w:val="0"/>
              <w:keepLines w:val="0"/>
              <w:widowControl/>
              <w:suppressLineNumbers w:val="0"/>
              <w:jc w:val="center"/>
              <w:textAlignment w:val="center"/>
              <w:rPr>
                <w:rFonts w:hint="default" w:ascii="Times New Roman" w:hAnsi="Times New Roman" w:eastAsia="Times New Roman" w:cs="Times New Roman"/>
                <w:sz w:val="24"/>
                <w:szCs w:val="24"/>
              </w:rPr>
            </w:pPr>
            <w:r>
              <w:rPr>
                <w:rFonts w:hint="default" w:ascii="Times New Roman" w:hAnsi="Times New Roman" w:eastAsia="微软雅黑" w:cs="Times New Roman"/>
                <w:i w:val="0"/>
                <w:iCs w:val="0"/>
                <w:snapToGrid w:val="0"/>
                <w:color w:val="000000"/>
                <w:kern w:val="0"/>
                <w:sz w:val="24"/>
                <w:szCs w:val="24"/>
                <w:u w:val="none"/>
                <w:lang w:val="en-US" w:eastAsia="zh-CN" w:bidi="ar"/>
              </w:rPr>
              <w:t>0.29</w:t>
            </w:r>
          </w:p>
        </w:tc>
      </w:tr>
      <w:tr w14:paraId="17D1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5B5EBB8B">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22</w:t>
            </w:r>
          </w:p>
        </w:tc>
        <w:tc>
          <w:tcPr>
            <w:tcW w:w="3354" w:type="pct"/>
            <w:tcMar>
              <w:top w:w="0" w:type="dxa"/>
              <w:left w:w="57" w:type="dxa"/>
              <w:bottom w:w="0" w:type="dxa"/>
              <w:right w:w="57" w:type="dxa"/>
            </w:tcMar>
            <w:vAlign w:val="center"/>
          </w:tcPr>
          <w:p w14:paraId="06396A95">
            <w:pPr>
              <w:keepNext w:val="0"/>
              <w:keepLines w:val="0"/>
              <w:widowControl/>
              <w:suppressLineNumbers w:val="0"/>
              <w:jc w:val="center"/>
              <w:textAlignment w:val="center"/>
              <w:rPr>
                <w:rFonts w:hint="eastAsia" w:ascii="黑体" w:hAnsi="黑体" w:eastAsia="黑体" w:cs="黑体"/>
                <w:sz w:val="24"/>
                <w:szCs w:val="24"/>
              </w:rPr>
            </w:pPr>
            <w:r>
              <w:rPr>
                <w:rFonts w:hint="eastAsia" w:ascii="黑体" w:hAnsi="宋体" w:eastAsia="黑体" w:cs="黑体"/>
                <w:i w:val="0"/>
                <w:iCs w:val="0"/>
                <w:snapToGrid w:val="0"/>
                <w:color w:val="000000"/>
                <w:kern w:val="0"/>
                <w:sz w:val="24"/>
                <w:szCs w:val="24"/>
                <w:u w:val="none"/>
                <w:lang w:val="en-US" w:eastAsia="zh-CN" w:bidi="ar"/>
              </w:rPr>
              <w:t>海韵阳光花园小区范围内</w:t>
            </w:r>
          </w:p>
        </w:tc>
        <w:tc>
          <w:tcPr>
            <w:tcW w:w="1520" w:type="dxa"/>
            <w:tcMar>
              <w:top w:w="0" w:type="dxa"/>
              <w:left w:w="57" w:type="dxa"/>
              <w:bottom w:w="0" w:type="dxa"/>
              <w:right w:w="57" w:type="dxa"/>
            </w:tcMar>
            <w:vAlign w:val="center"/>
          </w:tcPr>
          <w:p w14:paraId="66EEE4FE">
            <w:pPr>
              <w:keepNext w:val="0"/>
              <w:keepLines w:val="0"/>
              <w:widowControl/>
              <w:suppressLineNumbers w:val="0"/>
              <w:jc w:val="center"/>
              <w:textAlignment w:val="center"/>
              <w:rPr>
                <w:rFonts w:hint="default" w:ascii="Times New Roman" w:hAnsi="Times New Roman" w:eastAsia="Times New Roman" w:cs="Times New Roman"/>
                <w:sz w:val="24"/>
                <w:szCs w:val="24"/>
              </w:rPr>
            </w:pPr>
            <w:r>
              <w:rPr>
                <w:rFonts w:hint="default" w:ascii="Times New Roman" w:hAnsi="Times New Roman" w:eastAsia="微软雅黑" w:cs="Times New Roman"/>
                <w:i w:val="0"/>
                <w:iCs w:val="0"/>
                <w:snapToGrid w:val="0"/>
                <w:color w:val="000000"/>
                <w:kern w:val="0"/>
                <w:sz w:val="24"/>
                <w:szCs w:val="24"/>
                <w:u w:val="none"/>
                <w:lang w:val="en-US" w:eastAsia="zh-CN" w:bidi="ar"/>
              </w:rPr>
              <w:t>0.22</w:t>
            </w:r>
          </w:p>
        </w:tc>
      </w:tr>
      <w:tr w14:paraId="75AE7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2C34EC99">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23</w:t>
            </w:r>
          </w:p>
        </w:tc>
        <w:tc>
          <w:tcPr>
            <w:tcW w:w="3354" w:type="pct"/>
            <w:tcMar>
              <w:top w:w="0" w:type="dxa"/>
              <w:left w:w="57" w:type="dxa"/>
              <w:bottom w:w="0" w:type="dxa"/>
              <w:right w:w="57" w:type="dxa"/>
            </w:tcMar>
            <w:vAlign w:val="center"/>
          </w:tcPr>
          <w:p w14:paraId="313E3BCD">
            <w:pPr>
              <w:keepNext w:val="0"/>
              <w:keepLines w:val="0"/>
              <w:widowControl/>
              <w:suppressLineNumbers w:val="0"/>
              <w:jc w:val="center"/>
              <w:textAlignment w:val="center"/>
              <w:rPr>
                <w:rFonts w:hint="eastAsia" w:ascii="黑体" w:hAnsi="黑体" w:eastAsia="黑体" w:cs="黑体"/>
                <w:sz w:val="24"/>
                <w:szCs w:val="24"/>
              </w:rPr>
            </w:pPr>
            <w:r>
              <w:rPr>
                <w:rFonts w:hint="eastAsia" w:ascii="黑体" w:hAnsi="宋体" w:eastAsia="黑体" w:cs="黑体"/>
                <w:i w:val="0"/>
                <w:iCs w:val="0"/>
                <w:snapToGrid w:val="0"/>
                <w:color w:val="000000"/>
                <w:kern w:val="0"/>
                <w:sz w:val="24"/>
                <w:szCs w:val="24"/>
                <w:u w:val="none"/>
                <w:lang w:val="en-US" w:eastAsia="zh-CN" w:bidi="ar"/>
              </w:rPr>
              <w:t>富海花园、海翔花园、水岸人家、益天花园、御宫花园小区范围内</w:t>
            </w:r>
          </w:p>
        </w:tc>
        <w:tc>
          <w:tcPr>
            <w:tcW w:w="1520" w:type="dxa"/>
            <w:tcMar>
              <w:top w:w="0" w:type="dxa"/>
              <w:left w:w="57" w:type="dxa"/>
              <w:bottom w:w="0" w:type="dxa"/>
              <w:right w:w="57" w:type="dxa"/>
            </w:tcMar>
            <w:vAlign w:val="center"/>
          </w:tcPr>
          <w:p w14:paraId="2BD6EC44">
            <w:pPr>
              <w:keepNext w:val="0"/>
              <w:keepLines w:val="0"/>
              <w:widowControl/>
              <w:suppressLineNumbers w:val="0"/>
              <w:jc w:val="center"/>
              <w:textAlignment w:val="center"/>
              <w:rPr>
                <w:rFonts w:hint="default" w:ascii="Times New Roman" w:hAnsi="Times New Roman" w:eastAsia="Times New Roman" w:cs="Times New Roman"/>
                <w:sz w:val="24"/>
                <w:szCs w:val="24"/>
              </w:rPr>
            </w:pPr>
            <w:r>
              <w:rPr>
                <w:rFonts w:hint="default" w:ascii="Times New Roman" w:hAnsi="Times New Roman" w:eastAsia="微软雅黑" w:cs="Times New Roman"/>
                <w:i w:val="0"/>
                <w:iCs w:val="0"/>
                <w:snapToGrid w:val="0"/>
                <w:color w:val="000000"/>
                <w:kern w:val="0"/>
                <w:sz w:val="24"/>
                <w:szCs w:val="24"/>
                <w:u w:val="none"/>
                <w:lang w:val="en-US" w:eastAsia="zh-CN" w:bidi="ar"/>
              </w:rPr>
              <w:t>0.31</w:t>
            </w:r>
          </w:p>
        </w:tc>
      </w:tr>
      <w:tr w14:paraId="19D1F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530688B6">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24</w:t>
            </w:r>
          </w:p>
        </w:tc>
        <w:tc>
          <w:tcPr>
            <w:tcW w:w="3354" w:type="pct"/>
            <w:tcMar>
              <w:top w:w="0" w:type="dxa"/>
              <w:left w:w="57" w:type="dxa"/>
              <w:bottom w:w="0" w:type="dxa"/>
              <w:right w:w="57" w:type="dxa"/>
            </w:tcMar>
            <w:vAlign w:val="center"/>
          </w:tcPr>
          <w:p w14:paraId="08391F1E">
            <w:pPr>
              <w:keepNext w:val="0"/>
              <w:keepLines w:val="0"/>
              <w:widowControl/>
              <w:suppressLineNumbers w:val="0"/>
              <w:jc w:val="center"/>
              <w:textAlignment w:val="center"/>
              <w:rPr>
                <w:rFonts w:hint="eastAsia" w:ascii="黑体" w:hAnsi="黑体" w:eastAsia="黑体" w:cs="黑体"/>
                <w:sz w:val="24"/>
                <w:szCs w:val="24"/>
              </w:rPr>
            </w:pPr>
            <w:r>
              <w:rPr>
                <w:rFonts w:hint="eastAsia" w:ascii="黑体" w:hAnsi="宋体" w:eastAsia="黑体" w:cs="黑体"/>
                <w:i w:val="0"/>
                <w:iCs w:val="0"/>
                <w:snapToGrid w:val="0"/>
                <w:color w:val="000000"/>
                <w:kern w:val="0"/>
                <w:sz w:val="24"/>
                <w:szCs w:val="24"/>
                <w:u w:val="none"/>
                <w:lang w:val="en-US" w:eastAsia="zh-CN" w:bidi="ar"/>
              </w:rPr>
              <w:t>乳山市委党校、融基天海人和小区范围内</w:t>
            </w:r>
          </w:p>
        </w:tc>
        <w:tc>
          <w:tcPr>
            <w:tcW w:w="1520" w:type="dxa"/>
            <w:tcMar>
              <w:top w:w="0" w:type="dxa"/>
              <w:left w:w="57" w:type="dxa"/>
              <w:bottom w:w="0" w:type="dxa"/>
              <w:right w:w="57" w:type="dxa"/>
            </w:tcMar>
            <w:vAlign w:val="center"/>
          </w:tcPr>
          <w:p w14:paraId="138BCC93">
            <w:pPr>
              <w:keepNext w:val="0"/>
              <w:keepLines w:val="0"/>
              <w:widowControl/>
              <w:suppressLineNumbers w:val="0"/>
              <w:jc w:val="center"/>
              <w:textAlignment w:val="center"/>
              <w:rPr>
                <w:rFonts w:hint="default" w:ascii="Times New Roman" w:hAnsi="Times New Roman" w:eastAsia="Times New Roman" w:cs="Times New Roman"/>
                <w:sz w:val="24"/>
                <w:szCs w:val="24"/>
              </w:rPr>
            </w:pPr>
            <w:r>
              <w:rPr>
                <w:rFonts w:hint="default" w:ascii="Times New Roman" w:hAnsi="Times New Roman" w:eastAsia="微软雅黑" w:cs="Times New Roman"/>
                <w:i w:val="0"/>
                <w:iCs w:val="0"/>
                <w:snapToGrid w:val="0"/>
                <w:color w:val="000000"/>
                <w:kern w:val="0"/>
                <w:sz w:val="24"/>
                <w:szCs w:val="24"/>
                <w:u w:val="none"/>
                <w:lang w:val="en-US" w:eastAsia="zh-CN" w:bidi="ar"/>
              </w:rPr>
              <w:t>0.15</w:t>
            </w:r>
          </w:p>
        </w:tc>
      </w:tr>
      <w:tr w14:paraId="5C20C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0D48BDFC">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25</w:t>
            </w:r>
          </w:p>
        </w:tc>
        <w:tc>
          <w:tcPr>
            <w:tcW w:w="3354" w:type="pct"/>
            <w:tcMar>
              <w:top w:w="0" w:type="dxa"/>
              <w:left w:w="57" w:type="dxa"/>
              <w:bottom w:w="0" w:type="dxa"/>
              <w:right w:w="57" w:type="dxa"/>
            </w:tcMar>
            <w:vAlign w:val="center"/>
          </w:tcPr>
          <w:p w14:paraId="7B960B77">
            <w:pPr>
              <w:keepNext w:val="0"/>
              <w:keepLines w:val="0"/>
              <w:widowControl/>
              <w:suppressLineNumbers w:val="0"/>
              <w:jc w:val="center"/>
              <w:textAlignment w:val="center"/>
              <w:rPr>
                <w:rFonts w:hint="eastAsia" w:ascii="黑体" w:hAnsi="黑体" w:eastAsia="黑体" w:cs="黑体"/>
                <w:sz w:val="24"/>
                <w:szCs w:val="24"/>
              </w:rPr>
            </w:pPr>
            <w:r>
              <w:rPr>
                <w:rFonts w:hint="eastAsia" w:ascii="黑体" w:hAnsi="宋体" w:eastAsia="黑体" w:cs="黑体"/>
                <w:i w:val="0"/>
                <w:iCs w:val="0"/>
                <w:snapToGrid w:val="0"/>
                <w:color w:val="000000"/>
                <w:kern w:val="0"/>
                <w:sz w:val="24"/>
                <w:szCs w:val="24"/>
                <w:u w:val="none"/>
                <w:lang w:val="en-US" w:eastAsia="zh-CN" w:bidi="ar"/>
              </w:rPr>
              <w:t>海都花苑小区范围内</w:t>
            </w:r>
          </w:p>
        </w:tc>
        <w:tc>
          <w:tcPr>
            <w:tcW w:w="1520" w:type="dxa"/>
            <w:tcMar>
              <w:top w:w="0" w:type="dxa"/>
              <w:left w:w="57" w:type="dxa"/>
              <w:bottom w:w="0" w:type="dxa"/>
              <w:right w:w="57" w:type="dxa"/>
            </w:tcMar>
            <w:vAlign w:val="center"/>
          </w:tcPr>
          <w:p w14:paraId="2CF51682">
            <w:pPr>
              <w:keepNext w:val="0"/>
              <w:keepLines w:val="0"/>
              <w:widowControl/>
              <w:suppressLineNumbers w:val="0"/>
              <w:jc w:val="center"/>
              <w:textAlignment w:val="center"/>
              <w:rPr>
                <w:rFonts w:hint="default" w:ascii="Times New Roman" w:hAnsi="Times New Roman" w:eastAsia="Times New Roman" w:cs="Times New Roman"/>
                <w:sz w:val="24"/>
                <w:szCs w:val="24"/>
              </w:rPr>
            </w:pPr>
            <w:r>
              <w:rPr>
                <w:rFonts w:hint="default" w:ascii="Times New Roman" w:hAnsi="Times New Roman" w:eastAsia="微软雅黑" w:cs="Times New Roman"/>
                <w:i w:val="0"/>
                <w:iCs w:val="0"/>
                <w:snapToGrid w:val="0"/>
                <w:color w:val="000000"/>
                <w:kern w:val="0"/>
                <w:sz w:val="24"/>
                <w:szCs w:val="24"/>
                <w:u w:val="none"/>
                <w:lang w:val="en-US" w:eastAsia="zh-CN" w:bidi="ar"/>
              </w:rPr>
              <w:t>0.17</w:t>
            </w:r>
          </w:p>
        </w:tc>
      </w:tr>
      <w:tr w14:paraId="03520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5BA366CA">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26</w:t>
            </w:r>
          </w:p>
        </w:tc>
        <w:tc>
          <w:tcPr>
            <w:tcW w:w="3354" w:type="pct"/>
            <w:tcMar>
              <w:top w:w="0" w:type="dxa"/>
              <w:left w:w="57" w:type="dxa"/>
              <w:bottom w:w="0" w:type="dxa"/>
              <w:right w:w="57" w:type="dxa"/>
            </w:tcMar>
            <w:vAlign w:val="center"/>
          </w:tcPr>
          <w:p w14:paraId="1143C55F">
            <w:pPr>
              <w:keepNext w:val="0"/>
              <w:keepLines w:val="0"/>
              <w:widowControl/>
              <w:suppressLineNumbers w:val="0"/>
              <w:jc w:val="center"/>
              <w:textAlignment w:val="center"/>
              <w:rPr>
                <w:rFonts w:hint="eastAsia" w:ascii="黑体" w:hAnsi="黑体" w:eastAsia="黑体" w:cs="黑体"/>
                <w:sz w:val="24"/>
                <w:szCs w:val="24"/>
              </w:rPr>
            </w:pPr>
            <w:r>
              <w:rPr>
                <w:rFonts w:hint="eastAsia" w:ascii="黑体" w:hAnsi="宋体" w:eastAsia="黑体" w:cs="黑体"/>
                <w:i w:val="0"/>
                <w:iCs w:val="0"/>
                <w:snapToGrid w:val="0"/>
                <w:color w:val="000000"/>
                <w:kern w:val="0"/>
                <w:sz w:val="24"/>
                <w:szCs w:val="24"/>
                <w:u w:val="none"/>
                <w:lang w:val="en-US" w:eastAsia="zh-CN" w:bidi="ar"/>
              </w:rPr>
              <w:t>万豪庭海苑、金长城花园范围内</w:t>
            </w:r>
          </w:p>
        </w:tc>
        <w:tc>
          <w:tcPr>
            <w:tcW w:w="1520" w:type="dxa"/>
            <w:tcMar>
              <w:top w:w="0" w:type="dxa"/>
              <w:left w:w="57" w:type="dxa"/>
              <w:bottom w:w="0" w:type="dxa"/>
              <w:right w:w="57" w:type="dxa"/>
            </w:tcMar>
            <w:vAlign w:val="center"/>
          </w:tcPr>
          <w:p w14:paraId="1CAFFDA3">
            <w:pPr>
              <w:keepNext w:val="0"/>
              <w:keepLines w:val="0"/>
              <w:widowControl/>
              <w:suppressLineNumbers w:val="0"/>
              <w:jc w:val="center"/>
              <w:textAlignment w:val="center"/>
              <w:rPr>
                <w:rFonts w:hint="default" w:ascii="Times New Roman" w:hAnsi="Times New Roman" w:eastAsia="Times New Roman" w:cs="Times New Roman"/>
                <w:sz w:val="24"/>
                <w:szCs w:val="24"/>
              </w:rPr>
            </w:pPr>
            <w:r>
              <w:rPr>
                <w:rFonts w:hint="default" w:ascii="Times New Roman" w:hAnsi="Times New Roman" w:eastAsia="微软雅黑" w:cs="Times New Roman"/>
                <w:i w:val="0"/>
                <w:iCs w:val="0"/>
                <w:snapToGrid w:val="0"/>
                <w:color w:val="000000"/>
                <w:kern w:val="0"/>
                <w:sz w:val="24"/>
                <w:szCs w:val="24"/>
                <w:u w:val="none"/>
                <w:lang w:val="en-US" w:eastAsia="zh-CN" w:bidi="ar"/>
              </w:rPr>
              <w:t>0.32</w:t>
            </w:r>
          </w:p>
        </w:tc>
      </w:tr>
      <w:tr w14:paraId="3AAC5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77A880BD">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27</w:t>
            </w:r>
          </w:p>
        </w:tc>
        <w:tc>
          <w:tcPr>
            <w:tcW w:w="3354" w:type="pct"/>
            <w:tcMar>
              <w:top w:w="0" w:type="dxa"/>
              <w:left w:w="57" w:type="dxa"/>
              <w:bottom w:w="0" w:type="dxa"/>
              <w:right w:w="57" w:type="dxa"/>
            </w:tcMar>
            <w:vAlign w:val="center"/>
          </w:tcPr>
          <w:p w14:paraId="6A52F23F">
            <w:pPr>
              <w:keepNext w:val="0"/>
              <w:keepLines w:val="0"/>
              <w:widowControl/>
              <w:suppressLineNumbers w:val="0"/>
              <w:jc w:val="center"/>
              <w:textAlignment w:val="center"/>
              <w:rPr>
                <w:rFonts w:hint="eastAsia" w:ascii="黑体" w:hAnsi="黑体" w:eastAsia="黑体" w:cs="黑体"/>
                <w:sz w:val="24"/>
                <w:szCs w:val="24"/>
              </w:rPr>
            </w:pPr>
            <w:r>
              <w:rPr>
                <w:rFonts w:hint="eastAsia" w:ascii="黑体" w:hAnsi="宋体" w:eastAsia="黑体" w:cs="黑体"/>
                <w:i w:val="0"/>
                <w:iCs w:val="0"/>
                <w:snapToGrid w:val="0"/>
                <w:color w:val="000000"/>
                <w:kern w:val="0"/>
                <w:sz w:val="24"/>
                <w:szCs w:val="24"/>
                <w:u w:val="none"/>
                <w:lang w:val="en-US" w:eastAsia="zh-CN" w:bidi="ar"/>
              </w:rPr>
              <w:t>中房蔚蓝海岸小区范围内</w:t>
            </w:r>
          </w:p>
        </w:tc>
        <w:tc>
          <w:tcPr>
            <w:tcW w:w="1520" w:type="dxa"/>
            <w:tcMar>
              <w:top w:w="0" w:type="dxa"/>
              <w:left w:w="57" w:type="dxa"/>
              <w:bottom w:w="0" w:type="dxa"/>
              <w:right w:w="57" w:type="dxa"/>
            </w:tcMar>
            <w:vAlign w:val="center"/>
          </w:tcPr>
          <w:p w14:paraId="3F91A659">
            <w:pPr>
              <w:keepNext w:val="0"/>
              <w:keepLines w:val="0"/>
              <w:widowControl/>
              <w:suppressLineNumbers w:val="0"/>
              <w:jc w:val="center"/>
              <w:textAlignment w:val="center"/>
              <w:rPr>
                <w:rFonts w:hint="default" w:ascii="Times New Roman" w:hAnsi="Times New Roman" w:eastAsia="Times New Roman" w:cs="Times New Roman"/>
                <w:sz w:val="24"/>
                <w:szCs w:val="24"/>
              </w:rPr>
            </w:pPr>
            <w:r>
              <w:rPr>
                <w:rFonts w:hint="default" w:ascii="Times New Roman" w:hAnsi="Times New Roman" w:eastAsia="微软雅黑" w:cs="Times New Roman"/>
                <w:i w:val="0"/>
                <w:iCs w:val="0"/>
                <w:snapToGrid w:val="0"/>
                <w:color w:val="000000"/>
                <w:kern w:val="0"/>
                <w:sz w:val="24"/>
                <w:szCs w:val="24"/>
                <w:u w:val="none"/>
                <w:lang w:val="en-US" w:eastAsia="zh-CN" w:bidi="ar"/>
              </w:rPr>
              <w:t>0.17</w:t>
            </w:r>
          </w:p>
        </w:tc>
      </w:tr>
      <w:tr w14:paraId="27D08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75C0DC71">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28</w:t>
            </w:r>
          </w:p>
        </w:tc>
        <w:tc>
          <w:tcPr>
            <w:tcW w:w="3354" w:type="pct"/>
            <w:tcMar>
              <w:top w:w="0" w:type="dxa"/>
              <w:left w:w="57" w:type="dxa"/>
              <w:bottom w:w="0" w:type="dxa"/>
              <w:right w:w="57" w:type="dxa"/>
            </w:tcMar>
            <w:vAlign w:val="center"/>
          </w:tcPr>
          <w:p w14:paraId="137C3A6E">
            <w:pPr>
              <w:keepNext w:val="0"/>
              <w:keepLines w:val="0"/>
              <w:widowControl/>
              <w:suppressLineNumbers w:val="0"/>
              <w:jc w:val="center"/>
              <w:textAlignment w:val="center"/>
              <w:rPr>
                <w:rFonts w:hint="eastAsia" w:ascii="黑体" w:hAnsi="黑体" w:eastAsia="黑体" w:cs="黑体"/>
                <w:sz w:val="24"/>
                <w:szCs w:val="24"/>
              </w:rPr>
            </w:pPr>
            <w:r>
              <w:rPr>
                <w:rFonts w:hint="eastAsia" w:ascii="黑体" w:hAnsi="宋体" w:eastAsia="黑体" w:cs="黑体"/>
                <w:i w:val="0"/>
                <w:iCs w:val="0"/>
                <w:snapToGrid w:val="0"/>
                <w:color w:val="000000"/>
                <w:kern w:val="0"/>
                <w:sz w:val="24"/>
                <w:szCs w:val="24"/>
                <w:u w:val="none"/>
                <w:lang w:val="en-US" w:eastAsia="zh-CN" w:bidi="ar"/>
              </w:rPr>
              <w:t>大庆景园、恒兴碧海康居、阳光海岸花园、益海花园、银滩富绅小区、天安海景园小区范围内</w:t>
            </w:r>
          </w:p>
        </w:tc>
        <w:tc>
          <w:tcPr>
            <w:tcW w:w="1520" w:type="dxa"/>
            <w:tcMar>
              <w:top w:w="0" w:type="dxa"/>
              <w:left w:w="57" w:type="dxa"/>
              <w:bottom w:w="0" w:type="dxa"/>
              <w:right w:w="57" w:type="dxa"/>
            </w:tcMar>
            <w:vAlign w:val="center"/>
          </w:tcPr>
          <w:p w14:paraId="4BC957E1">
            <w:pPr>
              <w:keepNext w:val="0"/>
              <w:keepLines w:val="0"/>
              <w:widowControl/>
              <w:suppressLineNumbers w:val="0"/>
              <w:jc w:val="center"/>
              <w:textAlignment w:val="center"/>
              <w:rPr>
                <w:rFonts w:hint="default" w:ascii="Times New Roman" w:hAnsi="Times New Roman" w:eastAsia="Times New Roman" w:cs="Times New Roman"/>
                <w:sz w:val="24"/>
                <w:szCs w:val="24"/>
              </w:rPr>
            </w:pPr>
            <w:r>
              <w:rPr>
                <w:rFonts w:hint="default" w:ascii="Times New Roman" w:hAnsi="Times New Roman" w:eastAsia="微软雅黑" w:cs="Times New Roman"/>
                <w:i w:val="0"/>
                <w:iCs w:val="0"/>
                <w:snapToGrid w:val="0"/>
                <w:color w:val="000000"/>
                <w:kern w:val="0"/>
                <w:sz w:val="24"/>
                <w:szCs w:val="24"/>
                <w:u w:val="none"/>
                <w:lang w:val="en-US" w:eastAsia="zh-CN" w:bidi="ar"/>
              </w:rPr>
              <w:t>0.44</w:t>
            </w:r>
          </w:p>
        </w:tc>
      </w:tr>
      <w:tr w14:paraId="3E0C9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1AE5DDE5">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29</w:t>
            </w:r>
          </w:p>
        </w:tc>
        <w:tc>
          <w:tcPr>
            <w:tcW w:w="3354" w:type="pct"/>
            <w:tcMar>
              <w:top w:w="0" w:type="dxa"/>
              <w:left w:w="57" w:type="dxa"/>
              <w:bottom w:w="0" w:type="dxa"/>
              <w:right w:w="57" w:type="dxa"/>
            </w:tcMar>
            <w:vAlign w:val="center"/>
          </w:tcPr>
          <w:p w14:paraId="01542901">
            <w:pPr>
              <w:keepNext w:val="0"/>
              <w:keepLines w:val="0"/>
              <w:widowControl/>
              <w:suppressLineNumbers w:val="0"/>
              <w:jc w:val="center"/>
              <w:textAlignment w:val="center"/>
              <w:rPr>
                <w:rFonts w:hint="eastAsia" w:ascii="黑体" w:hAnsi="黑体" w:eastAsia="黑体" w:cs="黑体"/>
                <w:sz w:val="24"/>
                <w:szCs w:val="24"/>
              </w:rPr>
            </w:pPr>
            <w:r>
              <w:rPr>
                <w:rFonts w:hint="eastAsia" w:ascii="黑体" w:hAnsi="宋体" w:eastAsia="黑体" w:cs="黑体"/>
                <w:i w:val="0"/>
                <w:iCs w:val="0"/>
                <w:snapToGrid w:val="0"/>
                <w:color w:val="000000"/>
                <w:kern w:val="0"/>
                <w:sz w:val="24"/>
                <w:szCs w:val="24"/>
                <w:u w:val="none"/>
                <w:lang w:val="en-US" w:eastAsia="zh-CN" w:bidi="ar"/>
              </w:rPr>
              <w:t>爱情海景东区、安吉碧海祥园小区范围内</w:t>
            </w:r>
          </w:p>
        </w:tc>
        <w:tc>
          <w:tcPr>
            <w:tcW w:w="1520" w:type="dxa"/>
            <w:tcMar>
              <w:top w:w="0" w:type="dxa"/>
              <w:left w:w="57" w:type="dxa"/>
              <w:bottom w:w="0" w:type="dxa"/>
              <w:right w:w="57" w:type="dxa"/>
            </w:tcMar>
            <w:vAlign w:val="center"/>
          </w:tcPr>
          <w:p w14:paraId="5A60A0E4">
            <w:pPr>
              <w:keepNext w:val="0"/>
              <w:keepLines w:val="0"/>
              <w:widowControl/>
              <w:suppressLineNumbers w:val="0"/>
              <w:jc w:val="center"/>
              <w:textAlignment w:val="center"/>
              <w:rPr>
                <w:rFonts w:hint="default" w:ascii="Times New Roman" w:hAnsi="Times New Roman" w:eastAsia="Times New Roman" w:cs="Times New Roman"/>
                <w:sz w:val="24"/>
                <w:szCs w:val="24"/>
              </w:rPr>
            </w:pPr>
            <w:r>
              <w:rPr>
                <w:rFonts w:hint="default" w:ascii="Times New Roman" w:hAnsi="Times New Roman" w:eastAsia="微软雅黑" w:cs="Times New Roman"/>
                <w:i w:val="0"/>
                <w:iCs w:val="0"/>
                <w:snapToGrid w:val="0"/>
                <w:color w:val="000000"/>
                <w:kern w:val="0"/>
                <w:sz w:val="24"/>
                <w:szCs w:val="24"/>
                <w:u w:val="none"/>
                <w:lang w:val="en-US" w:eastAsia="zh-CN" w:bidi="ar"/>
              </w:rPr>
              <w:t>0.19</w:t>
            </w:r>
          </w:p>
        </w:tc>
      </w:tr>
      <w:tr w14:paraId="15B9B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72B2E04B">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30</w:t>
            </w:r>
          </w:p>
        </w:tc>
        <w:tc>
          <w:tcPr>
            <w:tcW w:w="3354" w:type="pct"/>
            <w:tcMar>
              <w:top w:w="0" w:type="dxa"/>
              <w:left w:w="57" w:type="dxa"/>
              <w:bottom w:w="0" w:type="dxa"/>
              <w:right w:w="57" w:type="dxa"/>
            </w:tcMar>
            <w:vAlign w:val="center"/>
          </w:tcPr>
          <w:p w14:paraId="0CB7F5DA">
            <w:pPr>
              <w:keepNext w:val="0"/>
              <w:keepLines w:val="0"/>
              <w:widowControl/>
              <w:suppressLineNumbers w:val="0"/>
              <w:jc w:val="center"/>
              <w:textAlignment w:val="center"/>
              <w:rPr>
                <w:rFonts w:hint="eastAsia" w:ascii="黑体" w:hAnsi="黑体" w:eastAsia="黑体" w:cs="黑体"/>
                <w:sz w:val="24"/>
                <w:szCs w:val="24"/>
              </w:rPr>
            </w:pPr>
            <w:r>
              <w:rPr>
                <w:rFonts w:hint="eastAsia" w:ascii="黑体" w:hAnsi="宋体" w:eastAsia="黑体" w:cs="黑体"/>
                <w:i w:val="0"/>
                <w:iCs w:val="0"/>
                <w:snapToGrid w:val="0"/>
                <w:color w:val="000000"/>
                <w:kern w:val="0"/>
                <w:sz w:val="24"/>
                <w:szCs w:val="24"/>
                <w:u w:val="none"/>
                <w:lang w:val="en-US" w:eastAsia="zh-CN" w:bidi="ar"/>
              </w:rPr>
              <w:t>湖畔人家花园小区范围内</w:t>
            </w:r>
          </w:p>
        </w:tc>
        <w:tc>
          <w:tcPr>
            <w:tcW w:w="1520" w:type="dxa"/>
            <w:tcMar>
              <w:top w:w="0" w:type="dxa"/>
              <w:left w:w="57" w:type="dxa"/>
              <w:bottom w:w="0" w:type="dxa"/>
              <w:right w:w="57" w:type="dxa"/>
            </w:tcMar>
            <w:vAlign w:val="center"/>
          </w:tcPr>
          <w:p w14:paraId="4534127E">
            <w:pPr>
              <w:keepNext w:val="0"/>
              <w:keepLines w:val="0"/>
              <w:widowControl/>
              <w:suppressLineNumbers w:val="0"/>
              <w:jc w:val="center"/>
              <w:textAlignment w:val="center"/>
              <w:rPr>
                <w:rFonts w:hint="default" w:ascii="Times New Roman" w:hAnsi="Times New Roman" w:eastAsia="Times New Roman" w:cs="Times New Roman"/>
                <w:sz w:val="24"/>
                <w:szCs w:val="24"/>
              </w:rPr>
            </w:pPr>
            <w:r>
              <w:rPr>
                <w:rFonts w:hint="default" w:ascii="Times New Roman" w:hAnsi="Times New Roman" w:eastAsia="微软雅黑" w:cs="Times New Roman"/>
                <w:i w:val="0"/>
                <w:iCs w:val="0"/>
                <w:snapToGrid w:val="0"/>
                <w:color w:val="000000"/>
                <w:kern w:val="0"/>
                <w:sz w:val="24"/>
                <w:szCs w:val="24"/>
                <w:u w:val="none"/>
                <w:lang w:val="en-US" w:eastAsia="zh-CN" w:bidi="ar"/>
              </w:rPr>
              <w:t>0.35</w:t>
            </w:r>
          </w:p>
        </w:tc>
      </w:tr>
      <w:tr w14:paraId="08655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43" w:type="pct"/>
            <w:tcMar>
              <w:top w:w="0" w:type="dxa"/>
              <w:left w:w="57" w:type="dxa"/>
              <w:bottom w:w="0" w:type="dxa"/>
              <w:right w:w="57" w:type="dxa"/>
            </w:tcMar>
            <w:vAlign w:val="center"/>
          </w:tcPr>
          <w:p w14:paraId="1C4428D5">
            <w:pPr>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31</w:t>
            </w:r>
          </w:p>
        </w:tc>
        <w:tc>
          <w:tcPr>
            <w:tcW w:w="3354" w:type="pct"/>
            <w:tcMar>
              <w:top w:w="0" w:type="dxa"/>
              <w:left w:w="57" w:type="dxa"/>
              <w:bottom w:w="0" w:type="dxa"/>
              <w:right w:w="57" w:type="dxa"/>
            </w:tcMar>
            <w:vAlign w:val="center"/>
          </w:tcPr>
          <w:p w14:paraId="289C96C5">
            <w:pPr>
              <w:keepNext w:val="0"/>
              <w:keepLines w:val="0"/>
              <w:widowControl/>
              <w:suppressLineNumbers w:val="0"/>
              <w:jc w:val="left"/>
              <w:textAlignment w:val="center"/>
              <w:rPr>
                <w:rFonts w:hint="eastAsia" w:ascii="黑体" w:hAnsi="黑体" w:eastAsia="黑体" w:cs="黑体"/>
                <w:sz w:val="24"/>
                <w:szCs w:val="24"/>
              </w:rPr>
            </w:pPr>
            <w:r>
              <w:rPr>
                <w:rFonts w:hint="eastAsia" w:ascii="黑体" w:hAnsi="宋体" w:eastAsia="黑体" w:cs="黑体"/>
                <w:i w:val="0"/>
                <w:iCs w:val="0"/>
                <w:snapToGrid w:val="0"/>
                <w:color w:val="000000"/>
                <w:kern w:val="0"/>
                <w:sz w:val="24"/>
                <w:szCs w:val="24"/>
                <w:u w:val="none"/>
                <w:lang w:val="en-US" w:eastAsia="zh-CN" w:bidi="ar"/>
              </w:rPr>
              <w:t>颐和山水人家、海韵社区、览山亲水居小区范围内</w:t>
            </w:r>
          </w:p>
        </w:tc>
        <w:tc>
          <w:tcPr>
            <w:tcW w:w="1520" w:type="dxa"/>
            <w:tcMar>
              <w:top w:w="0" w:type="dxa"/>
              <w:left w:w="57" w:type="dxa"/>
              <w:bottom w:w="0" w:type="dxa"/>
              <w:right w:w="57" w:type="dxa"/>
            </w:tcMar>
            <w:vAlign w:val="center"/>
          </w:tcPr>
          <w:p w14:paraId="6B6A4256">
            <w:pPr>
              <w:keepNext w:val="0"/>
              <w:keepLines w:val="0"/>
              <w:widowControl/>
              <w:suppressLineNumbers w:val="0"/>
              <w:jc w:val="center"/>
              <w:textAlignment w:val="center"/>
              <w:rPr>
                <w:rFonts w:hint="default" w:ascii="Times New Roman" w:hAnsi="Times New Roman" w:eastAsia="Times New Roman" w:cs="Times New Roman"/>
                <w:sz w:val="24"/>
                <w:szCs w:val="24"/>
              </w:rPr>
            </w:pPr>
            <w:r>
              <w:rPr>
                <w:rFonts w:hint="default" w:ascii="Times New Roman" w:hAnsi="Times New Roman" w:eastAsia="微软雅黑" w:cs="Times New Roman"/>
                <w:i w:val="0"/>
                <w:iCs w:val="0"/>
                <w:snapToGrid w:val="0"/>
                <w:color w:val="000000"/>
                <w:kern w:val="0"/>
                <w:sz w:val="24"/>
                <w:szCs w:val="24"/>
                <w:u w:val="none"/>
                <w:lang w:val="en-US" w:eastAsia="zh-CN" w:bidi="ar"/>
              </w:rPr>
              <w:t>0.15</w:t>
            </w:r>
          </w:p>
        </w:tc>
      </w:tr>
    </w:tbl>
    <w:p w14:paraId="57A3364F">
      <w:pPr>
        <w:rPr>
          <w:rFonts w:ascii="Arial"/>
          <w:sz w:val="21"/>
        </w:rPr>
      </w:pPr>
    </w:p>
    <w:p w14:paraId="2A55D95A">
      <w:pPr>
        <w:rPr>
          <w:rFonts w:ascii="Arial"/>
          <w:sz w:val="21"/>
        </w:rPr>
      </w:pPr>
    </w:p>
    <w:p w14:paraId="75B50913">
      <w:pPr>
        <w:rPr>
          <w:rFonts w:ascii="Arial"/>
          <w:sz w:val="21"/>
        </w:rPr>
      </w:pPr>
    </w:p>
    <w:p w14:paraId="3AAFC0F0">
      <w:pPr>
        <w:rPr>
          <w:rFonts w:ascii="Arial"/>
          <w:sz w:val="21"/>
        </w:rPr>
      </w:pPr>
    </w:p>
    <w:p w14:paraId="142E2B07">
      <w:pPr>
        <w:rPr>
          <w:rFonts w:ascii="Arial"/>
          <w:sz w:val="21"/>
        </w:rPr>
      </w:pPr>
    </w:p>
    <w:p w14:paraId="4546A7E9">
      <w:pPr>
        <w:rPr>
          <w:rFonts w:ascii="Arial"/>
          <w:sz w:val="21"/>
        </w:rPr>
      </w:pPr>
    </w:p>
    <w:p w14:paraId="07067021">
      <w:pPr>
        <w:rPr>
          <w:rFonts w:ascii="Arial"/>
          <w:sz w:val="21"/>
        </w:rPr>
      </w:pPr>
    </w:p>
    <w:p w14:paraId="2B852115">
      <w:pPr>
        <w:rPr>
          <w:rFonts w:ascii="Arial"/>
          <w:sz w:val="21"/>
        </w:rPr>
      </w:pPr>
    </w:p>
    <w:p w14:paraId="3402B30F">
      <w:pPr>
        <w:rPr>
          <w:rFonts w:ascii="Arial"/>
          <w:sz w:val="21"/>
        </w:rPr>
      </w:pPr>
    </w:p>
    <w:p w14:paraId="02E65AB5">
      <w:pPr>
        <w:rPr>
          <w:rFonts w:ascii="Arial"/>
          <w:sz w:val="21"/>
        </w:rPr>
      </w:pPr>
    </w:p>
    <w:p w14:paraId="40637399">
      <w:pPr>
        <w:rPr>
          <w:rFonts w:ascii="Arial"/>
          <w:sz w:val="21"/>
        </w:rPr>
      </w:pPr>
    </w:p>
    <w:p w14:paraId="30A0ACE7">
      <w:pPr>
        <w:rPr>
          <w:rFonts w:ascii="Arial"/>
          <w:sz w:val="21"/>
        </w:rPr>
      </w:pPr>
    </w:p>
    <w:p w14:paraId="36ABAF84">
      <w:pPr>
        <w:rPr>
          <w:rFonts w:ascii="Arial"/>
          <w:sz w:val="21"/>
        </w:rPr>
      </w:pPr>
    </w:p>
    <w:p w14:paraId="3B64E4E9">
      <w:pPr>
        <w:rPr>
          <w:rFonts w:ascii="Arial"/>
          <w:sz w:val="21"/>
        </w:rPr>
      </w:pPr>
    </w:p>
    <w:p w14:paraId="0F422B5C">
      <w:pPr>
        <w:rPr>
          <w:rFonts w:ascii="Arial"/>
          <w:sz w:val="21"/>
        </w:rPr>
      </w:pPr>
    </w:p>
    <w:p w14:paraId="55AAB1E9">
      <w:pPr>
        <w:rPr>
          <w:rFonts w:ascii="Arial"/>
          <w:sz w:val="21"/>
        </w:rPr>
      </w:pPr>
    </w:p>
    <w:p w14:paraId="542210CB">
      <w:pPr>
        <w:rPr>
          <w:rFonts w:ascii="Arial"/>
          <w:sz w:val="21"/>
        </w:rPr>
      </w:pPr>
    </w:p>
    <w:p w14:paraId="22253F6F">
      <w:pPr>
        <w:rPr>
          <w:rFonts w:ascii="Arial"/>
          <w:sz w:val="21"/>
        </w:rPr>
      </w:pPr>
    </w:p>
    <w:p w14:paraId="6F93E3BE">
      <w:pPr>
        <w:rPr>
          <w:rFonts w:ascii="Arial"/>
          <w:sz w:val="21"/>
        </w:rPr>
      </w:pPr>
    </w:p>
    <w:p w14:paraId="3D81349D">
      <w:pPr>
        <w:rPr>
          <w:rFonts w:ascii="Arial"/>
          <w:sz w:val="21"/>
        </w:rPr>
      </w:pPr>
    </w:p>
    <w:p w14:paraId="4EC6A811">
      <w:pPr>
        <w:rPr>
          <w:rFonts w:ascii="Arial"/>
          <w:sz w:val="21"/>
        </w:rPr>
      </w:pPr>
    </w:p>
    <w:p w14:paraId="19689B51">
      <w:pPr>
        <w:rPr>
          <w:rFonts w:ascii="Arial"/>
          <w:sz w:val="21"/>
        </w:rPr>
      </w:pPr>
    </w:p>
    <w:p w14:paraId="44CCBEC8">
      <w:pPr>
        <w:rPr>
          <w:rFonts w:ascii="Arial"/>
          <w:sz w:val="21"/>
        </w:rPr>
      </w:pPr>
    </w:p>
    <w:p w14:paraId="06AE288F">
      <w:pPr>
        <w:rPr>
          <w:rFonts w:ascii="Arial"/>
          <w:sz w:val="21"/>
        </w:rPr>
      </w:pPr>
    </w:p>
    <w:p w14:paraId="37D9D202">
      <w:pPr>
        <w:spacing w:before="101" w:line="230" w:lineRule="auto"/>
        <w:ind w:left="146"/>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12"/>
          <w:sz w:val="32"/>
          <w:szCs w:val="32"/>
        </w:rPr>
        <w:t>附件</w:t>
      </w:r>
      <w:r>
        <w:rPr>
          <w:rFonts w:hint="eastAsia" w:ascii="仿宋_GB2312" w:hAnsi="仿宋_GB2312" w:eastAsia="仿宋_GB2312" w:cs="仿宋_GB2312"/>
          <w:spacing w:val="-12"/>
          <w:sz w:val="32"/>
          <w:szCs w:val="32"/>
          <w:lang w:val="en-US" w:eastAsia="zh-CN"/>
        </w:rPr>
        <w:t>2</w:t>
      </w:r>
    </w:p>
    <w:p w14:paraId="53415EBE">
      <w:pPr>
        <w:jc w:val="center"/>
        <w:rPr>
          <w:rFonts w:hint="eastAsia" w:ascii="方正小标宋简体" w:hAnsi="方正小标宋简体" w:eastAsia="方正小标宋简体" w:cs="方正小标宋简体"/>
          <w:sz w:val="44"/>
          <w:szCs w:val="44"/>
        </w:rPr>
      </w:pPr>
    </w:p>
    <w:p w14:paraId="06DA4607">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乳山市噪声敏感建筑物集中区域划定</w:t>
      </w:r>
    </w:p>
    <w:p w14:paraId="4DB889B7">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示意图</w:t>
      </w:r>
      <w:r>
        <w:rPr>
          <w:rFonts w:hint="eastAsia" w:ascii="方正小标宋简体" w:hAnsi="方正小标宋简体" w:eastAsia="方正小标宋简体" w:cs="方正小标宋简体"/>
          <w:sz w:val="44"/>
          <w:szCs w:val="44"/>
          <w:lang w:eastAsia="zh-CN"/>
        </w:rPr>
        <w:drawing>
          <wp:inline distT="0" distB="0" distL="114300" distR="114300">
            <wp:extent cx="4785995" cy="3383915"/>
            <wp:effectExtent l="0" t="0" r="14605" b="6985"/>
            <wp:docPr id="1" name="图片 1" descr="乳山市（老城区）噪声敏感建筑物集中区域划定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乳山市（老城区）噪声敏感建筑物集中区域划定示意图"/>
                    <pic:cNvPicPr>
                      <a:picLocks noChangeAspect="1"/>
                    </pic:cNvPicPr>
                  </pic:nvPicPr>
                  <pic:blipFill>
                    <a:blip r:embed="rId9"/>
                    <a:stretch>
                      <a:fillRect/>
                    </a:stretch>
                  </pic:blipFill>
                  <pic:spPr>
                    <a:xfrm>
                      <a:off x="0" y="0"/>
                      <a:ext cx="4785995" cy="3383915"/>
                    </a:xfrm>
                    <a:prstGeom prst="rect">
                      <a:avLst/>
                    </a:prstGeom>
                  </pic:spPr>
                </pic:pic>
              </a:graphicData>
            </a:graphic>
          </wp:inline>
        </w:drawing>
      </w:r>
      <w:r>
        <w:rPr>
          <w:rFonts w:hint="eastAsia" w:ascii="方正小标宋简体" w:hAnsi="方正小标宋简体" w:eastAsia="方正小标宋简体" w:cs="方正小标宋简体"/>
          <w:sz w:val="44"/>
          <w:szCs w:val="44"/>
          <w:lang w:eastAsia="zh-CN"/>
        </w:rPr>
        <w:drawing>
          <wp:inline distT="0" distB="0" distL="114300" distR="114300">
            <wp:extent cx="4683760" cy="3311525"/>
            <wp:effectExtent l="0" t="0" r="2540" b="3175"/>
            <wp:docPr id="2" name="图片 2" descr="乳山市（银滩）噪声敏感建筑物集中区域划定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乳山市（银滩）噪声敏感建筑物集中区域划定示意图"/>
                    <pic:cNvPicPr>
                      <a:picLocks noChangeAspect="1"/>
                    </pic:cNvPicPr>
                  </pic:nvPicPr>
                  <pic:blipFill>
                    <a:blip r:embed="rId10"/>
                    <a:stretch>
                      <a:fillRect/>
                    </a:stretch>
                  </pic:blipFill>
                  <pic:spPr>
                    <a:xfrm>
                      <a:off x="0" y="0"/>
                      <a:ext cx="4683760" cy="3311525"/>
                    </a:xfrm>
                    <a:prstGeom prst="rect">
                      <a:avLst/>
                    </a:prstGeom>
                  </pic:spPr>
                </pic:pic>
              </a:graphicData>
            </a:graphic>
          </wp:inline>
        </w:drawing>
      </w:r>
    </w:p>
    <w:sectPr>
      <w:headerReference r:id="rId6" w:type="default"/>
      <w:footerReference r:id="rId7" w:type="default"/>
      <w:pgSz w:w="11906" w:h="16839"/>
      <w:pgMar w:top="1440" w:right="1803" w:bottom="1440" w:left="1803"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63CC2">
    <w:pPr>
      <w:spacing w:before="1" w:line="187" w:lineRule="auto"/>
      <w:ind w:left="206"/>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483D97">
                          <w:pPr>
                            <w:pStyle w:val="2"/>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B483D97">
                    <w:pPr>
                      <w:pStyle w:val="2"/>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9F81F">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BC98C9">
                          <w:pPr>
                            <w:pStyle w:val="2"/>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2EBC98C9">
                    <w:pPr>
                      <w:pStyle w:val="2"/>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85889">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jAzNzZkMzUxNGE2MzZkMGY5NmUxOTllMWM2YTRmN2MifQ=="/>
  </w:docVars>
  <w:rsids>
    <w:rsidRoot w:val="00000000"/>
    <w:rsid w:val="0132027A"/>
    <w:rsid w:val="05C15FE1"/>
    <w:rsid w:val="152A513B"/>
    <w:rsid w:val="154F6617"/>
    <w:rsid w:val="1DB1758F"/>
    <w:rsid w:val="22246C63"/>
    <w:rsid w:val="256C686C"/>
    <w:rsid w:val="27534D84"/>
    <w:rsid w:val="2CDB6DC0"/>
    <w:rsid w:val="2EEF47D5"/>
    <w:rsid w:val="2F4F7173"/>
    <w:rsid w:val="2FBBF447"/>
    <w:rsid w:val="35347A4E"/>
    <w:rsid w:val="3E4C7859"/>
    <w:rsid w:val="47B70545"/>
    <w:rsid w:val="4BAF3492"/>
    <w:rsid w:val="4D3A5F48"/>
    <w:rsid w:val="514911EC"/>
    <w:rsid w:val="51C23E72"/>
    <w:rsid w:val="5B433E2F"/>
    <w:rsid w:val="5D6A5632"/>
    <w:rsid w:val="5D6D6DA8"/>
    <w:rsid w:val="61F51FBA"/>
    <w:rsid w:val="699F66A0"/>
    <w:rsid w:val="6AE14EB9"/>
    <w:rsid w:val="6DD81FDE"/>
    <w:rsid w:val="6FE9661D"/>
    <w:rsid w:val="752465E0"/>
    <w:rsid w:val="ECEFD9FE"/>
    <w:rsid w:val="ED9FB09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2374</Words>
  <Characters>2455</Characters>
  <TotalTime>7</TotalTime>
  <ScaleCrop>false</ScaleCrop>
  <LinksUpToDate>false</LinksUpToDate>
  <CharactersWithSpaces>2455</CharactersWithSpaces>
  <Application>WPS Office_12.1.2.25882_F1E327BC-269C-435d-A152-05C5408002CA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2025-12-30T23:45:00Z</dcterms:created>
  <dc:creator>YlmF</dc:creator>
  <cp:lastModifiedBy>user</cp:lastModifiedBy>
  <cp:lastPrinted>2026-07-03T00:57:00Z</cp:lastPrinted>
  <dcterms:modified xsi:type="dcterms:W3CDTF">2026-07-03T11:01:30Z</dcterms:modified>
  <dc:title>关于清理评比达标表彰活动工作方案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2026-06-10T10:56:46Z</vt:filetime>
  </property>
  <property fmtid="{D5CDD505-2E9C-101B-9397-08002B2CF9AE}" pid="4" name="KSOProductBuildVer">
    <vt:lpwstr>2052-12.1.2.25882</vt:lpwstr>
  </property>
  <property fmtid="{D5CDD505-2E9C-101B-9397-08002B2CF9AE}" pid="5" name="ICV">
    <vt:lpwstr>495E168784D34138A515C7D043ECADEE_12</vt:lpwstr>
  </property>
  <property fmtid="{D5CDD505-2E9C-101B-9397-08002B2CF9AE}" pid="6" name="KSOTemplateDocerSaveRecord">
    <vt:lpwstr>eyJoZGlkIjoiNzc1NjdlZjAxYTgxODg3YmViN2FlMjFkNGE0ZjI0YmUiLCJ1c2VySWQiOiI2OTYzOTg4OTIifQ==</vt:lpwstr>
  </property>
</Properties>
</file>