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5B64E5"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after="0" w:line="570" w:lineRule="exact"/>
        <w:ind w:left="0" w:leftChars="0" w:firstLine="0" w:firstLineChars="0"/>
        <w:jc w:val="center"/>
        <w:textAlignment w:val="auto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/>
          <w:color w:val="000000"/>
          <w:sz w:val="44"/>
        </w:rPr>
        <w:t>乳山</w:t>
      </w:r>
      <w:r>
        <w:rPr>
          <w:rFonts w:hint="eastAsia" w:ascii="Times New Roman" w:hAnsi="Times New Roman" w:eastAsia="方正小标宋简体"/>
          <w:color w:val="000000"/>
          <w:sz w:val="44"/>
          <w:szCs w:val="44"/>
        </w:rPr>
        <w:t>市人民政府</w:t>
      </w:r>
    </w:p>
    <w:p w14:paraId="7EE43C36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关于公布第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九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批非物质文化遗产</w:t>
      </w:r>
    </w:p>
    <w:p w14:paraId="5937DAD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代表性项目名录的通知</w:t>
      </w:r>
    </w:p>
    <w:p w14:paraId="1D9820BD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jc w:val="center"/>
        <w:textAlignment w:val="auto"/>
        <w:rPr>
          <w:rFonts w:hint="eastAsia" w:eastAsia="仿宋_GB2312"/>
          <w:color w:val="000000"/>
          <w:sz w:val="32"/>
          <w:lang w:bidi="ar"/>
        </w:rPr>
      </w:pPr>
      <w:bookmarkStart w:id="0" w:name="_GoBack"/>
      <w:r>
        <w:rPr>
          <w:rFonts w:hint="eastAsia" w:eastAsia="仿宋_GB2312"/>
          <w:color w:val="000000"/>
          <w:sz w:val="32"/>
          <w:lang w:bidi="ar"/>
        </w:rPr>
        <w:t>乳政发〔</w:t>
      </w:r>
      <w:r>
        <w:rPr>
          <w:rFonts w:eastAsia="仿宋_GB2312"/>
          <w:color w:val="000000"/>
          <w:sz w:val="32"/>
          <w:lang w:bidi="ar"/>
        </w:rPr>
        <w:t>202</w:t>
      </w:r>
      <w:r>
        <w:rPr>
          <w:rFonts w:hint="eastAsia" w:eastAsia="仿宋_GB2312"/>
          <w:color w:val="000000"/>
          <w:sz w:val="32"/>
          <w:lang w:val="en-US" w:eastAsia="zh-CN" w:bidi="ar"/>
        </w:rPr>
        <w:t>6</w:t>
      </w:r>
      <w:r>
        <w:rPr>
          <w:rFonts w:hint="eastAsia" w:eastAsia="仿宋_GB2312"/>
          <w:color w:val="000000"/>
          <w:sz w:val="32"/>
          <w:lang w:bidi="ar"/>
        </w:rPr>
        <w:t>〕</w:t>
      </w:r>
      <w:r>
        <w:rPr>
          <w:rFonts w:hint="eastAsia" w:eastAsia="仿宋_GB2312"/>
          <w:color w:val="000000"/>
          <w:sz w:val="32"/>
          <w:lang w:val="en-US" w:eastAsia="zh-CN" w:bidi="ar"/>
        </w:rPr>
        <w:t>5</w:t>
      </w:r>
      <w:r>
        <w:rPr>
          <w:rFonts w:hint="eastAsia" w:eastAsia="仿宋_GB2312"/>
          <w:color w:val="000000"/>
          <w:sz w:val="32"/>
          <w:lang w:bidi="ar"/>
        </w:rPr>
        <w:t>号</w:t>
      </w:r>
    </w:p>
    <w:bookmarkEnd w:id="0"/>
    <w:p w14:paraId="003A29E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jc w:val="center"/>
        <w:textAlignment w:val="auto"/>
        <w:rPr>
          <w:rFonts w:hint="eastAsia" w:eastAsia="仿宋_GB2312"/>
          <w:color w:val="000000"/>
          <w:sz w:val="32"/>
          <w:lang w:bidi="ar"/>
        </w:rPr>
      </w:pPr>
    </w:p>
    <w:p w14:paraId="059B074B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各镇人民政府，市政府各部门、单位，滨海新区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银滩旅游度假区</w:t>
      </w:r>
      <w:r>
        <w:rPr>
          <w:rFonts w:hint="eastAsia" w:ascii="仿宋_GB2312" w:eastAsia="仿宋_GB2312"/>
          <w:sz w:val="32"/>
          <w:szCs w:val="32"/>
          <w:lang w:eastAsia="zh-CN"/>
        </w:rPr>
        <w:t>）</w:t>
      </w:r>
      <w:r>
        <w:rPr>
          <w:rFonts w:hint="eastAsia" w:ascii="仿宋_GB2312" w:eastAsia="仿宋_GB2312"/>
          <w:sz w:val="32"/>
          <w:szCs w:val="32"/>
        </w:rPr>
        <w:t>、经济开发区、城区街道办事处，各市属国有企业：</w:t>
      </w:r>
    </w:p>
    <w:p w14:paraId="1CA00FFE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2" w:firstLineChars="185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乳山市第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九</w:t>
      </w:r>
      <w:r>
        <w:rPr>
          <w:rFonts w:hint="eastAsia" w:ascii="仿宋_GB2312" w:eastAsia="仿宋_GB2312"/>
          <w:sz w:val="32"/>
          <w:szCs w:val="32"/>
        </w:rPr>
        <w:t>批非物质文化遗产代表性项目名录已经市政府研究通过，现予公布。</w:t>
      </w:r>
    </w:p>
    <w:p w14:paraId="61CE31F7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2" w:firstLineChars="185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非物质文化遗产是乳山深厚历史与独特文化的生动体现，承载着本土人民代代延续的精神脉络、思维方式和审美理念，也见证了中华民族昂扬不竭的生命力与创造力。切实加强非物质文化遗产的保护与传承，对践行新发展理念、推动社会主义文化繁荣发展、丰富群众精神家园、助力经济社会全面协调可持续发展，具有重要而深远的意义。各部门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eastAsia" w:ascii="仿宋_GB2312" w:hAnsi="Times New Roman" w:eastAsia="仿宋_GB2312" w:cs="Times New Roman"/>
          <w:sz w:val="32"/>
          <w:szCs w:val="32"/>
        </w:rPr>
        <w:t>单位须进一步提高认识，切实增强责任感和紧迫感，将非遗保护作为重要任务来抓。要始终坚持“保护为主、抢救第一、合理利用、传承发展”的原则，深入阐释和弘扬非物质文化遗产的多重价值，扎实做好其调查、记录、研究、保存、传承、传播与创新利用等工作。要依托非遗资源，积极探索文化和旅游融合新路径，创新产品与服务供给，为文化产业发展注入新动能。</w:t>
      </w:r>
    </w:p>
    <w:p w14:paraId="1330322F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2" w:firstLineChars="185"/>
        <w:textAlignment w:val="auto"/>
        <w:rPr>
          <w:rFonts w:hint="eastAsia" w:ascii="仿宋_GB2312" w:hAnsi="Times New Roman" w:eastAsia="仿宋_GB2312" w:cs="Times New Roman"/>
          <w:sz w:val="32"/>
          <w:szCs w:val="32"/>
        </w:rPr>
      </w:pPr>
    </w:p>
    <w:p w14:paraId="5252921C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2" w:firstLineChars="185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附件：乳山市第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九</w:t>
      </w:r>
      <w:r>
        <w:rPr>
          <w:rFonts w:hint="eastAsia" w:ascii="仿宋_GB2312" w:eastAsia="仿宋_GB2312"/>
          <w:sz w:val="32"/>
          <w:szCs w:val="32"/>
        </w:rPr>
        <w:t>批非物质文化遗产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代表性项目</w:t>
      </w:r>
      <w:r>
        <w:rPr>
          <w:rFonts w:hint="eastAsia" w:ascii="仿宋_GB2312" w:eastAsia="仿宋_GB2312"/>
          <w:sz w:val="32"/>
          <w:szCs w:val="32"/>
        </w:rPr>
        <w:t>名录</w:t>
      </w:r>
    </w:p>
    <w:p w14:paraId="46A0F0A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1CC8BA6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2A99231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2C5AC07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2026年4月30日        </w:t>
      </w:r>
    </w:p>
    <w:p w14:paraId="188093C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4D1B427D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7A2228BA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066F404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7160496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eastAsia" w:eastAsia="仿宋_GB2312"/>
          <w:sz w:val="32"/>
          <w:szCs w:val="32"/>
          <w:lang w:eastAsia="zh-CN"/>
        </w:rPr>
      </w:pPr>
    </w:p>
    <w:p w14:paraId="33DFE97C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eastAsia" w:eastAsia="仿宋_GB2312"/>
          <w:sz w:val="32"/>
          <w:szCs w:val="32"/>
          <w:lang w:eastAsia="zh-CN"/>
        </w:rPr>
      </w:pPr>
    </w:p>
    <w:p w14:paraId="50F24E5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D2B35AB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14829C6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1339769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06D6CE0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0C44D1F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C40073C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4B673EFC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AFD798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37AC1EA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8DE1B9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eastAsia" w:eastAsia="黑体"/>
          <w:sz w:val="32"/>
          <w:szCs w:val="32"/>
        </w:rPr>
      </w:pPr>
    </w:p>
    <w:p w14:paraId="547B716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14:paraId="0525F6A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sz w:val="44"/>
          <w:szCs w:val="44"/>
        </w:rPr>
      </w:pPr>
    </w:p>
    <w:p w14:paraId="585A8DA0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乳山市第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批非物质文化遗产代表性项目名录</w:t>
      </w:r>
    </w:p>
    <w:p w14:paraId="2057B48A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  <w:lang w:val="en-US" w:eastAsia="zh-CN"/>
        </w:rPr>
      </w:pPr>
    </w:p>
    <w:p w14:paraId="1E525A55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民间文学</w:t>
      </w:r>
      <w:r>
        <w:rPr>
          <w:rFonts w:hint="eastAsia" w:ascii="黑体" w:eastAsia="黑体"/>
          <w:sz w:val="32"/>
          <w:szCs w:val="32"/>
        </w:rPr>
        <w:t>（</w:t>
      </w:r>
      <w:r>
        <w:rPr>
          <w:rFonts w:hint="eastAsia" w:ascii="黑体" w:eastAsia="黑体"/>
          <w:sz w:val="32"/>
          <w:szCs w:val="32"/>
          <w:lang w:val="en-US" w:eastAsia="zh-CN"/>
        </w:rPr>
        <w:t>2</w:t>
      </w:r>
      <w:r>
        <w:rPr>
          <w:rFonts w:hint="eastAsia" w:ascii="黑体" w:eastAsia="黑体"/>
          <w:sz w:val="32"/>
          <w:szCs w:val="32"/>
        </w:rPr>
        <w:t>项）</w:t>
      </w:r>
    </w:p>
    <w:p w14:paraId="2E681DDB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编号    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eastAsia="楷体_GB2312"/>
          <w:sz w:val="32"/>
          <w:szCs w:val="32"/>
        </w:rPr>
        <w:t>项目名称</w:t>
      </w:r>
    </w:p>
    <w:p w14:paraId="2BDCB771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Ⅰ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—1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Times New Roman" w:eastAsia="仿宋_GB2312" w:cs="Times New Roman"/>
          <w:sz w:val="32"/>
          <w:szCs w:val="32"/>
        </w:rPr>
        <w:t>宫家岛传说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/>
        </w:rPr>
        <w:t>—</w:t>
      </w:r>
      <w:r>
        <w:rPr>
          <w:rFonts w:hint="default" w:ascii="仿宋_GB2312" w:hAnsi="Times New Roman" w:eastAsia="仿宋_GB2312" w:cs="Times New Roman"/>
          <w:sz w:val="32"/>
          <w:szCs w:val="32"/>
        </w:rPr>
        <w:t>金翎仙子</w:t>
      </w:r>
    </w:p>
    <w:p w14:paraId="6E2216E4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Ⅰ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—2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“</w:t>
      </w:r>
      <w:r>
        <w:rPr>
          <w:rFonts w:hint="default" w:ascii="仿宋_GB2312" w:hAnsi="Times New Roman" w:eastAsia="仿宋_GB2312" w:cs="Times New Roman"/>
          <w:sz w:val="32"/>
          <w:szCs w:val="32"/>
        </w:rPr>
        <w:t>斩龙角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default" w:ascii="仿宋_GB2312" w:hAnsi="Times New Roman" w:eastAsia="仿宋_GB2312" w:cs="Times New Roman"/>
          <w:sz w:val="32"/>
          <w:szCs w:val="32"/>
        </w:rPr>
        <w:t>传说</w:t>
      </w:r>
    </w:p>
    <w:p w14:paraId="21DF3A2F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传统音乐</w:t>
      </w:r>
      <w:r>
        <w:rPr>
          <w:rFonts w:hint="eastAsia" w:ascii="黑体" w:eastAsia="黑体"/>
          <w:sz w:val="32"/>
          <w:szCs w:val="32"/>
        </w:rPr>
        <w:t>（</w:t>
      </w:r>
      <w:r>
        <w:rPr>
          <w:rFonts w:hint="eastAsia" w:ascii="黑体" w:eastAsia="黑体"/>
          <w:sz w:val="32"/>
          <w:szCs w:val="32"/>
          <w:lang w:val="en-US" w:eastAsia="zh-CN"/>
        </w:rPr>
        <w:t>2</w:t>
      </w:r>
      <w:r>
        <w:rPr>
          <w:rFonts w:hint="eastAsia" w:ascii="黑体" w:eastAsia="黑体"/>
          <w:sz w:val="32"/>
          <w:szCs w:val="32"/>
        </w:rPr>
        <w:t>项）</w:t>
      </w:r>
    </w:p>
    <w:p w14:paraId="5441477E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编号    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eastAsia="楷体_GB2312"/>
          <w:sz w:val="32"/>
          <w:szCs w:val="32"/>
        </w:rPr>
        <w:t>项目名称</w:t>
      </w:r>
    </w:p>
    <w:p w14:paraId="0B549B45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Ⅱ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—1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Times New Roman" w:eastAsia="仿宋_GB2312" w:cs="Times New Roman"/>
          <w:sz w:val="32"/>
          <w:szCs w:val="32"/>
        </w:rPr>
        <w:t>乳山秧歌剧</w:t>
      </w:r>
    </w:p>
    <w:p w14:paraId="798031DD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Ⅱ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—2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Times New Roman" w:eastAsia="仿宋_GB2312" w:cs="Times New Roman"/>
          <w:sz w:val="32"/>
          <w:szCs w:val="32"/>
        </w:rPr>
        <w:t>乳山古琴艺术</w:t>
      </w:r>
    </w:p>
    <w:p w14:paraId="291DE48D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hAnsi="Times New Roman" w:eastAsia="黑体" w:cs="Times New Roman"/>
          <w:sz w:val="32"/>
          <w:szCs w:val="32"/>
          <w:lang w:val="en-US" w:eastAsia="zh-CN"/>
        </w:rPr>
        <w:t>传统戏剧（1项）</w:t>
      </w:r>
    </w:p>
    <w:p w14:paraId="037A59CF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37" w:firstLineChars="168"/>
        <w:textAlignment w:val="auto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编号    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eastAsia="楷体_GB2312"/>
          <w:sz w:val="32"/>
          <w:szCs w:val="32"/>
        </w:rPr>
        <w:t>项目名称</w:t>
      </w:r>
    </w:p>
    <w:p w14:paraId="48813A42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Ⅳ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—1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Times New Roman" w:eastAsia="仿宋_GB2312" w:cs="Times New Roman"/>
          <w:sz w:val="32"/>
          <w:szCs w:val="32"/>
        </w:rPr>
        <w:t>乳山吕剧</w:t>
      </w:r>
    </w:p>
    <w:p w14:paraId="68789BF8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传统技艺（</w:t>
      </w:r>
      <w:r>
        <w:rPr>
          <w:rFonts w:hint="eastAsia" w:ascii="黑体" w:eastAsia="黑体"/>
          <w:sz w:val="32"/>
          <w:szCs w:val="32"/>
          <w:lang w:val="en-US" w:eastAsia="zh-CN"/>
        </w:rPr>
        <w:t>18</w:t>
      </w:r>
      <w:r>
        <w:rPr>
          <w:rFonts w:hint="eastAsia" w:ascii="黑体" w:eastAsia="黑体"/>
          <w:sz w:val="32"/>
          <w:szCs w:val="32"/>
        </w:rPr>
        <w:t>项）</w:t>
      </w:r>
    </w:p>
    <w:p w14:paraId="4D030012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37" w:firstLineChars="168"/>
        <w:textAlignment w:val="auto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编号    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eastAsia="楷体_GB2312"/>
          <w:sz w:val="32"/>
          <w:szCs w:val="32"/>
        </w:rPr>
        <w:t>项目名称</w:t>
      </w:r>
    </w:p>
    <w:p w14:paraId="06135CEF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乳山茶点制作技艺</w:t>
      </w:r>
    </w:p>
    <w:p w14:paraId="04DE2BE0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—2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传统瑶柱丝酱制作技艺</w:t>
      </w:r>
    </w:p>
    <w:p w14:paraId="3D38814B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—3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望海庄海水老豆腐制作技艺</w:t>
      </w:r>
    </w:p>
    <w:p w14:paraId="77D40CED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—4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传统糖姜制作技艺</w:t>
      </w:r>
    </w:p>
    <w:p w14:paraId="53F39E28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—5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乳山秦米传统制作技艺</w:t>
      </w:r>
    </w:p>
    <w:p w14:paraId="12C09D57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—6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胶东五仁月饼制作技艺</w:t>
      </w:r>
    </w:p>
    <w:p w14:paraId="19A6CDBC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—7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乳山香道技艺</w:t>
      </w:r>
    </w:p>
    <w:p w14:paraId="0D2D6A7B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—8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传统麻绳编织技艺</w:t>
      </w:r>
    </w:p>
    <w:p w14:paraId="49E883C5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—9 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乳山银饰制作技艺</w:t>
      </w:r>
    </w:p>
    <w:p w14:paraId="2BA5AF90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—10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乳山砖雕技艺</w:t>
      </w:r>
    </w:p>
    <w:p w14:paraId="5E3DEC03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—11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孙氏馅饼制作技艺</w:t>
      </w:r>
    </w:p>
    <w:p w14:paraId="5C62C206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—12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胶东汤腌活海参技艺</w:t>
      </w:r>
    </w:p>
    <w:p w14:paraId="603B5EC6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—13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乳山传统麻辣牡蛎肉制作技艺</w:t>
      </w:r>
    </w:p>
    <w:p w14:paraId="35569EF5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—14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乳山地瓜干制作技艺</w:t>
      </w:r>
    </w:p>
    <w:p w14:paraId="30BF94D4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—15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乳山老火烧制作技艺</w:t>
      </w:r>
    </w:p>
    <w:p w14:paraId="251C7816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default" w:ascii="仿宋_GB2312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—16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乳山千层饼制作技艺</w:t>
      </w:r>
    </w:p>
    <w:p w14:paraId="65BC6538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—17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石花菜琼脂冻古法制作技艺</w:t>
      </w:r>
    </w:p>
    <w:p w14:paraId="0B558470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37" w:firstLineChars="168"/>
        <w:textAlignment w:val="auto"/>
        <w:rPr>
          <w:rFonts w:hint="default" w:ascii="仿宋_GB2312" w:hAnsi="Times New Roman" w:eastAsia="仿宋_GB2312" w:cs="Times New Roman"/>
          <w:sz w:val="32"/>
          <w:szCs w:val="32"/>
          <w:highlight w:val="none"/>
        </w:rPr>
      </w:pPr>
      <w:r>
        <w:rPr>
          <w:rFonts w:hint="eastAsia" w:ascii="仿宋_GB2312" w:eastAsia="仿宋_GB2312"/>
          <w:b w:val="0"/>
          <w:bCs w:val="0"/>
          <w:sz w:val="32"/>
          <w:szCs w:val="32"/>
        </w:rPr>
        <w:t>Ⅷ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—18   </w:t>
      </w:r>
      <w:r>
        <w:rPr>
          <w:rFonts w:hint="default" w:ascii="仿宋_GB2312" w:hAnsi="Times New Roman" w:eastAsia="仿宋_GB2312" w:cs="Times New Roman"/>
          <w:sz w:val="32"/>
          <w:szCs w:val="32"/>
          <w:highlight w:val="none"/>
        </w:rPr>
        <w:t>蚝油传统制作技艺</w:t>
      </w:r>
    </w:p>
    <w:p w14:paraId="6A782D8B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>民俗</w:t>
      </w:r>
      <w:r>
        <w:rPr>
          <w:rFonts w:hint="eastAsia" w:ascii="黑体" w:eastAsia="黑体"/>
          <w:sz w:val="32"/>
          <w:szCs w:val="32"/>
        </w:rPr>
        <w:t>（</w:t>
      </w:r>
      <w:r>
        <w:rPr>
          <w:rFonts w:hint="eastAsia" w:ascii="黑体" w:eastAsia="黑体"/>
          <w:sz w:val="32"/>
          <w:szCs w:val="32"/>
          <w:lang w:val="en-US" w:eastAsia="zh-CN"/>
        </w:rPr>
        <w:t>1</w:t>
      </w:r>
      <w:r>
        <w:rPr>
          <w:rFonts w:hint="eastAsia" w:ascii="黑体" w:eastAsia="黑体"/>
          <w:sz w:val="32"/>
          <w:szCs w:val="32"/>
        </w:rPr>
        <w:t>项）</w:t>
      </w:r>
    </w:p>
    <w:p w14:paraId="053C5D22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eastAsia" w:ascii="黑体" w:eastAsia="黑体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 xml:space="preserve">编号   </w:t>
      </w:r>
      <w:r>
        <w:rPr>
          <w:rFonts w:hint="eastAsia" w:ascii="楷体_GB2312" w:eastAsia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eastAsia="楷体_GB2312"/>
          <w:sz w:val="32"/>
          <w:szCs w:val="32"/>
        </w:rPr>
        <w:t xml:space="preserve"> 项目名称</w:t>
      </w:r>
    </w:p>
    <w:p w14:paraId="7C63BAAF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40"/>
        <w:textAlignment w:val="auto"/>
        <w:rPr>
          <w:rFonts w:hint="default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</w:rPr>
        <w:t>Ⅹ</w:t>
      </w:r>
      <w:r>
        <w:rPr>
          <w:rFonts w:hint="eastAsia" w:ascii="仿宋_GB2312" w:hAnsi="Times New Roman" w:eastAsia="仿宋_GB2312" w:cs="Times New Roman"/>
          <w:b w:val="0"/>
          <w:bCs w:val="0"/>
          <w:sz w:val="32"/>
          <w:szCs w:val="32"/>
          <w:lang w:val="en-US" w:eastAsia="zh-CN"/>
        </w:rPr>
        <w:t>—1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Times New Roman" w:eastAsia="仿宋_GB2312" w:cs="Times New Roman"/>
          <w:sz w:val="32"/>
          <w:szCs w:val="32"/>
        </w:rPr>
        <w:t>乳山牡蛎宴食俗</w:t>
      </w:r>
    </w:p>
    <w:p w14:paraId="4D804095">
      <w:pPr>
        <w:keepNext w:val="0"/>
        <w:keepLines w:val="0"/>
        <w:pageBreakBefore w:val="0"/>
        <w:widowControl w:val="0"/>
        <w:tabs>
          <w:tab w:val="left" w:pos="282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u w:val="thick"/>
        </w:rPr>
      </w:pPr>
    </w:p>
    <w:p w14:paraId="58D9254A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hint="eastAsia" w:eastAsia="仿宋_GB2312"/>
          <w:sz w:val="32"/>
          <w:szCs w:val="32"/>
        </w:rPr>
      </w:pPr>
    </w:p>
    <w:p w14:paraId="1938ECBC">
      <w:pPr>
        <w:tabs>
          <w:tab w:val="left" w:pos="2828"/>
        </w:tabs>
        <w:spacing w:line="20" w:lineRule="exact"/>
      </w:pPr>
    </w:p>
    <w:p w14:paraId="2E35DC2C"/>
    <w:sectPr>
      <w:headerReference r:id="rId3" w:type="default"/>
      <w:footerReference r:id="rId4" w:type="default"/>
      <w:footerReference r:id="rId5" w:type="even"/>
      <w:pgSz w:w="11906" w:h="16838"/>
      <w:pgMar w:top="2098" w:right="1531" w:bottom="1985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3399BC">
    <w:pPr>
      <w:pStyle w:val="5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bidi w:val="0"/>
      <w:adjustRightInd/>
      <w:snapToGrid w:val="0"/>
      <w:ind w:left="315" w:leftChars="150" w:right="315" w:rightChars="150"/>
      <w:textAlignment w:val="auto"/>
      <w:rPr>
        <w:rStyle w:val="10"/>
        <w:rFonts w:hint="eastAsia" w:ascii="宋体" w:hAnsi="宋体"/>
        <w:sz w:val="28"/>
        <w:szCs w:val="28"/>
      </w:rPr>
    </w:pPr>
    <w:r>
      <w:rPr>
        <w:rStyle w:val="10"/>
        <w:rFonts w:hint="eastAsia" w:ascii="宋体" w:hAnsi="宋体"/>
        <w:sz w:val="28"/>
        <w:szCs w:val="28"/>
      </w:rPr>
      <w:t xml:space="preserve">— </w:t>
    </w:r>
    <w:r>
      <w:rPr>
        <w:rStyle w:val="10"/>
        <w:rFonts w:ascii="宋体" w:hAnsi="宋体"/>
        <w:sz w:val="28"/>
        <w:szCs w:val="28"/>
      </w:rPr>
      <w:fldChar w:fldCharType="begin"/>
    </w:r>
    <w:r>
      <w:rPr>
        <w:rStyle w:val="10"/>
        <w:rFonts w:ascii="宋体" w:hAnsi="宋体"/>
        <w:sz w:val="28"/>
        <w:szCs w:val="28"/>
      </w:rPr>
      <w:instrText xml:space="preserve">PAGE  </w:instrText>
    </w:r>
    <w:r>
      <w:rPr>
        <w:rStyle w:val="10"/>
        <w:rFonts w:ascii="宋体" w:hAnsi="宋体"/>
        <w:sz w:val="28"/>
        <w:szCs w:val="28"/>
      </w:rPr>
      <w:fldChar w:fldCharType="separate"/>
    </w:r>
    <w:r>
      <w:rPr>
        <w:rStyle w:val="10"/>
        <w:rFonts w:ascii="宋体" w:hAnsi="宋体"/>
        <w:sz w:val="28"/>
        <w:szCs w:val="28"/>
      </w:rPr>
      <w:t>4</w:t>
    </w:r>
    <w:r>
      <w:rPr>
        <w:rStyle w:val="10"/>
        <w:rFonts w:ascii="宋体" w:hAnsi="宋体"/>
        <w:sz w:val="28"/>
        <w:szCs w:val="28"/>
      </w:rPr>
      <w:fldChar w:fldCharType="end"/>
    </w:r>
    <w:r>
      <w:rPr>
        <w:rStyle w:val="10"/>
        <w:rFonts w:hint="eastAsia" w:ascii="宋体" w:hAnsi="宋体"/>
        <w:sz w:val="28"/>
        <w:szCs w:val="28"/>
      </w:rPr>
      <w:t xml:space="preserve"> —</w:t>
    </w:r>
  </w:p>
  <w:p w14:paraId="53D5AC98">
    <w:pPr>
      <w:pStyle w:val="5"/>
      <w:keepNext w:val="0"/>
      <w:keepLines w:val="0"/>
      <w:pageBreakBefore w:val="0"/>
      <w:widowControl w:val="0"/>
      <w:kinsoku/>
      <w:wordWrap/>
      <w:overflowPunct/>
      <w:topLinePunct w:val="0"/>
      <w:bidi w:val="0"/>
      <w:adjustRightInd/>
      <w:snapToGrid w:val="0"/>
      <w:ind w:left="315" w:leftChars="150" w:right="315" w:rightChars="150" w:firstLine="360"/>
      <w:textAlignment w:val="auto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96BF9E6">
    <w:pPr>
      <w:pStyle w:val="5"/>
      <w:framePr w:wrap="around" w:vAnchor="text" w:hAnchor="margin" w:xAlign="outside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 w14:paraId="2BE2094F">
    <w:pPr>
      <w:pStyle w:val="5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C5EC56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851E9"/>
    <w:rsid w:val="77A85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Calibri" w:hAnsi="Calibri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3"/>
    <w:next w:val="1"/>
    <w:qFormat/>
    <w:uiPriority w:val="0"/>
    <w:pPr>
      <w:ind w:firstLine="420" w:firstLineChars="200"/>
    </w:pPr>
    <w:rPr>
      <w:rFonts w:ascii="Calibri" w:hAnsi="Calibri"/>
    </w:rPr>
  </w:style>
  <w:style w:type="character" w:styleId="10">
    <w:name w:val="page number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2026-04-30T06:39:00Z</dcterms:created>
  <dc:creator>Z</dc:creator>
  <cp:lastModifiedBy>Z</cp:lastModifiedBy>
  <dcterms:modified xsi:type="dcterms:W3CDTF">2026-04-30T06:39:57Z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35996A890366486284B9E9BC64362310_11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