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222312">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auto"/>
          <w:sz w:val="44"/>
        </w:rPr>
        <w:t>乳山市市场监督管理局</w:t>
      </w:r>
      <w:bookmarkEnd w:id="0"/>
    </w:p>
    <w:p w14:paraId="26FDFFD4">
      <w:pPr>
        <w:pStyle w:val="2"/>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auto"/>
          <w:sz w:val="44"/>
          <w:szCs w:val="44"/>
          <w:lang w:val="en-US"/>
        </w:rPr>
        <w:t>行政处罚</w:t>
      </w:r>
      <w:r>
        <w:rPr>
          <w:rFonts w:hint="eastAsia" w:hAnsi="方正小标宋简体" w:eastAsia="方正小标宋简体" w:cs="方正小标宋简体"/>
          <w:color w:val="auto"/>
          <w:sz w:val="44"/>
          <w:szCs w:val="44"/>
          <w:lang w:val="en-US" w:eastAsia="zh-Hans"/>
        </w:rPr>
        <w:t>决定</w:t>
      </w:r>
      <w:r>
        <w:rPr>
          <w:rFonts w:hint="eastAsia" w:hAnsi="方正小标宋简体" w:eastAsia="方正小标宋简体" w:cs="方正小标宋简体"/>
          <w:color w:val="auto"/>
          <w:sz w:val="44"/>
          <w:szCs w:val="44"/>
          <w:lang w:val="en-US"/>
        </w:rPr>
        <w:t>书</w:t>
      </w:r>
      <w:bookmarkEnd w:id="1"/>
    </w:p>
    <w:p w14:paraId="250A52C1">
      <w:pPr>
        <w:widowControl/>
        <w:snapToGrid w:val="0"/>
        <w:spacing w:line="560" w:lineRule="exact"/>
        <w:ind w:right="55"/>
        <w:jc w:val="center"/>
        <w:outlineLvl w:val="1"/>
        <w:rPr>
          <w:rFonts w:hint="eastAsia" w:ascii="Times New Roman" w:hAnsi="仿宋_GB2312" w:eastAsia="仿宋_GB2312" w:cs="仿宋_GB2312"/>
          <w:bCs/>
          <w:color w:val="auto"/>
          <w:sz w:val="32"/>
          <w:szCs w:val="32"/>
        </w:rPr>
      </w:pPr>
      <w:bookmarkStart w:id="2" w:name="tAj_wh"/>
      <w:r>
        <w:rPr>
          <w:rFonts w:hint="eastAsia" w:ascii="Times New Roman" w:hAnsi="Times New Roman" w:eastAsia="仿宋_GB2312" w:cs="Mongolian Baiti"/>
          <w:color w:val="auto"/>
          <w:sz w:val="32"/>
        </w:rPr>
        <w:t>乳市监处罚〔2024〕137号</w:t>
      </w:r>
      <w:bookmarkEnd w:id="2"/>
    </w:p>
    <w:p w14:paraId="531E2F34">
      <w:pPr>
        <w:keepNext w:val="0"/>
        <w:keepLines w:val="0"/>
        <w:pageBreakBefore w:val="0"/>
        <w:widowControl w:val="0"/>
        <w:kinsoku/>
        <w:overflowPunct/>
        <w:topLinePunct w:val="0"/>
        <w:bidi w:val="0"/>
        <w:snapToGrid/>
        <w:spacing w:line="520" w:lineRule="exact"/>
        <w:ind w:left="140" w:hanging="140"/>
        <w:textAlignment w:val="auto"/>
        <w:rPr>
          <w:rFonts w:hint="eastAsia" w:ascii="Times New Roman" w:hAnsi="Times New Roman" w:eastAsia="仿宋_GB2312" w:cs="Mongolian Baiti"/>
          <w:bCs/>
          <w:sz w:val="32"/>
          <w:szCs w:val="32"/>
          <w:u w:val="none"/>
        </w:rPr>
      </w:pPr>
      <w:r>
        <w:rPr>
          <w:rFonts w:hint="eastAsia" w:ascii="Times New Roman" w:hAnsi="Times New Roman" w:eastAsia="仿宋_GB2312" w:cs="Mongolian Baiti"/>
          <w:bCs/>
          <w:kern w:val="1"/>
          <w:sz w:val="32"/>
          <w:szCs w:val="32"/>
          <w:u w:val="none"/>
        </w:rPr>
        <w:t>当事人：</w:t>
      </w:r>
      <w:r>
        <w:rPr>
          <w:rFonts w:hint="eastAsia" w:ascii="仿宋_GB2312" w:hAnsi="仿宋_GB2312" w:eastAsia="仿宋_GB2312" w:cs="仿宋_GB2312"/>
          <w:bCs/>
          <w:sz w:val="32"/>
          <w:szCs w:val="32"/>
          <w:u w:val="none"/>
          <w:lang w:val="en-US" w:eastAsia="zh-CN"/>
        </w:rPr>
        <w:t>乳山市怡达服饰有限公司</w:t>
      </w:r>
      <w:r>
        <w:rPr>
          <w:rFonts w:hint="eastAsia" w:ascii="仿宋_GB2312" w:hAnsi="Times New Roman" w:eastAsia="仿宋_GB2312"/>
          <w:sz w:val="32"/>
          <w:szCs w:val="32"/>
          <w:u w:val="none"/>
          <w:lang w:val="en-US" w:eastAsia="zh-CN"/>
        </w:rPr>
        <w:t xml:space="preserve">                   </w:t>
      </w:r>
      <w:r>
        <w:rPr>
          <w:rFonts w:hint="eastAsia" w:ascii="Times New Roman" w:hAnsi="Times New Roman" w:eastAsia="仿宋_GB2312" w:cs="Mongolian Baiti"/>
          <w:kern w:val="1"/>
          <w:sz w:val="32"/>
          <w:szCs w:val="32"/>
          <w:u w:val="none"/>
        </w:rPr>
        <w:t xml:space="preserve">   </w:t>
      </w:r>
    </w:p>
    <w:p w14:paraId="1DDCE1ED">
      <w:pPr>
        <w:keepNext w:val="0"/>
        <w:keepLines w:val="0"/>
        <w:pageBreakBefore w:val="0"/>
        <w:widowControl w:val="0"/>
        <w:kinsoku/>
        <w:overflowPunct/>
        <w:topLinePunct w:val="0"/>
        <w:bidi w:val="0"/>
        <w:snapToGrid/>
        <w:spacing w:line="520" w:lineRule="exact"/>
        <w:ind w:left="140" w:hanging="140"/>
        <w:textAlignment w:val="auto"/>
        <w:rPr>
          <w:rFonts w:hint="eastAsia" w:ascii="Times New Roman" w:hAnsi="Times New Roman" w:eastAsia="仿宋_GB2312" w:cs="Mongolian Baiti"/>
          <w:sz w:val="32"/>
          <w:szCs w:val="32"/>
          <w:u w:val="none"/>
        </w:rPr>
      </w:pPr>
      <w:r>
        <w:rPr>
          <w:rFonts w:hint="eastAsia" w:ascii="Times New Roman" w:hAnsi="Times New Roman" w:eastAsia="仿宋_GB2312" w:cs="微软雅黑"/>
          <w:bCs/>
          <w:kern w:val="1"/>
          <w:sz w:val="32"/>
          <w:szCs w:val="32"/>
          <w:u w:val="none"/>
        </w:rPr>
        <w:t>主体资格证照</w:t>
      </w:r>
      <w:r>
        <w:rPr>
          <w:rFonts w:hint="eastAsia" w:ascii="Times New Roman" w:hAnsi="Times New Roman" w:eastAsia="仿宋_GB2312" w:cs="Mongolian Baiti"/>
          <w:kern w:val="1"/>
          <w:sz w:val="32"/>
          <w:szCs w:val="32"/>
          <w:u w:val="none"/>
        </w:rPr>
        <w:t>名称：</w:t>
      </w:r>
      <w:r>
        <w:rPr>
          <w:rFonts w:hint="eastAsia" w:ascii="Times New Roman" w:hAnsi="Times New Roman" w:eastAsia="仿宋_GB2312" w:cs="Mongolian Baiti"/>
          <w:kern w:val="1"/>
          <w:sz w:val="32"/>
          <w:szCs w:val="32"/>
          <w:u w:val="none"/>
          <w:lang w:eastAsia="zh-CN"/>
        </w:rPr>
        <w:t>《</w:t>
      </w:r>
      <w:r>
        <w:rPr>
          <w:rFonts w:hint="eastAsia" w:ascii="Times New Roman" w:hAnsi="Times New Roman" w:eastAsia="仿宋_GB2312" w:cs="Mongolian Baiti"/>
          <w:kern w:val="1"/>
          <w:sz w:val="32"/>
          <w:szCs w:val="32"/>
          <w:u w:val="none"/>
          <w:lang w:val="en-US" w:eastAsia="zh-CN"/>
        </w:rPr>
        <w:t>营业执照</w:t>
      </w:r>
      <w:r>
        <w:rPr>
          <w:rFonts w:hint="eastAsia" w:ascii="Times New Roman" w:hAnsi="Times New Roman" w:eastAsia="仿宋_GB2312" w:cs="Mongolian Baiti"/>
          <w:kern w:val="1"/>
          <w:sz w:val="32"/>
          <w:szCs w:val="32"/>
          <w:u w:val="none"/>
          <w:lang w:eastAsia="zh-CN"/>
        </w:rPr>
        <w:t>》</w:t>
      </w:r>
      <w:r>
        <w:rPr>
          <w:rFonts w:hint="eastAsia" w:ascii="Times New Roman" w:hAnsi="Times New Roman" w:eastAsia="仿宋_GB2312" w:cs="Mongolian Baiti"/>
          <w:kern w:val="1"/>
          <w:sz w:val="32"/>
          <w:szCs w:val="32"/>
          <w:u w:val="none"/>
        </w:rPr>
        <w:t xml:space="preserve">                         </w:t>
      </w:r>
    </w:p>
    <w:p w14:paraId="01EBB859">
      <w:pPr>
        <w:keepNext w:val="0"/>
        <w:keepLines w:val="0"/>
        <w:pageBreakBefore w:val="0"/>
        <w:widowControl w:val="0"/>
        <w:kinsoku/>
        <w:overflowPunct/>
        <w:topLinePunct w:val="0"/>
        <w:bidi w:val="0"/>
        <w:snapToGrid/>
        <w:spacing w:line="520" w:lineRule="exact"/>
        <w:ind w:left="140" w:hanging="140"/>
        <w:textAlignment w:val="auto"/>
        <w:rPr>
          <w:rFonts w:hint="eastAsia" w:ascii="Times New Roman" w:hAnsi="Times New Roman" w:eastAsia="仿宋_GB2312" w:cs="Mongolian Baiti"/>
          <w:kern w:val="1"/>
          <w:sz w:val="32"/>
          <w:szCs w:val="32"/>
          <w:u w:val="none"/>
        </w:rPr>
      </w:pPr>
      <w:r>
        <w:rPr>
          <w:rFonts w:hint="eastAsia" w:ascii="Times New Roman" w:hAnsi="Times New Roman" w:eastAsia="仿宋_GB2312" w:cs="Mongolian Baiti"/>
          <w:kern w:val="1"/>
          <w:sz w:val="32"/>
          <w:szCs w:val="32"/>
          <w:u w:val="none"/>
        </w:rPr>
        <w:t>统一社会信用代码：</w:t>
      </w:r>
      <w:r>
        <w:rPr>
          <w:rFonts w:hint="eastAsia" w:ascii="仿宋_GB2312" w:hAnsi="仿宋_GB2312" w:eastAsia="仿宋_GB2312" w:cs="仿宋_GB2312"/>
          <w:bCs/>
          <w:sz w:val="32"/>
          <w:szCs w:val="32"/>
          <w:u w:val="none"/>
          <w:lang w:val="en-US" w:eastAsia="zh-CN"/>
        </w:rPr>
        <w:t>91371083MA3RF0JN88</w:t>
      </w:r>
      <w:r>
        <w:rPr>
          <w:rFonts w:hint="eastAsia" w:ascii="Times New Roman" w:hAnsi="Times New Roman" w:eastAsia="仿宋_GB2312" w:cs="Mongolian Baiti"/>
          <w:kern w:val="1"/>
          <w:sz w:val="32"/>
          <w:szCs w:val="32"/>
          <w:u w:val="none"/>
        </w:rPr>
        <w:t xml:space="preserve">                       </w:t>
      </w:r>
    </w:p>
    <w:p w14:paraId="2E7A7D42">
      <w:pPr>
        <w:keepNext w:val="0"/>
        <w:keepLines w:val="0"/>
        <w:pageBreakBefore w:val="0"/>
        <w:widowControl w:val="0"/>
        <w:kinsoku/>
        <w:overflowPunct/>
        <w:topLinePunct w:val="0"/>
        <w:bidi w:val="0"/>
        <w:snapToGrid/>
        <w:spacing w:line="520" w:lineRule="exact"/>
        <w:textAlignment w:val="auto"/>
        <w:rPr>
          <w:rFonts w:hint="eastAsia" w:ascii="Times New Roman" w:hAnsi="Times New Roman" w:eastAsia="仿宋_GB2312" w:cs="Mongolian Baiti"/>
          <w:kern w:val="1"/>
          <w:sz w:val="32"/>
          <w:szCs w:val="32"/>
          <w:u w:val="none"/>
        </w:rPr>
      </w:pPr>
      <w:r>
        <w:rPr>
          <w:rFonts w:hint="eastAsia" w:ascii="Times New Roman" w:hAnsi="Times New Roman" w:eastAsia="仿宋_GB2312" w:cs="Mongolian Baiti"/>
          <w:kern w:val="1"/>
          <w:sz w:val="32"/>
          <w:szCs w:val="32"/>
          <w:u w:val="none"/>
        </w:rPr>
        <w:t>住所（住址）：</w:t>
      </w:r>
      <w:r>
        <w:rPr>
          <w:rFonts w:hint="eastAsia" w:ascii="仿宋_GB2312" w:hAnsi="仿宋_GB2312" w:eastAsia="仿宋_GB2312" w:cs="仿宋_GB2312"/>
          <w:bCs/>
          <w:sz w:val="32"/>
          <w:szCs w:val="32"/>
          <w:u w:val="none"/>
          <w:lang w:val="en-US" w:eastAsia="zh-CN"/>
        </w:rPr>
        <w:t>山东省威海市乳山市城区广州路中段</w:t>
      </w:r>
      <w:r>
        <w:rPr>
          <w:rFonts w:hint="eastAsia" w:ascii="Times New Roman" w:hAnsi="Times New Roman" w:eastAsia="仿宋_GB2312" w:cs="Mongolian Baiti"/>
          <w:kern w:val="1"/>
          <w:sz w:val="32"/>
          <w:szCs w:val="32"/>
          <w:u w:val="none"/>
        </w:rPr>
        <w:t xml:space="preserve">                    </w:t>
      </w:r>
    </w:p>
    <w:p w14:paraId="51ED1D0B">
      <w:pPr>
        <w:keepNext w:val="0"/>
        <w:keepLines w:val="0"/>
        <w:pageBreakBefore w:val="0"/>
        <w:widowControl w:val="0"/>
        <w:kinsoku/>
        <w:overflowPunct/>
        <w:topLinePunct w:val="0"/>
        <w:bidi w:val="0"/>
        <w:snapToGrid/>
        <w:spacing w:line="520" w:lineRule="exact"/>
        <w:textAlignment w:val="auto"/>
        <w:rPr>
          <w:rFonts w:hint="eastAsia" w:ascii="仿宋_GB2312" w:hAnsi="方正仿宋_GBK" w:eastAsia="仿宋_GB2312"/>
          <w:b/>
          <w:strike/>
          <w:color w:val="231F20"/>
          <w:spacing w:val="-49"/>
          <w:u w:val="none"/>
        </w:rPr>
      </w:pPr>
      <w:r>
        <w:rPr>
          <w:rFonts w:hint="eastAsia" w:ascii="Times New Roman" w:hAnsi="Times New Roman" w:eastAsia="仿宋_GB2312" w:cs="Mongolian Baiti"/>
          <w:kern w:val="1"/>
          <w:sz w:val="32"/>
          <w:szCs w:val="32"/>
          <w:u w:val="none"/>
        </w:rPr>
        <w:t>法定代表人（负责人</w:t>
      </w:r>
      <w:r>
        <w:rPr>
          <w:rFonts w:hint="eastAsia" w:ascii="Times New Roman" w:hAnsi="Times New Roman" w:eastAsia="仿宋_GB2312" w:cs="Mongolian Baiti"/>
          <w:kern w:val="1"/>
          <w:sz w:val="32"/>
          <w:szCs w:val="32"/>
          <w:u w:val="none"/>
          <w:lang w:eastAsia="zh-CN"/>
        </w:rPr>
        <w:t>、经营者</w:t>
      </w:r>
      <w:r>
        <w:rPr>
          <w:rFonts w:hint="eastAsia" w:ascii="Times New Roman" w:hAnsi="Times New Roman" w:eastAsia="仿宋_GB2312" w:cs="Mongolian Baiti"/>
          <w:kern w:val="1"/>
          <w:sz w:val="32"/>
          <w:szCs w:val="32"/>
          <w:u w:val="none"/>
        </w:rPr>
        <w:t>）：</w:t>
      </w:r>
      <w:r>
        <w:rPr>
          <w:rFonts w:hint="eastAsia" w:ascii="仿宋_GB2312" w:hAnsi="仿宋_GB2312" w:eastAsia="仿宋_GB2312" w:cs="仿宋_GB2312"/>
          <w:bCs/>
          <w:sz w:val="32"/>
          <w:szCs w:val="32"/>
          <w:u w:val="none"/>
          <w:lang w:val="en-US" w:eastAsia="zh-CN"/>
        </w:rPr>
        <w:t>张丽伟</w:t>
      </w:r>
      <w:r>
        <w:rPr>
          <w:rFonts w:hint="eastAsia" w:ascii="Times New Roman" w:hAnsi="Times New Roman" w:eastAsia="仿宋_GB2312" w:cs="Mongolian Baiti"/>
          <w:kern w:val="1"/>
          <w:sz w:val="32"/>
          <w:szCs w:val="32"/>
          <w:u w:val="none"/>
        </w:rPr>
        <w:t xml:space="preserve">                          </w:t>
      </w:r>
      <w:bookmarkStart w:id="5" w:name="_GoBack"/>
      <w:bookmarkEnd w:id="5"/>
      <w:r>
        <w:rPr>
          <w:rFonts w:hint="eastAsia" w:ascii="Times New Roman" w:hAnsi="Times New Roman" w:eastAsia="仿宋_GB2312" w:cs="Mongolian Baiti"/>
          <w:kern w:val="1"/>
          <w:sz w:val="32"/>
          <w:szCs w:val="32"/>
          <w:u w:val="none"/>
        </w:rPr>
        <w:t xml:space="preserve">    </w:t>
      </w:r>
    </w:p>
    <w:p w14:paraId="6D20B035">
      <w:pPr>
        <w:keepNext w:val="0"/>
        <w:keepLines w:val="0"/>
        <w:pageBreakBefore w:val="0"/>
        <w:widowControl w:val="0"/>
        <w:kinsoku/>
        <w:overflowPunct/>
        <w:topLinePunct w:val="0"/>
        <w:bidi w:val="0"/>
        <w:snapToGrid/>
        <w:spacing w:line="520" w:lineRule="exact"/>
        <w:ind w:firstLine="640" w:firstLineChars="200"/>
        <w:textAlignment w:val="auto"/>
        <w:rPr>
          <w:rFonts w:hint="eastAsia" w:ascii="仿宋_GB2312" w:hAnsi="仿宋_GB2312" w:eastAsia="仿宋_GB2312" w:cs="仿宋_GB2312"/>
          <w:bCs/>
          <w:color w:val="auto"/>
          <w:sz w:val="32"/>
          <w:szCs w:val="32"/>
          <w:u w:val="none"/>
          <w:lang w:val="en-US" w:eastAsia="zh-CN"/>
        </w:rPr>
      </w:pPr>
      <w:r>
        <w:rPr>
          <w:rFonts w:hint="eastAsia" w:ascii="仿宋_GB2312" w:hAnsi="仿宋_GB2312" w:eastAsia="仿宋_GB2312" w:cs="仿宋_GB2312"/>
          <w:bCs/>
          <w:color w:val="auto"/>
          <w:sz w:val="32"/>
          <w:szCs w:val="32"/>
          <w:highlight w:val="none"/>
          <w:u w:val="none"/>
          <w:lang w:val="en-US" w:eastAsia="zh-CN"/>
        </w:rPr>
        <w:t>2024年03月05日接信用监管科提供案件线索，通过国家企业信用信息公示系统发现乳山市怡达服饰有限公司2021年度、2022年度均未申报企业年报。其行为违反《中华人民共和国公司法》第二百一十一条之规定，</w:t>
      </w:r>
      <w:r>
        <w:rPr>
          <w:rFonts w:hint="eastAsia" w:ascii="仿宋_GB2312" w:hAnsi="仿宋_GB2312" w:eastAsia="仿宋_GB2312" w:cs="仿宋_GB2312"/>
          <w:bCs/>
          <w:color w:val="auto"/>
          <w:sz w:val="32"/>
          <w:szCs w:val="32"/>
          <w:u w:val="none"/>
          <w:lang w:val="en-US" w:eastAsia="zh-CN"/>
        </w:rPr>
        <w:t>为查明事实，本局于</w:t>
      </w:r>
      <w:r>
        <w:rPr>
          <w:rFonts w:hint="eastAsia" w:ascii="仿宋_GB2312" w:hAnsi="仿宋_GB2312" w:eastAsia="仿宋_GB2312" w:cs="仿宋_GB2312"/>
          <w:bCs/>
          <w:color w:val="auto"/>
          <w:sz w:val="32"/>
          <w:szCs w:val="32"/>
          <w:highlight w:val="none"/>
          <w:u w:val="none"/>
          <w:lang w:val="en-US" w:eastAsia="zh-CN"/>
        </w:rPr>
        <w:t>2024年03月05日立</w:t>
      </w:r>
      <w:r>
        <w:rPr>
          <w:rFonts w:hint="eastAsia" w:ascii="仿宋_GB2312" w:hAnsi="仿宋_GB2312" w:eastAsia="仿宋_GB2312" w:cs="仿宋_GB2312"/>
          <w:bCs/>
          <w:color w:val="auto"/>
          <w:sz w:val="32"/>
          <w:szCs w:val="32"/>
          <w:u w:val="none"/>
          <w:lang w:val="en-US" w:eastAsia="zh-CN"/>
        </w:rPr>
        <w:t>案。在调查中，我局执法人员对当事人企业年报情况，在乳山市行政审批服务局登记情况，在国家税务总局乳山市税务局税务报税情况，在乳山市社会保险服务中心社会保险缴纳情况进行了调查。对当事人进行了现场检查。</w:t>
      </w:r>
    </w:p>
    <w:p w14:paraId="299350B8">
      <w:pPr>
        <w:keepNext w:val="0"/>
        <w:keepLines w:val="0"/>
        <w:pageBreakBefore w:val="0"/>
        <w:widowControl w:val="0"/>
        <w:kinsoku/>
        <w:overflowPunct/>
        <w:topLinePunct w:val="0"/>
        <w:bidi w:val="0"/>
        <w:snapToGrid/>
        <w:spacing w:line="520" w:lineRule="exact"/>
        <w:ind w:firstLine="640" w:firstLineChars="200"/>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sz w:val="32"/>
          <w:szCs w:val="32"/>
          <w:u w:val="none"/>
          <w:lang w:val="en-US" w:eastAsia="zh-CN"/>
        </w:rPr>
        <w:t>经查，</w:t>
      </w:r>
      <w:r>
        <w:rPr>
          <w:rFonts w:hint="eastAsia" w:ascii="仿宋_GB2312" w:hAnsi="仿宋_GB2312" w:eastAsia="仿宋_GB2312" w:cs="仿宋_GB2312"/>
          <w:bCs/>
          <w:color w:val="auto"/>
          <w:sz w:val="32"/>
          <w:szCs w:val="32"/>
          <w:u w:val="none"/>
          <w:lang w:val="en-US" w:eastAsia="zh-CN"/>
        </w:rPr>
        <w:t>当事人于 2020-02-17设立，因未依照《企业信息公示暂行条例》第八条规定的期限公示年度报告，</w:t>
      </w:r>
      <w:r>
        <w:rPr>
          <w:rFonts w:hint="eastAsia" w:ascii="仿宋_GB2312" w:hAnsi="仿宋_GB2312" w:eastAsia="仿宋_GB2312" w:cs="仿宋_GB2312"/>
          <w:bCs/>
          <w:color w:val="auto"/>
          <w:sz w:val="32"/>
          <w:szCs w:val="32"/>
          <w:highlight w:val="none"/>
          <w:u w:val="none"/>
          <w:lang w:val="en-US" w:eastAsia="zh-CN"/>
        </w:rPr>
        <w:t>于2022年7月14日、2023年7月14日，2次被列入经营异常名录。2024年03月15日，我局执法人员根据企业注册信息依法对山东省威海市乳山市城区广州路中段进行现场检查。经现场核查，当事人住所查无该企业。拨打企业的联系电话，无法联系到当事人。执法人员采取拍照录像方式进行了全程记录。另查明，当事人税务注销状态；社会保险未缴纳。</w:t>
      </w:r>
    </w:p>
    <w:p w14:paraId="62D18641">
      <w:pPr>
        <w:keepNext w:val="0"/>
        <w:keepLines w:val="0"/>
        <w:pageBreakBefore w:val="0"/>
        <w:widowControl w:val="0"/>
        <w:kinsoku/>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highlight w:val="none"/>
          <w:u w:val="none"/>
          <w:lang w:val="en-US" w:eastAsia="zh-CN"/>
        </w:rPr>
      </w:pPr>
      <w:r>
        <w:rPr>
          <w:rFonts w:hint="eastAsia" w:ascii="仿宋_GB2312" w:hAnsi="仿宋_GB2312" w:eastAsia="仿宋_GB2312" w:cs="仿宋_GB2312"/>
          <w:bCs/>
          <w:sz w:val="32"/>
          <w:szCs w:val="32"/>
          <w:highlight w:val="none"/>
          <w:u w:val="none"/>
          <w:lang w:val="en-US" w:eastAsia="zh-CN"/>
        </w:rPr>
        <w:t>上述事实，主要有以下证据证明：</w:t>
      </w:r>
    </w:p>
    <w:p w14:paraId="137E29D1">
      <w:pPr>
        <w:keepNext w:val="0"/>
        <w:keepLines w:val="0"/>
        <w:pageBreakBefore w:val="0"/>
        <w:widowControl w:val="0"/>
        <w:kinsoku/>
        <w:overflowPunct/>
        <w:topLinePunct w:val="0"/>
        <w:bidi w:val="0"/>
        <w:snapToGrid/>
        <w:spacing w:line="520" w:lineRule="exact"/>
        <w:ind w:firstLine="640" w:firstLineChars="200"/>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bCs/>
          <w:color w:val="auto"/>
          <w:sz w:val="32"/>
          <w:szCs w:val="32"/>
          <w:highlight w:val="none"/>
          <w:u w:val="none"/>
          <w:lang w:val="en-US" w:eastAsia="zh-CN"/>
        </w:rPr>
        <w:t>1、乳山市行政审批服务局向我局出具的当事人企业信息、法定代表人信息和住所信息打印件各1份。证明当事人主体资格的事实；</w:t>
      </w:r>
    </w:p>
    <w:p w14:paraId="0C808852">
      <w:pPr>
        <w:keepNext w:val="0"/>
        <w:keepLines w:val="0"/>
        <w:pageBreakBefore w:val="0"/>
        <w:widowControl w:val="0"/>
        <w:kinsoku/>
        <w:overflowPunct/>
        <w:topLinePunct w:val="0"/>
        <w:bidi w:val="0"/>
        <w:snapToGrid/>
        <w:spacing w:line="520" w:lineRule="exact"/>
        <w:ind w:firstLine="640" w:firstLineChars="200"/>
        <w:textAlignment w:val="auto"/>
        <w:rPr>
          <w:rFonts w:hint="eastAsia" w:ascii="仿宋_GB2312" w:hAnsi="仿宋_GB2312" w:eastAsia="仿宋_GB2312" w:cs="仿宋_GB2312"/>
          <w:bCs/>
          <w:color w:val="auto"/>
          <w:sz w:val="32"/>
          <w:szCs w:val="32"/>
          <w:u w:val="none"/>
          <w:lang w:val="en-US" w:eastAsia="zh-CN"/>
        </w:rPr>
      </w:pPr>
      <w:r>
        <w:rPr>
          <w:rFonts w:hint="eastAsia" w:ascii="仿宋_GB2312" w:hAnsi="仿宋_GB2312" w:eastAsia="仿宋_GB2312" w:cs="仿宋_GB2312"/>
          <w:bCs/>
          <w:color w:val="auto"/>
          <w:sz w:val="32"/>
          <w:szCs w:val="32"/>
          <w:highlight w:val="none"/>
          <w:u w:val="none"/>
          <w:lang w:val="en-US" w:eastAsia="zh-CN"/>
        </w:rPr>
        <w:t>2、国家企业信用信息公示系统网站上载明的当事人情况截图打印件1张。证</w:t>
      </w:r>
      <w:r>
        <w:rPr>
          <w:rFonts w:hint="eastAsia" w:ascii="仿宋_GB2312" w:hAnsi="仿宋_GB2312" w:eastAsia="仿宋_GB2312" w:cs="仿宋_GB2312"/>
          <w:bCs/>
          <w:color w:val="auto"/>
          <w:sz w:val="32"/>
          <w:szCs w:val="32"/>
          <w:u w:val="none"/>
          <w:lang w:val="en-US" w:eastAsia="zh-CN"/>
        </w:rPr>
        <w:t>明当事人被列入经营异常名录；</w:t>
      </w:r>
    </w:p>
    <w:p w14:paraId="7B7DE6F4">
      <w:pPr>
        <w:keepNext w:val="0"/>
        <w:keepLines w:val="0"/>
        <w:pageBreakBefore w:val="0"/>
        <w:widowControl w:val="0"/>
        <w:kinsoku/>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color w:val="auto"/>
          <w:sz w:val="32"/>
          <w:szCs w:val="32"/>
          <w:u w:val="none"/>
          <w:lang w:val="en-US" w:eastAsia="zh-CN"/>
        </w:rPr>
        <w:t>3、我局向国家税务总局乳山市税务局、乳山市人力资源和社会保障局出具的协助调查函（含拟吊销企业名单）扫描打印件各1份，国家税务总局乳山市税务局向我局出具的纳税申报情况证明、乳山市人力资源和社会保障局向我局出具的社会保险缴纳情况证明扫描打印件各1份，现场笔录、现场照片打印件、乳山市经济开发区管理委员会</w:t>
      </w:r>
      <w:r>
        <w:rPr>
          <w:rFonts w:hint="eastAsia" w:ascii="仿宋_GB2312" w:hAnsi="仿宋_GB2312" w:eastAsia="仿宋_GB2312" w:cs="仿宋_GB2312"/>
          <w:bCs/>
          <w:sz w:val="32"/>
          <w:szCs w:val="32"/>
          <w:u w:val="none"/>
          <w:lang w:val="en-US" w:eastAsia="zh-CN"/>
        </w:rPr>
        <w:t>出具的证明复印件各1份。证明当事人开业后自行停业连续六个月以上的事实。</w:t>
      </w:r>
    </w:p>
    <w:p w14:paraId="0B36B1A4">
      <w:pPr>
        <w:keepNext w:val="0"/>
        <w:keepLines w:val="0"/>
        <w:pageBreakBefore w:val="0"/>
        <w:widowControl w:val="0"/>
        <w:kinsoku/>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以上证据和笔录均由相关人（单位）签名盖章认可。</w:t>
      </w:r>
    </w:p>
    <w:p w14:paraId="7A1F0758">
      <w:pPr>
        <w:pStyle w:val="3"/>
        <w:keepNext w:val="0"/>
        <w:keepLines w:val="0"/>
        <w:pageBreakBefore w:val="0"/>
        <w:widowControl w:val="0"/>
        <w:tabs>
          <w:tab w:val="left" w:pos="9060"/>
        </w:tabs>
        <w:kinsoku/>
        <w:overflowPunct/>
        <w:topLinePunct w:val="0"/>
        <w:bidi w:val="0"/>
        <w:snapToGrid/>
        <w:spacing w:line="520" w:lineRule="exact"/>
        <w:ind w:firstLine="640" w:firstLineChars="200"/>
        <w:textAlignment w:val="auto"/>
        <w:rPr>
          <w:rFonts w:hint="eastAsia" w:ascii="Times New Roman" w:eastAsia="仿宋_GB2312" w:cs="仿宋_GB2312"/>
          <w:color w:val="000000"/>
          <w:u w:val="none"/>
        </w:rPr>
      </w:pPr>
      <w:r>
        <w:rPr>
          <w:rFonts w:hint="eastAsia" w:ascii="Times New Roman" w:eastAsia="仿宋_GB2312" w:cs="仿宋_GB2312"/>
          <w:color w:val="000000"/>
          <w:u w:val="none"/>
          <w:lang w:val="en-US" w:eastAsia="zh-CN"/>
        </w:rPr>
        <w:t>我局于2024年05月22日向当事人直接送达了《行政处罚告知书》【乳市监罚告〔2024〕87号】，因在当事人登记的住所无法联系到当事人，无法直接送达。我局于2024年05月26日向当事人邮寄送达了《行政处罚告知书》【乳市监罚告〔2024〕87号】，2024年05月28日我局收到当事人未签收退回的邮寄信件，2024年05月28日我局在乳山市政府公开信息网站公示了《行政处罚告知书》【乳市监罚告〔2024〕87号】，依照程序告知当事人有陈述申辩和听证的权利，当事人在规定时间内未来我局领取视为送达，且在规定时间内未进行陈述申辩和听证，视为放弃陈述申辩和听证的权利。</w:t>
      </w:r>
      <w:r>
        <w:rPr>
          <w:rFonts w:hint="eastAsia" w:ascii="Times New Roman" w:eastAsia="仿宋_GB2312" w:cs="仿宋_GB2312"/>
          <w:color w:val="000000"/>
          <w:u w:val="none"/>
        </w:rPr>
        <w:t xml:space="preserve">            </w:t>
      </w:r>
      <w:r>
        <w:rPr>
          <w:rFonts w:hint="eastAsia" w:ascii="Times New Roman" w:eastAsia="仿宋_GB2312" w:cs="仿宋_GB2312"/>
          <w:color w:val="000000"/>
          <w:u w:val="none"/>
          <w:lang w:val="en-US" w:eastAsia="zh-CN"/>
        </w:rPr>
        <w:t xml:space="preserve">                </w:t>
      </w:r>
      <w:r>
        <w:rPr>
          <w:rFonts w:hint="eastAsia" w:ascii="Times New Roman" w:eastAsia="仿宋_GB2312" w:cs="仿宋_GB2312"/>
          <w:color w:val="000000"/>
          <w:u w:val="none"/>
        </w:rPr>
        <w:t xml:space="preserve">     </w:t>
      </w:r>
    </w:p>
    <w:p w14:paraId="1B8599E6">
      <w:pPr>
        <w:keepNext w:val="0"/>
        <w:keepLines w:val="0"/>
        <w:pageBreakBefore w:val="0"/>
        <w:widowControl w:val="0"/>
        <w:kinsoku/>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通过以上事实，本局认为，当事人开业后已经自行停业连续六个月以上，该行为构成《中华人民共和国公司法》第二百一十一条第一款“公司成立后无正当理由超过六个月未开业的，或者开业后自行停业连续六个月以上的，可以由公司登记机关吊销营业执照。”规定的开业后自行停业连续六个月以上的行为。</w:t>
      </w:r>
    </w:p>
    <w:p w14:paraId="2A34564D">
      <w:pPr>
        <w:keepNext w:val="0"/>
        <w:keepLines w:val="0"/>
        <w:pageBreakBefore w:val="0"/>
        <w:widowControl w:val="0"/>
        <w:kinsoku/>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鉴于当事人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14:paraId="5D6276A0">
      <w:pPr>
        <w:pStyle w:val="3"/>
        <w:keepNext w:val="0"/>
        <w:keepLines w:val="0"/>
        <w:pageBreakBefore w:val="0"/>
        <w:widowControl w:val="0"/>
        <w:tabs>
          <w:tab w:val="left" w:pos="9060"/>
        </w:tabs>
        <w:kinsoku/>
        <w:overflowPunct/>
        <w:topLinePunct w:val="0"/>
        <w:bidi w:val="0"/>
        <w:snapToGrid/>
        <w:spacing w:line="520" w:lineRule="exact"/>
        <w:ind w:firstLine="640" w:firstLineChars="200"/>
        <w:textAlignment w:val="auto"/>
        <w:rPr>
          <w:rFonts w:hint="eastAsia" w:ascii="Times New Roman" w:eastAsia="仿宋_GB2312" w:cs="仿宋_GB2312"/>
          <w:color w:val="000000"/>
          <w:u w:val="none"/>
          <w:lang w:eastAsia="zh-CN"/>
        </w:rPr>
      </w:pPr>
      <w:r>
        <w:rPr>
          <w:rFonts w:hint="eastAsia" w:ascii="仿宋_GB2312" w:hAnsi="仿宋_GB2312" w:eastAsia="仿宋_GB2312" w:cs="仿宋_GB2312"/>
          <w:bCs/>
          <w:sz w:val="32"/>
          <w:szCs w:val="32"/>
          <w:u w:val="none"/>
          <w:lang w:val="en-US" w:eastAsia="zh-CN"/>
        </w:rPr>
        <w:t>依据《中华人民共和国公司法》第二百一十一条第一款“公司成立后无正当理由超过六个月未开业的，或者开业后自行停业连续六个月以上的，可以由公司登记机关吊销营业执照。”之规定，决定处罚如下:吊销营业执照。</w:t>
      </w:r>
      <w:r>
        <w:rPr>
          <w:rFonts w:hint="eastAsia" w:ascii="Times New Roman" w:eastAsia="仿宋_GB2312" w:cs="仿宋_GB2312"/>
          <w:color w:val="000000"/>
          <w:u w:val="none"/>
        </w:rPr>
        <w:t xml:space="preserve">       </w:t>
      </w:r>
    </w:p>
    <w:p w14:paraId="6BD7C713">
      <w:pPr>
        <w:pStyle w:val="3"/>
        <w:keepNext w:val="0"/>
        <w:keepLines w:val="0"/>
        <w:pageBreakBefore w:val="0"/>
        <w:widowControl w:val="0"/>
        <w:tabs>
          <w:tab w:val="left" w:pos="8395"/>
        </w:tabs>
        <w:kinsoku/>
        <w:wordWrap w:val="0"/>
        <w:overflowPunct/>
        <w:topLinePunct w:val="0"/>
        <w:autoSpaceDE w:val="0"/>
        <w:autoSpaceDN w:val="0"/>
        <w:bidi w:val="0"/>
        <w:adjustRightInd w:val="0"/>
        <w:snapToGrid/>
        <w:spacing w:line="520" w:lineRule="exact"/>
        <w:ind w:firstLine="640" w:firstLineChars="200"/>
        <w:textAlignment w:val="auto"/>
        <w:rPr>
          <w:rFonts w:hint="default" w:ascii="Times New Roman" w:eastAsia="仿宋_GB2312" w:cs="仿宋_GB2312"/>
          <w:b w:val="0"/>
          <w:bCs/>
          <w:color w:val="auto"/>
          <w:u w:val="single"/>
          <w:lang w:val="en-US" w:eastAsia="zh-CN"/>
        </w:rPr>
      </w:pPr>
      <w:r>
        <w:rPr>
          <w:rFonts w:hint="eastAsia" w:ascii="仿宋_GB2312" w:hAnsi="仿宋_GB2312" w:eastAsia="仿宋_GB2312" w:cs="仿宋_GB2312"/>
          <w:color w:val="000000"/>
          <w:sz w:val="32"/>
          <w:szCs w:val="32"/>
          <w:u w:val="none"/>
        </w:rPr>
        <w:t>如不服本行政处罚决定，可在收到本行政处罚决定书之日起六十日内向乳山市人民政府申请行政复议，也可以在六个月内依法向</w:t>
      </w:r>
      <w:r>
        <w:rPr>
          <w:rFonts w:hint="eastAsia" w:ascii="仿宋_GB2312" w:hAnsi="仿宋_GB2312" w:eastAsia="仿宋_GB2312" w:cs="仿宋_GB2312"/>
          <w:color w:val="000000"/>
          <w:sz w:val="32"/>
          <w:szCs w:val="32"/>
          <w:u w:val="none"/>
          <w:lang w:eastAsia="zh-CN"/>
        </w:rPr>
        <w:t>威海任一基层</w:t>
      </w:r>
      <w:r>
        <w:rPr>
          <w:rFonts w:hint="eastAsia" w:ascii="仿宋_GB2312" w:hAnsi="仿宋_GB2312" w:eastAsia="仿宋_GB2312" w:cs="仿宋_GB2312"/>
          <w:color w:val="000000"/>
          <w:sz w:val="32"/>
          <w:szCs w:val="32"/>
          <w:u w:val="none"/>
        </w:rPr>
        <w:t>人民法院提起行政诉讼。申请行政复议或者提起行政诉讼期间，行政处罚不停止执行。</w:t>
      </w:r>
    </w:p>
    <w:p w14:paraId="59E3D2A2">
      <w:pPr>
        <w:widowControl/>
        <w:snapToGrid w:val="0"/>
        <w:spacing w:line="520" w:lineRule="exact"/>
        <w:jc w:val="left"/>
        <w:rPr>
          <w:rFonts w:ascii="Times New Roman" w:hAnsi="Times New Roman" w:eastAsia="仿宋_GB2312" w:cs="仿宋_GB2312"/>
          <w:color w:val="auto"/>
          <w:sz w:val="32"/>
          <w:szCs w:val="32"/>
        </w:rPr>
      </w:pPr>
    </w:p>
    <w:p w14:paraId="5407BABD">
      <w:pPr>
        <w:widowControl/>
        <w:snapToGrid w:val="0"/>
        <w:spacing w:line="520" w:lineRule="exact"/>
        <w:ind w:firstLine="6240" w:firstLineChars="1950"/>
        <w:jc w:val="left"/>
        <w:rPr>
          <w:rFonts w:hint="eastAsia" w:ascii="Times New Roman" w:hAnsi="Times New Roman" w:eastAsia="仿宋_GB2312" w:cs="仿宋_GB2312"/>
          <w:color w:val="auto"/>
          <w:sz w:val="32"/>
          <w:szCs w:val="32"/>
          <w:lang w:val="en-US" w:eastAsia="zh-Hans"/>
        </w:rPr>
      </w:pPr>
    </w:p>
    <w:p w14:paraId="2C320FEA">
      <w:pPr>
        <w:spacing w:line="560" w:lineRule="exact"/>
        <w:ind w:right="640" w:firstLine="601"/>
        <w:jc w:val="right"/>
        <w:rPr>
          <w:rFonts w:ascii="Times New Roman" w:hAnsi="Times New Roman" w:eastAsia="仿宋_GB2312" w:cs="仿宋"/>
          <w:color w:val="auto"/>
          <w:sz w:val="32"/>
          <w:szCs w:val="32"/>
        </w:rPr>
      </w:pPr>
      <w:bookmarkStart w:id="3" w:name="DYNAMIC—DWXX—tAj_dwmc—2"/>
      <w:r>
        <w:rPr>
          <w:rFonts w:hint="eastAsia" w:ascii="Times New Roman" w:hAnsi="Times New Roman" w:eastAsia="仿宋_GB2312" w:cs="仿宋"/>
          <w:color w:val="auto"/>
          <w:sz w:val="32"/>
        </w:rPr>
        <w:t>乳山市市场监督管理局</w:t>
      </w:r>
      <w:bookmarkEnd w:id="3"/>
      <w:r>
        <w:rPr>
          <w:rFonts w:hint="eastAsia" w:ascii="Times New Roman" w:hAnsi="Times New Roman" w:eastAsia="仿宋_GB2312" w:cs="仿宋"/>
          <w:color w:val="auto"/>
          <w:sz w:val="32"/>
          <w:szCs w:val="32"/>
        </w:rPr>
        <w:t xml:space="preserve">    </w:t>
      </w:r>
    </w:p>
    <w:p w14:paraId="4D33FFD0">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right"/>
        <w:textAlignment w:val="auto"/>
        <w:outlineLvl w:val="9"/>
        <w:rPr>
          <w:rFonts w:ascii="Times New Roman" w:hAnsi="Times New Roman" w:eastAsia="仿宋_GB2312" w:cs="仿宋_GB2312"/>
          <w:color w:val="auto"/>
          <w:sz w:val="32"/>
          <w:szCs w:val="32"/>
        </w:rPr>
      </w:pPr>
      <w:bookmarkStart w:id="4" w:name="CALCULATE—TIME—NOW"/>
      <w:r>
        <w:rPr>
          <w:rFonts w:hint="eastAsia" w:ascii="仿宋_GB2312" w:hAnsi="Times New Roman" w:eastAsia="仿宋_GB2312" w:cs="仿宋"/>
          <w:color w:val="auto"/>
          <w:sz w:val="32"/>
        </w:rPr>
        <w:t>2024年07月0</w:t>
      </w:r>
      <w:r>
        <w:rPr>
          <w:rFonts w:hint="eastAsia" w:ascii="仿宋_GB2312" w:hAnsi="Times New Roman" w:eastAsia="仿宋_GB2312" w:cs="仿宋"/>
          <w:color w:val="auto"/>
          <w:sz w:val="32"/>
          <w:lang w:val="en-US" w:eastAsia="zh-CN"/>
        </w:rPr>
        <w:t>9</w:t>
      </w:r>
      <w:r>
        <w:rPr>
          <w:rFonts w:hint="eastAsia" w:ascii="仿宋_GB2312" w:hAnsi="Times New Roman" w:eastAsia="仿宋_GB2312" w:cs="仿宋"/>
          <w:color w:val="auto"/>
          <w:sz w:val="32"/>
        </w:rPr>
        <w:t>日</w:t>
      </w:r>
      <w:bookmarkEnd w:id="4"/>
      <w:r>
        <w:rPr>
          <w:rFonts w:hint="eastAsia" w:ascii="Times New Roman" w:hAnsi="Times New Roman" w:eastAsia="仿宋_GB2312" w:cs="仿宋_GB2312"/>
          <w:color w:val="auto"/>
          <w:sz w:val="32"/>
          <w:szCs w:val="32"/>
        </w:rPr>
        <w:t xml:space="preserve">  </w:t>
      </w:r>
    </w:p>
    <w:p w14:paraId="1F9D0357">
      <w:pPr>
        <w:widowControl/>
        <w:snapToGrid w:val="0"/>
        <w:spacing w:line="520" w:lineRule="exact"/>
        <w:jc w:val="both"/>
        <w:rPr>
          <w:rFonts w:ascii="Times New Roman" w:hAnsi="Times New Roman" w:eastAsia="仿宋_GB2312" w:cs="Mongolian Baiti"/>
          <w:color w:val="auto"/>
          <w:sz w:val="32"/>
          <w:szCs w:val="32"/>
        </w:rPr>
      </w:pPr>
    </w:p>
    <w:p w14:paraId="577EB932">
      <w:pPr>
        <w:widowControl/>
        <w:snapToGrid w:val="0"/>
        <w:spacing w:line="520" w:lineRule="exact"/>
        <w:jc w:val="right"/>
        <w:rPr>
          <w:rFonts w:ascii="Times New Roman" w:hAnsi="Times New Roman" w:eastAsia="仿宋_GB2312" w:cs="Mongolian Baiti"/>
          <w:color w:val="auto"/>
          <w:sz w:val="32"/>
          <w:szCs w:val="32"/>
        </w:rPr>
      </w:pPr>
    </w:p>
    <w:p w14:paraId="07745CBB">
      <w:pPr>
        <w:pStyle w:val="3"/>
        <w:spacing w:before="1"/>
        <w:ind w:left="163"/>
        <w:rPr>
          <w:rFonts w:ascii="Times New Roman" w:hAnsi="Times New Roman" w:eastAsia="仿宋_GB2312" w:cs="仿宋"/>
          <w:bCs/>
          <w:color w:val="auto"/>
          <w:sz w:val="44"/>
          <w:szCs w:val="44"/>
        </w:rPr>
      </w:pPr>
      <w:r>
        <w:rPr>
          <w:rFonts w:ascii="Times New Roman" w:hAnsi="Times New Roman" w:eastAsia="仿宋_GB2312"/>
          <w:color w:val="auto"/>
          <w:sz w:val="32"/>
        </w:rPr>
        <mc:AlternateContent>
          <mc:Choice Requires="wps">
            <w:drawing>
              <wp:anchor distT="0" distB="0" distL="114300" distR="114300" simplePos="0" relativeHeight="251660288"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0288;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auto"/>
          <w:spacing w:val="-16"/>
        </w:rPr>
        <w:t>（市场监督管理部门将依法向社会公开行政处罚决定信息）</w:t>
      </w:r>
    </w:p>
    <w:p w14:paraId="28F5F7D6">
      <w:pPr>
        <w:spacing w:line="500" w:lineRule="exact"/>
        <w:rPr>
          <w:color w:val="auto"/>
        </w:rPr>
      </w:pPr>
      <w:r>
        <w:rPr>
          <w:rFonts w:hint="eastAsia" w:ascii="Times New Roman" w:hAnsi="Times New Roman" w:eastAsia="仿宋_GB2312" w:cs="仿宋"/>
          <w:color w:val="000000"/>
          <w:sz w:val="32"/>
          <w:szCs w:val="32"/>
          <w:u w:val="none"/>
        </w:rPr>
        <w:t>本文书一式</w:t>
      </w:r>
      <w:r>
        <w:rPr>
          <w:rFonts w:hint="eastAsia" w:ascii="Times New Roman" w:hAnsi="Times New Roman" w:eastAsia="仿宋_GB2312" w:cs="仿宋"/>
          <w:color w:val="000000"/>
          <w:sz w:val="32"/>
          <w:szCs w:val="32"/>
          <w:u w:val="none"/>
          <w:lang w:eastAsia="zh-CN"/>
        </w:rPr>
        <w:t>三</w:t>
      </w:r>
      <w:r>
        <w:rPr>
          <w:rFonts w:hint="eastAsia" w:ascii="Times New Roman" w:hAnsi="Times New Roman" w:eastAsia="仿宋_GB2312" w:cs="仿宋"/>
          <w:color w:val="000000"/>
          <w:sz w:val="32"/>
          <w:szCs w:val="32"/>
          <w:u w:val="none"/>
        </w:rPr>
        <w:t>份，</w:t>
      </w:r>
      <w:r>
        <w:rPr>
          <w:rFonts w:hint="eastAsia" w:ascii="Times New Roman" w:hAnsi="Times New Roman" w:eastAsia="仿宋_GB2312" w:cs="仿宋"/>
          <w:color w:val="000000"/>
          <w:sz w:val="32"/>
          <w:szCs w:val="32"/>
          <w:u w:val="none"/>
          <w:lang w:eastAsia="zh-CN"/>
        </w:rPr>
        <w:t>一</w:t>
      </w:r>
      <w:r>
        <w:rPr>
          <w:rFonts w:hint="eastAsia" w:ascii="Times New Roman" w:hAnsi="Times New Roman" w:eastAsia="仿宋_GB2312" w:cs="仿宋"/>
          <w:color w:val="000000"/>
          <w:sz w:val="32"/>
          <w:szCs w:val="32"/>
          <w:u w:val="none"/>
        </w:rPr>
        <w:t>份送达，一份归档，</w:t>
      </w:r>
      <w:r>
        <w:rPr>
          <w:rFonts w:hint="eastAsia" w:ascii="Times New Roman" w:hAnsi="Times New Roman" w:eastAsia="仿宋_GB2312" w:cs="仿宋"/>
          <w:color w:val="000000"/>
          <w:sz w:val="32"/>
          <w:szCs w:val="32"/>
          <w:u w:val="none"/>
          <w:lang w:eastAsia="zh-CN"/>
        </w:rPr>
        <w:t>一份办案机构留存</w:t>
      </w:r>
      <w:r>
        <w:rPr>
          <w:rFonts w:ascii="Times New Roman" w:hAnsi="Times New Roman" w:eastAsia="仿宋_GB2312" w:cs="仿宋"/>
          <w:bCs/>
          <w:color w:val="auto"/>
          <w:sz w:val="32"/>
          <w:szCs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59264;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lang w:eastAsia="zh-CN"/>
        </w:rPr>
        <w:t>。</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angal">
    <w:panose1 w:val="02040503050203030202"/>
    <w:charset w:val="00"/>
    <w:family w:val="roman"/>
    <w:pitch w:val="default"/>
    <w:sig w:usb0="00008003" w:usb1="00000000" w:usb2="0000000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微软雅黑">
    <w:panose1 w:val="020B0503020204020204"/>
    <w:charset w:val="86"/>
    <w:family w:val="swiss"/>
    <w:pitch w:val="default"/>
    <w:sig w:usb0="80000287" w:usb1="280F3C52" w:usb2="00000016" w:usb3="00000000" w:csb0="0004001F" w:csb1="00000000"/>
  </w:font>
  <w:font w:name="方正仿宋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FhYTgxMDViZDExMjE0NzhhZTM1NDQ0MDQwNjliOGQifQ=="/>
  </w:docVars>
  <w:rsids>
    <w:rsidRoot w:val="5BA419F7"/>
    <w:rsid w:val="00193C35"/>
    <w:rsid w:val="0032134F"/>
    <w:rsid w:val="02B83402"/>
    <w:rsid w:val="04CD463F"/>
    <w:rsid w:val="04FA4431"/>
    <w:rsid w:val="06BAE61F"/>
    <w:rsid w:val="071C7669"/>
    <w:rsid w:val="0776795A"/>
    <w:rsid w:val="07AB20F7"/>
    <w:rsid w:val="08365B64"/>
    <w:rsid w:val="0B22091D"/>
    <w:rsid w:val="0CF71776"/>
    <w:rsid w:val="103E22C5"/>
    <w:rsid w:val="125B567C"/>
    <w:rsid w:val="134609F6"/>
    <w:rsid w:val="1350279A"/>
    <w:rsid w:val="14203063"/>
    <w:rsid w:val="143E1E38"/>
    <w:rsid w:val="152E563E"/>
    <w:rsid w:val="15B93156"/>
    <w:rsid w:val="17933BB8"/>
    <w:rsid w:val="18325353"/>
    <w:rsid w:val="18B229B2"/>
    <w:rsid w:val="19FE4517"/>
    <w:rsid w:val="1AE345F4"/>
    <w:rsid w:val="1DA4420A"/>
    <w:rsid w:val="1F2B5D07"/>
    <w:rsid w:val="1FD31F15"/>
    <w:rsid w:val="23247DC6"/>
    <w:rsid w:val="236534A4"/>
    <w:rsid w:val="244E1F2B"/>
    <w:rsid w:val="24626694"/>
    <w:rsid w:val="258D6CE0"/>
    <w:rsid w:val="2B1B3EFC"/>
    <w:rsid w:val="2CEA3815"/>
    <w:rsid w:val="2DE10173"/>
    <w:rsid w:val="2F327E79"/>
    <w:rsid w:val="2F7CE1EF"/>
    <w:rsid w:val="30DB5683"/>
    <w:rsid w:val="342602B0"/>
    <w:rsid w:val="3585615B"/>
    <w:rsid w:val="368E5656"/>
    <w:rsid w:val="377FBB27"/>
    <w:rsid w:val="37F16547"/>
    <w:rsid w:val="38B63DA7"/>
    <w:rsid w:val="3930619F"/>
    <w:rsid w:val="3A4E178D"/>
    <w:rsid w:val="3BF97ECA"/>
    <w:rsid w:val="3C2965F0"/>
    <w:rsid w:val="3F2604DF"/>
    <w:rsid w:val="3F6783E4"/>
    <w:rsid w:val="3FFF82D4"/>
    <w:rsid w:val="402E7C06"/>
    <w:rsid w:val="40FE5F8F"/>
    <w:rsid w:val="425049CE"/>
    <w:rsid w:val="48C10000"/>
    <w:rsid w:val="4A256B30"/>
    <w:rsid w:val="4B8F0B22"/>
    <w:rsid w:val="4C02380F"/>
    <w:rsid w:val="4CC8271B"/>
    <w:rsid w:val="4D9306AE"/>
    <w:rsid w:val="4E8950D9"/>
    <w:rsid w:val="4E9C5D85"/>
    <w:rsid w:val="4F0457DF"/>
    <w:rsid w:val="547C0750"/>
    <w:rsid w:val="57503162"/>
    <w:rsid w:val="591F0542"/>
    <w:rsid w:val="5BA419F7"/>
    <w:rsid w:val="5BF91583"/>
    <w:rsid w:val="5BFB2E57"/>
    <w:rsid w:val="5DD7483B"/>
    <w:rsid w:val="5E5FAB03"/>
    <w:rsid w:val="5EDF15B6"/>
    <w:rsid w:val="5F9FEDD5"/>
    <w:rsid w:val="5FBEF003"/>
    <w:rsid w:val="5FE33914"/>
    <w:rsid w:val="5FFA4D85"/>
    <w:rsid w:val="602422E6"/>
    <w:rsid w:val="60B635F2"/>
    <w:rsid w:val="612E7E8C"/>
    <w:rsid w:val="64E43803"/>
    <w:rsid w:val="66733921"/>
    <w:rsid w:val="69690BB2"/>
    <w:rsid w:val="6AD7030F"/>
    <w:rsid w:val="6BCC1BB9"/>
    <w:rsid w:val="6D923254"/>
    <w:rsid w:val="6E04767D"/>
    <w:rsid w:val="6E6950E9"/>
    <w:rsid w:val="6F732ABB"/>
    <w:rsid w:val="6FF58B64"/>
    <w:rsid w:val="6FF8F863"/>
    <w:rsid w:val="70CF02CA"/>
    <w:rsid w:val="71013020"/>
    <w:rsid w:val="710D7C3E"/>
    <w:rsid w:val="728D02E2"/>
    <w:rsid w:val="7376089F"/>
    <w:rsid w:val="75B2DA43"/>
    <w:rsid w:val="75BD90DB"/>
    <w:rsid w:val="77DF8BD4"/>
    <w:rsid w:val="77EFD5CC"/>
    <w:rsid w:val="77FFADAC"/>
    <w:rsid w:val="7B0F6E9A"/>
    <w:rsid w:val="7BFD6076"/>
    <w:rsid w:val="7C8E43D6"/>
    <w:rsid w:val="7DA813EB"/>
    <w:rsid w:val="7DFF108F"/>
    <w:rsid w:val="7EED8AE6"/>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Body Text"/>
    <w:basedOn w:val="1"/>
    <w:autoRedefine/>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autoRedefine/>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1610</Words>
  <Characters>1731</Characters>
  <Lines>0</Lines>
  <Paragraphs>0</Paragraphs>
  <TotalTime>0</TotalTime>
  <ScaleCrop>false</ScaleCrop>
  <LinksUpToDate>false</LinksUpToDate>
  <CharactersWithSpaces>1914</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横霜晚、断念残。</cp:lastModifiedBy>
  <dcterms:modified xsi:type="dcterms:W3CDTF">2024-07-17T03:06:19Z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013F81EDEC2D45FA8E38E1FEC0A08E36_13</vt:lpwstr>
  </property>
</Properties>
</file>