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3E55C">
      <w:pPr>
        <w:pStyle w:val="6"/>
        <w:keepNext w:val="0"/>
        <w:keepLines w:val="0"/>
        <w:pageBreakBefore w:val="0"/>
        <w:widowControl w:val="0"/>
        <w:kinsoku/>
        <w:wordWrap/>
        <w:overflowPunct/>
        <w:topLinePunct w:val="0"/>
        <w:autoSpaceDE/>
        <w:autoSpaceDN/>
        <w:bidi w:val="0"/>
        <w:adjustRightInd/>
        <w:snapToGrid/>
        <w:spacing w:after="0" w:line="540" w:lineRule="exact"/>
        <w:ind w:left="0" w:leftChars="0" w:firstLine="0" w:firstLineChars="0"/>
        <w:jc w:val="center"/>
        <w:textAlignment w:val="auto"/>
        <w:rPr>
          <w:rFonts w:ascii="Times New Roman" w:hAnsi="Times New Roman" w:eastAsia="方正小标宋简体"/>
          <w:color w:val="000000"/>
          <w:sz w:val="44"/>
          <w:szCs w:val="44"/>
        </w:rPr>
      </w:pPr>
      <w:r>
        <w:rPr>
          <w:rFonts w:hint="eastAsia" w:ascii="Times New Roman" w:hAnsi="Times New Roman" w:eastAsia="方正小标宋简体"/>
          <w:color w:val="000000"/>
          <w:sz w:val="44"/>
        </w:rPr>
        <w:t>乳山</w:t>
      </w:r>
      <w:r>
        <w:rPr>
          <w:rFonts w:hint="eastAsia" w:ascii="Times New Roman" w:hAnsi="Times New Roman" w:eastAsia="方正小标宋简体"/>
          <w:color w:val="000000"/>
          <w:sz w:val="44"/>
          <w:szCs w:val="44"/>
        </w:rPr>
        <w:t>市人民政府</w:t>
      </w:r>
    </w:p>
    <w:p w14:paraId="6B2E69A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关于废止《乳山市人民政府关于调整高污染</w:t>
      </w:r>
    </w:p>
    <w:p w14:paraId="64EA6CF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燃料禁燃区的通告》等文件的决定</w:t>
      </w:r>
    </w:p>
    <w:p w14:paraId="5CD60A2F">
      <w:pPr>
        <w:tabs>
          <w:tab w:val="left" w:pos="0"/>
        </w:tabs>
        <w:spacing w:line="600" w:lineRule="exact"/>
        <w:jc w:val="center"/>
        <w:rPr>
          <w:rFonts w:eastAsia="仿宋_GB2312"/>
          <w:color w:val="000000"/>
          <w:w w:val="70"/>
          <w:sz w:val="32"/>
        </w:rPr>
      </w:pPr>
      <w:bookmarkStart w:id="0" w:name="_GoBack"/>
      <w:r>
        <w:rPr>
          <w:rFonts w:hint="eastAsia" w:eastAsia="仿宋_GB2312"/>
          <w:color w:val="000000"/>
          <w:sz w:val="32"/>
          <w:lang w:bidi="ar"/>
        </w:rPr>
        <w:t>乳政发〔</w:t>
      </w:r>
      <w:r>
        <w:rPr>
          <w:rFonts w:eastAsia="仿宋_GB2312"/>
          <w:color w:val="000000"/>
          <w:sz w:val="32"/>
          <w:lang w:bidi="ar"/>
        </w:rPr>
        <w:t>202</w:t>
      </w:r>
      <w:r>
        <w:rPr>
          <w:rFonts w:hint="eastAsia" w:eastAsia="仿宋_GB2312"/>
          <w:color w:val="000000"/>
          <w:sz w:val="32"/>
          <w:lang w:val="en-US" w:eastAsia="zh-CN" w:bidi="ar"/>
        </w:rPr>
        <w:t>6</w:t>
      </w:r>
      <w:r>
        <w:rPr>
          <w:rFonts w:hint="eastAsia" w:eastAsia="仿宋_GB2312"/>
          <w:color w:val="000000"/>
          <w:sz w:val="32"/>
          <w:lang w:bidi="ar"/>
        </w:rPr>
        <w:t>〕</w:t>
      </w:r>
      <w:r>
        <w:rPr>
          <w:rFonts w:hint="eastAsia" w:eastAsia="仿宋_GB2312"/>
          <w:color w:val="000000"/>
          <w:sz w:val="32"/>
          <w:lang w:val="en-US" w:eastAsia="zh-CN" w:bidi="ar"/>
        </w:rPr>
        <w:t>7</w:t>
      </w:r>
      <w:r>
        <w:rPr>
          <w:rFonts w:hint="eastAsia" w:eastAsia="仿宋_GB2312"/>
          <w:color w:val="000000"/>
          <w:sz w:val="32"/>
          <w:lang w:bidi="ar"/>
        </w:rPr>
        <w:t>号</w:t>
      </w:r>
    </w:p>
    <w:bookmarkEnd w:id="0"/>
    <w:p w14:paraId="4148D5B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lang w:eastAsia="zh-CN"/>
        </w:rPr>
      </w:pPr>
    </w:p>
    <w:p w14:paraId="566F29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按照《威海市行政规范性文件制定和监督管理办法》等有关规定，经评估，决定《乳山市人民政府关于调整高污染燃料禁燃区的通告》等</w:t>
      </w:r>
      <w:r>
        <w:rPr>
          <w:rFonts w:hint="default" w:ascii="Times New Roman" w:hAnsi="Times New Roman" w:eastAsia="仿宋_GB2312" w:cs="Times New Roman"/>
          <w:sz w:val="32"/>
          <w:szCs w:val="32"/>
          <w:lang w:val="en-US" w:eastAsia="zh-CN"/>
        </w:rPr>
        <w:t>2件行政规范性文件废止，自2026年8月15日起停止执行。凡废止的行政规范性文件，不再作为行政管理的依据。</w:t>
      </w:r>
    </w:p>
    <w:p w14:paraId="46F9F96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lang w:val="en-US" w:eastAsia="zh-CN"/>
        </w:rPr>
      </w:pPr>
    </w:p>
    <w:p w14:paraId="33CB50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附件：决定废止的市政府行政规范性文件目录</w:t>
      </w:r>
    </w:p>
    <w:p w14:paraId="487F2973">
      <w:pPr>
        <w:keepNext w:val="0"/>
        <w:keepLines w:val="0"/>
        <w:pageBreakBefore w:val="0"/>
        <w:widowControl w:val="0"/>
        <w:tabs>
          <w:tab w:val="left" w:pos="2828"/>
        </w:tabs>
        <w:kinsoku/>
        <w:wordWrap/>
        <w:overflowPunct/>
        <w:topLinePunct w:val="0"/>
        <w:autoSpaceDE/>
        <w:autoSpaceDN/>
        <w:bidi w:val="0"/>
        <w:adjustRightInd/>
        <w:snapToGrid/>
        <w:spacing w:line="540" w:lineRule="exact"/>
        <w:textAlignment w:val="auto"/>
        <w:rPr>
          <w:rFonts w:eastAsia="仿宋_GB2312"/>
          <w:sz w:val="32"/>
          <w:szCs w:val="32"/>
        </w:rPr>
      </w:pPr>
    </w:p>
    <w:p w14:paraId="6ED7D345">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乳山市人民政府</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w w:val="50"/>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p>
    <w:p w14:paraId="0FB2FBD5">
      <w:pPr>
        <w:keepNext w:val="0"/>
        <w:keepLines w:val="0"/>
        <w:pageBreakBefore w:val="0"/>
        <w:widowControl w:val="0"/>
        <w:kinsoku/>
        <w:wordWrap w:val="0"/>
        <w:overflowPunct/>
        <w:topLinePunct w:val="0"/>
        <w:autoSpaceDE/>
        <w:autoSpaceDN/>
        <w:bidi w:val="0"/>
        <w:adjustRightInd w:val="0"/>
        <w:snapToGrid w:val="0"/>
        <w:spacing w:line="560" w:lineRule="exact"/>
        <w:ind w:left="0" w:leftChars="0"/>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p>
    <w:p w14:paraId="77CD633A">
      <w:pPr>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eastAsia="仿宋_GB2312"/>
          <w:sz w:val="32"/>
          <w:szCs w:val="32"/>
        </w:rPr>
        <w:t>（此件公开发布）</w:t>
      </w:r>
    </w:p>
    <w:p w14:paraId="2E0436FD">
      <w:pPr>
        <w:keepNext w:val="0"/>
        <w:keepLines w:val="0"/>
        <w:pageBreakBefore w:val="0"/>
        <w:widowControl w:val="0"/>
        <w:tabs>
          <w:tab w:val="left" w:pos="2828"/>
        </w:tabs>
        <w:kinsoku/>
        <w:overflowPunct/>
        <w:topLinePunct w:val="0"/>
        <w:autoSpaceDE/>
        <w:autoSpaceDN/>
        <w:bidi w:val="0"/>
        <w:spacing w:line="570" w:lineRule="exact"/>
        <w:textAlignment w:val="auto"/>
        <w:rPr>
          <w:rFonts w:eastAsia="黑体"/>
          <w:sz w:val="32"/>
          <w:szCs w:val="32"/>
        </w:rPr>
      </w:pPr>
    </w:p>
    <w:p w14:paraId="773DBEAA">
      <w:pPr>
        <w:keepNext w:val="0"/>
        <w:keepLines w:val="0"/>
        <w:pageBreakBefore w:val="0"/>
        <w:widowControl w:val="0"/>
        <w:tabs>
          <w:tab w:val="left" w:pos="2828"/>
        </w:tabs>
        <w:kinsoku/>
        <w:overflowPunct/>
        <w:topLinePunct w:val="0"/>
        <w:autoSpaceDE/>
        <w:autoSpaceDN/>
        <w:bidi w:val="0"/>
        <w:spacing w:line="570" w:lineRule="exact"/>
        <w:textAlignment w:val="auto"/>
        <w:rPr>
          <w:rFonts w:eastAsia="黑体"/>
          <w:sz w:val="32"/>
          <w:szCs w:val="32"/>
        </w:rPr>
      </w:pPr>
    </w:p>
    <w:p w14:paraId="3032420A">
      <w:pPr>
        <w:keepNext w:val="0"/>
        <w:keepLines w:val="0"/>
        <w:pageBreakBefore w:val="0"/>
        <w:widowControl w:val="0"/>
        <w:tabs>
          <w:tab w:val="left" w:pos="2828"/>
        </w:tabs>
        <w:kinsoku/>
        <w:overflowPunct/>
        <w:topLinePunct w:val="0"/>
        <w:autoSpaceDE/>
        <w:autoSpaceDN/>
        <w:bidi w:val="0"/>
        <w:spacing w:line="570" w:lineRule="exact"/>
        <w:textAlignment w:val="auto"/>
        <w:rPr>
          <w:rFonts w:eastAsia="黑体"/>
          <w:sz w:val="32"/>
          <w:szCs w:val="32"/>
        </w:rPr>
      </w:pPr>
    </w:p>
    <w:p w14:paraId="6C4B4137">
      <w:pPr>
        <w:keepNext w:val="0"/>
        <w:keepLines w:val="0"/>
        <w:pageBreakBefore w:val="0"/>
        <w:widowControl w:val="0"/>
        <w:tabs>
          <w:tab w:val="left" w:pos="2828"/>
        </w:tabs>
        <w:kinsoku/>
        <w:overflowPunct/>
        <w:topLinePunct w:val="0"/>
        <w:autoSpaceDE/>
        <w:autoSpaceDN/>
        <w:bidi w:val="0"/>
        <w:spacing w:line="570" w:lineRule="exact"/>
        <w:textAlignment w:val="auto"/>
        <w:rPr>
          <w:rFonts w:eastAsia="黑体"/>
          <w:sz w:val="32"/>
          <w:szCs w:val="32"/>
        </w:rPr>
      </w:pPr>
    </w:p>
    <w:p w14:paraId="4C329948">
      <w:pPr>
        <w:keepNext w:val="0"/>
        <w:keepLines w:val="0"/>
        <w:pageBreakBefore w:val="0"/>
        <w:widowControl w:val="0"/>
        <w:tabs>
          <w:tab w:val="left" w:pos="2828"/>
        </w:tabs>
        <w:kinsoku/>
        <w:overflowPunct/>
        <w:topLinePunct w:val="0"/>
        <w:autoSpaceDE/>
        <w:autoSpaceDN/>
        <w:bidi w:val="0"/>
        <w:spacing w:line="570" w:lineRule="exact"/>
        <w:textAlignment w:val="auto"/>
        <w:rPr>
          <w:rFonts w:eastAsia="黑体"/>
          <w:sz w:val="32"/>
          <w:szCs w:val="32"/>
        </w:rPr>
      </w:pPr>
    </w:p>
    <w:p w14:paraId="7B14C517">
      <w:pPr>
        <w:keepNext w:val="0"/>
        <w:keepLines w:val="0"/>
        <w:pageBreakBefore w:val="0"/>
        <w:widowControl w:val="0"/>
        <w:tabs>
          <w:tab w:val="left" w:pos="2828"/>
        </w:tabs>
        <w:kinsoku/>
        <w:overflowPunct/>
        <w:topLinePunct w:val="0"/>
        <w:autoSpaceDE/>
        <w:autoSpaceDN/>
        <w:bidi w:val="0"/>
        <w:spacing w:line="570" w:lineRule="exact"/>
        <w:textAlignment w:val="auto"/>
        <w:rPr>
          <w:rFonts w:eastAsia="黑体"/>
          <w:sz w:val="32"/>
          <w:szCs w:val="32"/>
        </w:rPr>
      </w:pPr>
    </w:p>
    <w:p w14:paraId="4978DFE0">
      <w:pPr>
        <w:keepNext w:val="0"/>
        <w:keepLines w:val="0"/>
        <w:pageBreakBefore w:val="0"/>
        <w:widowControl w:val="0"/>
        <w:tabs>
          <w:tab w:val="left" w:pos="2828"/>
        </w:tabs>
        <w:kinsoku/>
        <w:overflowPunct/>
        <w:topLinePunct w:val="0"/>
        <w:autoSpaceDE/>
        <w:autoSpaceDN/>
        <w:bidi w:val="0"/>
        <w:spacing w:line="570" w:lineRule="exact"/>
        <w:textAlignment w:val="auto"/>
        <w:rPr>
          <w:rFonts w:eastAsia="黑体"/>
          <w:sz w:val="32"/>
          <w:szCs w:val="32"/>
        </w:rPr>
      </w:pPr>
    </w:p>
    <w:p w14:paraId="29EA7020">
      <w:pPr>
        <w:keepNext w:val="0"/>
        <w:keepLines w:val="0"/>
        <w:pageBreakBefore w:val="0"/>
        <w:widowControl w:val="0"/>
        <w:tabs>
          <w:tab w:val="left" w:pos="2828"/>
        </w:tabs>
        <w:kinsoku/>
        <w:overflowPunct/>
        <w:topLinePunct w:val="0"/>
        <w:autoSpaceDE/>
        <w:autoSpaceDN/>
        <w:bidi w:val="0"/>
        <w:spacing w:line="570" w:lineRule="exact"/>
        <w:textAlignment w:val="auto"/>
        <w:rPr>
          <w:rFonts w:eastAsia="黑体"/>
          <w:sz w:val="32"/>
          <w:szCs w:val="32"/>
        </w:rPr>
      </w:pPr>
      <w:r>
        <w:rPr>
          <w:rFonts w:eastAsia="黑体"/>
          <w:sz w:val="32"/>
          <w:szCs w:val="32"/>
        </w:rPr>
        <w:t>附件</w:t>
      </w:r>
    </w:p>
    <w:p w14:paraId="4221278C">
      <w:pPr>
        <w:keepNext w:val="0"/>
        <w:keepLines w:val="0"/>
        <w:pageBreakBefore w:val="0"/>
        <w:widowControl w:val="0"/>
        <w:tabs>
          <w:tab w:val="left" w:pos="2828"/>
        </w:tabs>
        <w:kinsoku/>
        <w:overflowPunct/>
        <w:topLinePunct w:val="0"/>
        <w:autoSpaceDE/>
        <w:autoSpaceDN/>
        <w:bidi w:val="0"/>
        <w:spacing w:line="570" w:lineRule="exact"/>
        <w:jc w:val="center"/>
        <w:textAlignment w:val="auto"/>
        <w:rPr>
          <w:rFonts w:eastAsia="方正小标宋简体"/>
          <w:sz w:val="44"/>
          <w:szCs w:val="44"/>
        </w:rPr>
      </w:pPr>
    </w:p>
    <w:p w14:paraId="022655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决定废止的市政府行政规范性文件目录</w:t>
      </w:r>
    </w:p>
    <w:p w14:paraId="287AB4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p>
    <w:tbl>
      <w:tblPr>
        <w:tblStyle w:val="8"/>
        <w:tblW w:w="9990" w:type="dxa"/>
        <w:tblInd w:w="-4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2416"/>
        <w:gridCol w:w="2174"/>
        <w:gridCol w:w="1890"/>
        <w:gridCol w:w="2595"/>
      </w:tblGrid>
      <w:tr w14:paraId="11DA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915" w:type="dxa"/>
            <w:noWrap w:val="0"/>
            <w:vAlign w:val="center"/>
          </w:tcPr>
          <w:p w14:paraId="39CD1D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序号</w:t>
            </w:r>
          </w:p>
        </w:tc>
        <w:tc>
          <w:tcPr>
            <w:tcW w:w="2416" w:type="dxa"/>
            <w:noWrap w:val="0"/>
            <w:vAlign w:val="center"/>
          </w:tcPr>
          <w:p w14:paraId="018C7B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文件名称</w:t>
            </w:r>
          </w:p>
        </w:tc>
        <w:tc>
          <w:tcPr>
            <w:tcW w:w="2174" w:type="dxa"/>
            <w:noWrap w:val="0"/>
            <w:vAlign w:val="center"/>
          </w:tcPr>
          <w:p w14:paraId="7AE324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文号</w:t>
            </w:r>
          </w:p>
        </w:tc>
        <w:tc>
          <w:tcPr>
            <w:tcW w:w="1890" w:type="dxa"/>
            <w:noWrap w:val="0"/>
            <w:vAlign w:val="center"/>
          </w:tcPr>
          <w:p w14:paraId="72D253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登记号</w:t>
            </w:r>
          </w:p>
        </w:tc>
        <w:tc>
          <w:tcPr>
            <w:tcW w:w="2595" w:type="dxa"/>
            <w:noWrap w:val="0"/>
            <w:vAlign w:val="center"/>
          </w:tcPr>
          <w:p w14:paraId="382799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施行日期</w:t>
            </w:r>
          </w:p>
        </w:tc>
      </w:tr>
      <w:tr w14:paraId="7382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trPr>
        <w:tc>
          <w:tcPr>
            <w:tcW w:w="915" w:type="dxa"/>
            <w:noWrap w:val="0"/>
            <w:vAlign w:val="center"/>
          </w:tcPr>
          <w:p w14:paraId="2B9D6C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1</w:t>
            </w:r>
          </w:p>
        </w:tc>
        <w:tc>
          <w:tcPr>
            <w:tcW w:w="2416" w:type="dxa"/>
            <w:noWrap w:val="0"/>
            <w:vAlign w:val="top"/>
          </w:tcPr>
          <w:p w14:paraId="5D80EF1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乳山市人民政府关于调整高污染燃料禁燃区的通告</w:t>
            </w:r>
          </w:p>
        </w:tc>
        <w:tc>
          <w:tcPr>
            <w:tcW w:w="2174" w:type="dxa"/>
            <w:noWrap w:val="0"/>
            <w:vAlign w:val="top"/>
          </w:tcPr>
          <w:p w14:paraId="6641B14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lang w:eastAsia="zh-CN"/>
              </w:rPr>
              <w:t>乳</w:t>
            </w:r>
            <w:r>
              <w:rPr>
                <w:rFonts w:hint="default" w:ascii="Times New Roman" w:hAnsi="Times New Roman" w:eastAsia="仿宋_GB2312" w:cs="Times New Roman"/>
                <w:sz w:val="32"/>
                <w:szCs w:val="32"/>
              </w:rPr>
              <w:t>政发〔202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号</w:t>
            </w:r>
          </w:p>
        </w:tc>
        <w:tc>
          <w:tcPr>
            <w:tcW w:w="1890" w:type="dxa"/>
            <w:noWrap w:val="0"/>
            <w:vAlign w:val="top"/>
          </w:tcPr>
          <w:p w14:paraId="1EEFC09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RSDR-2025-0010020</w:t>
            </w:r>
          </w:p>
        </w:tc>
        <w:tc>
          <w:tcPr>
            <w:tcW w:w="2595" w:type="dxa"/>
            <w:noWrap w:val="0"/>
            <w:vAlign w:val="top"/>
          </w:tcPr>
          <w:p w14:paraId="68D70C8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2020年5月17日</w:t>
            </w:r>
          </w:p>
        </w:tc>
      </w:tr>
      <w:tr w14:paraId="26B3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0" w:hRule="atLeast"/>
        </w:trPr>
        <w:tc>
          <w:tcPr>
            <w:tcW w:w="915" w:type="dxa"/>
            <w:noWrap w:val="0"/>
            <w:vAlign w:val="center"/>
          </w:tcPr>
          <w:p w14:paraId="235D1C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2</w:t>
            </w:r>
          </w:p>
        </w:tc>
        <w:tc>
          <w:tcPr>
            <w:tcW w:w="2416" w:type="dxa"/>
            <w:noWrap w:val="0"/>
            <w:vAlign w:val="top"/>
          </w:tcPr>
          <w:p w14:paraId="7176A12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乳山市人民政府关于调整禁止使用高排放非道路移动机械区域的通告</w:t>
            </w:r>
          </w:p>
        </w:tc>
        <w:tc>
          <w:tcPr>
            <w:tcW w:w="2174" w:type="dxa"/>
            <w:noWrap w:val="0"/>
            <w:vAlign w:val="top"/>
          </w:tcPr>
          <w:p w14:paraId="5DDD702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lang w:eastAsia="zh-CN"/>
              </w:rPr>
              <w:t>乳</w:t>
            </w:r>
            <w:r>
              <w:rPr>
                <w:rFonts w:hint="default" w:ascii="Times New Roman" w:hAnsi="Times New Roman" w:eastAsia="仿宋_GB2312" w:cs="Times New Roman"/>
                <w:sz w:val="32"/>
                <w:szCs w:val="32"/>
              </w:rPr>
              <w:t>政发〔202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号</w:t>
            </w:r>
          </w:p>
        </w:tc>
        <w:tc>
          <w:tcPr>
            <w:tcW w:w="1890" w:type="dxa"/>
            <w:noWrap w:val="0"/>
            <w:vAlign w:val="top"/>
          </w:tcPr>
          <w:p w14:paraId="7874321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RSDR-2025-0010021</w:t>
            </w:r>
          </w:p>
        </w:tc>
        <w:tc>
          <w:tcPr>
            <w:tcW w:w="2595" w:type="dxa"/>
            <w:noWrap w:val="0"/>
            <w:vAlign w:val="top"/>
          </w:tcPr>
          <w:p w14:paraId="7017A4C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2023年1月1日</w:t>
            </w:r>
          </w:p>
        </w:tc>
      </w:tr>
    </w:tbl>
    <w:p w14:paraId="79ADB4F3">
      <w:pPr>
        <w:keepNext w:val="0"/>
        <w:keepLines w:val="0"/>
        <w:pageBreakBefore w:val="0"/>
        <w:widowControl w:val="0"/>
        <w:tabs>
          <w:tab w:val="left" w:pos="2828"/>
        </w:tabs>
        <w:kinsoku/>
        <w:wordWrap/>
        <w:overflowPunct/>
        <w:topLinePunct w:val="0"/>
        <w:autoSpaceDE/>
        <w:autoSpaceDN/>
        <w:bidi w:val="0"/>
        <w:adjustRightInd/>
        <w:snapToGrid/>
        <w:spacing w:line="560" w:lineRule="exact"/>
        <w:ind w:left="540"/>
        <w:textAlignment w:val="auto"/>
        <w:rPr>
          <w:rFonts w:hint="default" w:ascii="仿宋_GB2312" w:hAnsi="Times New Roman" w:eastAsia="仿宋_GB2312" w:cs="Times New Roman"/>
          <w:sz w:val="32"/>
          <w:szCs w:val="32"/>
        </w:rPr>
      </w:pPr>
    </w:p>
    <w:p w14:paraId="2DC1E616">
      <w:pPr>
        <w:keepNext w:val="0"/>
        <w:keepLines w:val="0"/>
        <w:pageBreakBefore w:val="0"/>
        <w:widowControl w:val="0"/>
        <w:tabs>
          <w:tab w:val="left" w:pos="2828"/>
        </w:tabs>
        <w:kinsoku/>
        <w:wordWrap/>
        <w:overflowPunct/>
        <w:topLinePunct w:val="0"/>
        <w:autoSpaceDE/>
        <w:autoSpaceDN/>
        <w:bidi w:val="0"/>
        <w:adjustRightInd/>
        <w:snapToGrid/>
        <w:spacing w:line="560" w:lineRule="exact"/>
        <w:textAlignment w:val="auto"/>
        <w:rPr>
          <w:rFonts w:hint="eastAsia" w:ascii="仿宋_GB2312" w:eastAsia="仿宋_GB2312"/>
          <w:sz w:val="32"/>
          <w:szCs w:val="32"/>
          <w:u w:val="thick"/>
        </w:rPr>
      </w:pPr>
    </w:p>
    <w:p w14:paraId="6FCFD2E4">
      <w:pPr>
        <w:tabs>
          <w:tab w:val="left" w:pos="2828"/>
        </w:tabs>
        <w:spacing w:line="20" w:lineRule="exact"/>
      </w:pPr>
    </w:p>
    <w:p w14:paraId="149A4101"/>
    <w:sectPr>
      <w:footerReference r:id="rId3" w:type="default"/>
      <w:footerReference r:id="rId4" w:type="even"/>
      <w:pgSz w:w="11906" w:h="16838"/>
      <w:pgMar w:top="2098" w:right="1531" w:bottom="1985" w:left="1531" w:header="851"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3000509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50FF">
    <w:pPr>
      <w:pStyle w:val="5"/>
      <w:keepNext w:val="0"/>
      <w:keepLines w:val="0"/>
      <w:pageBreakBefore w:val="0"/>
      <w:widowControl w:val="0"/>
      <w:kinsoku/>
      <w:wordWrap/>
      <w:overflowPunct/>
      <w:topLinePunct w:val="0"/>
      <w:bidi w:val="0"/>
      <w:adjustRightInd/>
      <w:snapToGrid w:val="0"/>
      <w:ind w:left="315" w:leftChars="150" w:right="315" w:rightChars="150" w:firstLine="360"/>
      <w:textAlignment w:val="auto"/>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A8243">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4D4695A7">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795D7C"/>
    <w:rsid w:val="3979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after="120"/>
      <w:ind w:left="420" w:leftChars="200"/>
    </w:pPr>
  </w:style>
  <w:style w:type="paragraph" w:styleId="4">
    <w:name w:val="Block Text"/>
    <w:basedOn w:val="1"/>
    <w:qFormat/>
    <w:uiPriority w:val="0"/>
    <w:pPr>
      <w:ind w:left="1289" w:leftChars="101" w:right="320" w:rightChars="100" w:hanging="966" w:hangingChars="483"/>
    </w:pPr>
    <w:rPr>
      <w:rFonts w:ascii="Calibri" w:hAnsi="Calibri"/>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3"/>
    <w:next w:val="1"/>
    <w:qFormat/>
    <w:uiPriority w:val="0"/>
    <w:pPr>
      <w:ind w:firstLine="420" w:firstLineChars="200"/>
    </w:pPr>
    <w:rPr>
      <w:rFonts w:ascii="Calibri" w:hAnsi="Calibri"/>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2026-07-29T03:12:00Z</dcterms:created>
  <dc:creator>Z</dc:creator>
  <cp:lastModifiedBy>Z</cp:lastModifiedBy>
  <dcterms:modified xsi:type="dcterms:W3CDTF">2026-07-29T03:13:05Z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BB3DFDC72A14451686965CF84521BA4A_11</vt:lpwstr>
  </property>
  <property fmtid="{D5CDD505-2E9C-101B-9397-08002B2CF9AE}" pid="4" name="KSOTemplateDocerSaveRecord">
    <vt:lpwstr>eyJoZGlkIjoiMGFiZDRkYjYxYWVhMWE0MThhYzJlYzhiOGJhMzViZTAiLCJ1c2VySWQiOiIzNDQzOTMzNDMifQ==</vt:lpwstr>
  </property>
</Properties>
</file>