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9F0201">
      <w:pPr>
        <w:numPr>
          <w:ilvl w:val="0"/>
          <w:numId w:val="2"/>
        </w:numPr>
        <w:spacing w:line="640" w:lineRule="exact"/>
        <w:jc w:val="center"/>
        <w:outlineLvl w:val="0"/>
        <w:rPr>
          <w:rFonts w:hint="eastAsia" w:ascii="方正小标宋简体" w:hAnsi="方正小标宋简体" w:eastAsia="方正小标宋简体" w:cs="方正小标宋简体"/>
          <w:color w:val="auto"/>
          <w:sz w:val="44"/>
          <w:szCs w:val="44"/>
        </w:rPr>
      </w:pPr>
      <w:bookmarkStart w:id="0" w:name="DYNAMIC—DWXX—tAj_dwmc"/>
      <w:r>
        <w:rPr>
          <w:rFonts w:hint="default" w:ascii="方正小标宋简体" w:hAnsi="方正小标宋简体" w:eastAsia="方正小标宋简体" w:cs="方正小标宋简体"/>
          <w:color w:val="auto"/>
          <w:sz w:val="44"/>
        </w:rPr>
        <w:t>乳山市市场监督管理局</w:t>
      </w:r>
      <w:bookmarkEnd w:id="0"/>
    </w:p>
    <w:p w14:paraId="160F47CF">
      <w:pPr>
        <w:pStyle w:val="3"/>
        <w:keepNext w:val="0"/>
        <w:numPr>
          <w:ilvl w:val="0"/>
          <w:numId w:val="2"/>
        </w:numPr>
        <w:spacing w:before="0" w:after="0" w:line="640" w:lineRule="exact"/>
        <w:jc w:val="center"/>
        <w:rPr>
          <w:rFonts w:hint="eastAsia" w:eastAsia="方正小标宋简体" w:cs="方正小标宋简体"/>
          <w:color w:val="auto"/>
          <w:sz w:val="44"/>
          <w:szCs w:val="44"/>
        </w:rPr>
      </w:pPr>
      <w:bookmarkStart w:id="1" w:name="_Toc76683344"/>
      <w:r>
        <w:rPr>
          <w:rFonts w:hint="eastAsia" w:hAnsi="方正小标宋简体" w:eastAsia="方正小标宋简体" w:cs="方正小标宋简体"/>
          <w:color w:val="auto"/>
          <w:sz w:val="44"/>
          <w:szCs w:val="44"/>
          <w:lang w:val="en-US"/>
        </w:rPr>
        <w:t>行政处罚</w:t>
      </w:r>
      <w:r>
        <w:rPr>
          <w:rFonts w:hint="eastAsia" w:hAnsi="方正小标宋简体" w:eastAsia="方正小标宋简体" w:cs="方正小标宋简体"/>
          <w:color w:val="auto"/>
          <w:sz w:val="44"/>
          <w:szCs w:val="44"/>
          <w:lang w:val="en-US" w:eastAsia="zh-Hans"/>
        </w:rPr>
        <w:t>决定</w:t>
      </w:r>
      <w:r>
        <w:rPr>
          <w:rFonts w:hint="eastAsia" w:hAnsi="方正小标宋简体" w:eastAsia="方正小标宋简体" w:cs="方正小标宋简体"/>
          <w:color w:val="auto"/>
          <w:sz w:val="44"/>
          <w:szCs w:val="44"/>
          <w:lang w:val="en-US"/>
        </w:rPr>
        <w:t>书</w:t>
      </w:r>
      <w:bookmarkEnd w:id="1"/>
    </w:p>
    <w:p w14:paraId="4F48B135">
      <w:pPr>
        <w:widowControl/>
        <w:snapToGrid w:val="0"/>
        <w:spacing w:line="560" w:lineRule="exact"/>
        <w:ind w:right="55"/>
        <w:jc w:val="center"/>
        <w:outlineLvl w:val="1"/>
        <w:rPr>
          <w:rFonts w:hint="eastAsia" w:ascii="Times New Roman" w:hAnsi="仿宋_GB2312" w:eastAsia="仿宋_GB2312" w:cs="仿宋_GB2312"/>
          <w:bCs/>
          <w:color w:val="auto"/>
          <w:sz w:val="32"/>
          <w:szCs w:val="32"/>
        </w:rPr>
      </w:pPr>
      <w:bookmarkStart w:id="2" w:name="tAj_wh"/>
      <w:r>
        <w:rPr>
          <w:rFonts w:hint="eastAsia" w:ascii="Times New Roman" w:hAnsi="Times New Roman" w:eastAsia="仿宋_GB2312" w:cs="Mongolian Baiti"/>
          <w:color w:val="auto"/>
          <w:sz w:val="32"/>
        </w:rPr>
        <w:t>乳市监处罚〔2025〕35号</w:t>
      </w:r>
      <w:bookmarkEnd w:id="2"/>
    </w:p>
    <w:p w14:paraId="1E1184E6">
      <w:pPr>
        <w:keepNext w:val="0"/>
        <w:keepLines w:val="0"/>
        <w:pageBreakBefore w:val="0"/>
        <w:kinsoku/>
        <w:overflowPunct/>
        <w:topLinePunct w:val="0"/>
        <w:bidi w:val="0"/>
        <w:snapToGrid/>
        <w:spacing w:before="315" w:beforeLines="100" w:line="520" w:lineRule="exact"/>
        <w:ind w:left="142" w:hanging="142"/>
        <w:jc w:val="both"/>
        <w:textAlignment w:val="auto"/>
        <w:rPr>
          <w:rFonts w:hint="eastAsia" w:ascii="Times New Roman" w:hAnsi="Times New Roman" w:eastAsia="仿宋_GB2312" w:cs="Mongolian Baiti"/>
          <w:b w:val="0"/>
          <w:bCs/>
          <w:color w:val="auto"/>
          <w:sz w:val="32"/>
          <w:szCs w:val="32"/>
          <w:u w:val="none"/>
          <w:lang w:val="en-US" w:eastAsia="zh-CN"/>
        </w:rPr>
      </w:pPr>
      <w:r>
        <w:rPr>
          <w:rFonts w:hint="eastAsia" w:ascii="Times New Roman" w:hAnsi="Times New Roman" w:eastAsia="仿宋_GB2312" w:cs="Mongolian Baiti"/>
          <w:b w:val="0"/>
          <w:bCs/>
          <w:color w:val="auto"/>
          <w:kern w:val="1"/>
          <w:sz w:val="32"/>
          <w:szCs w:val="32"/>
          <w:u w:val="none"/>
        </w:rPr>
        <w:t>当事人：</w:t>
      </w:r>
      <w:bookmarkStart w:id="3" w:name="CALCULATE—DSR—tAjDsrs_cMc"/>
      <w:r>
        <w:rPr>
          <w:rFonts w:hint="eastAsia" w:ascii="Times New Roman" w:hAnsi="Times New Roman" w:eastAsia="仿宋_GB2312" w:cs="Mongolian Baiti"/>
          <w:b w:val="0"/>
          <w:color w:val="auto"/>
          <w:sz w:val="32"/>
          <w:u w:val="none"/>
        </w:rPr>
        <w:t>黄文飞</w:t>
      </w:r>
      <w:bookmarkEnd w:id="3"/>
      <w:r>
        <w:rPr>
          <w:rFonts w:hint="default" w:ascii="Times New Roman" w:hAnsi="Times New Roman" w:eastAsia="仿宋_GB2312" w:cs="Mongolian Baiti"/>
          <w:b w:val="0"/>
          <w:bCs/>
          <w:color w:val="auto"/>
          <w:kern w:val="1"/>
          <w:sz w:val="32"/>
          <w:szCs w:val="32"/>
          <w:u w:val="none"/>
        </w:rPr>
        <w:t xml:space="preserve">  </w:t>
      </w:r>
      <w:r>
        <w:rPr>
          <w:rFonts w:hint="eastAsia" w:ascii="Times New Roman" w:hAnsi="Times New Roman" w:eastAsia="仿宋_GB2312" w:cs="Mongolian Baiti"/>
          <w:b w:val="0"/>
          <w:bCs/>
          <w:color w:val="auto"/>
          <w:kern w:val="1"/>
          <w:sz w:val="32"/>
          <w:szCs w:val="32"/>
          <w:u w:val="none"/>
        </w:rPr>
        <w:t xml:space="preserve">   </w:t>
      </w:r>
      <w:r>
        <w:rPr>
          <w:rFonts w:hint="default" w:ascii="Times New Roman" w:hAnsi="Times New Roman" w:eastAsia="仿宋_GB2312" w:cs="Mongolian Baiti"/>
          <w:b w:val="0"/>
          <w:bCs/>
          <w:color w:val="auto"/>
          <w:kern w:val="1"/>
          <w:sz w:val="32"/>
          <w:szCs w:val="32"/>
          <w:u w:val="none"/>
        </w:rPr>
        <w:t xml:space="preserve"> </w:t>
      </w:r>
      <w:r>
        <w:rPr>
          <w:rFonts w:hint="eastAsia" w:ascii="Times New Roman" w:hAnsi="Times New Roman" w:eastAsia="仿宋_GB2312" w:cs="Mongolian Baiti"/>
          <w:b w:val="0"/>
          <w:bCs/>
          <w:color w:val="auto"/>
          <w:kern w:val="1"/>
          <w:sz w:val="32"/>
          <w:szCs w:val="32"/>
          <w:u w:val="none"/>
        </w:rPr>
        <w:t xml:space="preserve">                                      </w:t>
      </w:r>
    </w:p>
    <w:p w14:paraId="412D7C19">
      <w:pPr>
        <w:keepNext w:val="0"/>
        <w:keepLines w:val="0"/>
        <w:pageBreakBefore w:val="0"/>
        <w:kinsoku/>
        <w:overflowPunct/>
        <w:topLinePunct w:val="0"/>
        <w:bidi w:val="0"/>
        <w:snapToGrid/>
        <w:spacing w:line="520" w:lineRule="exact"/>
        <w:ind w:left="140" w:hanging="140"/>
        <w:jc w:val="both"/>
        <w:textAlignment w:val="auto"/>
        <w:rPr>
          <w:rFonts w:hint="eastAsia" w:ascii="Times New Roman" w:hAnsi="Times New Roman" w:eastAsia="仿宋_GB2312" w:cs="Mongolian Baiti"/>
          <w:b w:val="0"/>
          <w:bCs/>
          <w:color w:val="auto"/>
          <w:kern w:val="1"/>
          <w:sz w:val="32"/>
          <w:szCs w:val="32"/>
          <w:u w:val="none"/>
        </w:rPr>
      </w:pPr>
      <w:r>
        <w:rPr>
          <w:rFonts w:hint="eastAsia" w:ascii="Times New Roman" w:hAnsi="Times New Roman" w:eastAsia="仿宋_GB2312" w:cs="微软雅黑"/>
          <w:b w:val="0"/>
          <w:bCs/>
          <w:color w:val="auto"/>
          <w:kern w:val="1"/>
          <w:sz w:val="32"/>
          <w:szCs w:val="32"/>
          <w:u w:val="none"/>
        </w:rPr>
        <w:t>主体资格证照</w:t>
      </w:r>
      <w:r>
        <w:rPr>
          <w:rFonts w:hint="eastAsia" w:ascii="Times New Roman" w:hAnsi="Times New Roman" w:eastAsia="仿宋_GB2312" w:cs="Mongolian Baiti"/>
          <w:b w:val="0"/>
          <w:bCs/>
          <w:color w:val="auto"/>
          <w:kern w:val="1"/>
          <w:sz w:val="32"/>
          <w:szCs w:val="32"/>
          <w:u w:val="none"/>
        </w:rPr>
        <w:t>名称：</w:t>
      </w:r>
      <w:bookmarkStart w:id="4" w:name="CALCULATE—DSR—tAjDsrs_cZtzgzzmc"/>
      <w:r>
        <w:rPr>
          <w:rFonts w:hint="eastAsia" w:ascii="Times New Roman" w:hAnsi="Times New Roman" w:eastAsia="仿宋_GB2312" w:cs="Mongolian Baiti"/>
          <w:b w:val="0"/>
          <w:bCs/>
          <w:color w:val="auto"/>
          <w:kern w:val="1"/>
          <w:sz w:val="32"/>
          <w:szCs w:val="32"/>
          <w:u w:val="none"/>
        </w:rPr>
        <w:t xml:space="preserve"> </w:t>
      </w:r>
      <w:bookmarkEnd w:id="4"/>
      <w:r>
        <w:rPr>
          <w:rFonts w:hint="eastAsia" w:ascii="Times New Roman" w:hAnsi="Times New Roman" w:eastAsia="仿宋_GB2312" w:cs="Mongolian Baiti"/>
          <w:b w:val="0"/>
          <w:bCs/>
          <w:color w:val="auto"/>
          <w:kern w:val="1"/>
          <w:sz w:val="32"/>
          <w:szCs w:val="32"/>
          <w:u w:val="none"/>
        </w:rPr>
        <w:t xml:space="preserve"> </w:t>
      </w:r>
      <w:r>
        <w:rPr>
          <w:rFonts w:hint="eastAsia" w:ascii="Times New Roman" w:hAnsi="Times New Roman" w:eastAsia="仿宋_GB2312" w:cs="Mongolian Baiti"/>
          <w:b w:val="0"/>
          <w:bCs/>
          <w:color w:val="auto"/>
          <w:kern w:val="1"/>
          <w:sz w:val="32"/>
          <w:szCs w:val="32"/>
          <w:u w:val="none"/>
          <w:lang w:val="en-US" w:eastAsia="zh-CN"/>
        </w:rPr>
        <w:t>/</w:t>
      </w:r>
      <w:r>
        <w:rPr>
          <w:rFonts w:hint="eastAsia" w:ascii="Times New Roman" w:hAnsi="Times New Roman" w:eastAsia="仿宋_GB2312" w:cs="Mongolian Baiti"/>
          <w:b w:val="0"/>
          <w:bCs/>
          <w:color w:val="auto"/>
          <w:kern w:val="1"/>
          <w:sz w:val="32"/>
          <w:szCs w:val="32"/>
          <w:u w:val="none"/>
        </w:rPr>
        <w:t xml:space="preserve">                                 </w:t>
      </w:r>
    </w:p>
    <w:p w14:paraId="76A4E582">
      <w:pPr>
        <w:keepNext w:val="0"/>
        <w:keepLines w:val="0"/>
        <w:pageBreakBefore w:val="0"/>
        <w:kinsoku/>
        <w:overflowPunct/>
        <w:topLinePunct w:val="0"/>
        <w:bidi w:val="0"/>
        <w:snapToGrid/>
        <w:spacing w:line="520" w:lineRule="exact"/>
        <w:ind w:left="140" w:hanging="140"/>
        <w:jc w:val="both"/>
        <w:textAlignment w:val="auto"/>
        <w:rPr>
          <w:rFonts w:hint="default" w:ascii="Times New Roman" w:hAnsi="Times New Roman" w:eastAsia="仿宋_GB2312" w:cs="Mongolian Baiti"/>
          <w:b w:val="0"/>
          <w:bCs/>
          <w:color w:val="auto"/>
          <w:kern w:val="1"/>
          <w:sz w:val="32"/>
          <w:szCs w:val="32"/>
          <w:u w:val="none"/>
          <w:lang w:val="en-US" w:eastAsia="zh-CN"/>
        </w:rPr>
      </w:pPr>
      <w:r>
        <w:rPr>
          <w:rFonts w:hint="eastAsia" w:ascii="Times New Roman" w:hAnsi="Times New Roman" w:eastAsia="仿宋_GB2312" w:cs="Mongolian Baiti"/>
          <w:b w:val="0"/>
          <w:bCs/>
          <w:color w:val="auto"/>
          <w:kern w:val="1"/>
          <w:sz w:val="32"/>
          <w:szCs w:val="32"/>
          <w:u w:val="none"/>
        </w:rPr>
        <w:t>统一社会信用代码：</w:t>
      </w:r>
      <w:bookmarkStart w:id="5" w:name="CALCULATE—DSR—tAjDsrs_cTzshxydm"/>
      <w:r>
        <w:rPr>
          <w:rFonts w:hint="eastAsia" w:ascii="Times New Roman" w:hAnsi="Times New Roman" w:eastAsia="仿宋_GB2312" w:cs="Mongolian Baiti"/>
          <w:b w:val="0"/>
          <w:bCs/>
          <w:color w:val="auto"/>
          <w:kern w:val="1"/>
          <w:sz w:val="32"/>
          <w:szCs w:val="32"/>
          <w:u w:val="none"/>
        </w:rPr>
        <w:t xml:space="preserve"> </w:t>
      </w:r>
      <w:bookmarkEnd w:id="5"/>
      <w:r>
        <w:rPr>
          <w:rFonts w:hint="eastAsia" w:ascii="Times New Roman" w:hAnsi="Times New Roman" w:eastAsia="仿宋_GB2312" w:cs="Mongolian Baiti"/>
          <w:b w:val="0"/>
          <w:bCs/>
          <w:color w:val="auto"/>
          <w:kern w:val="1"/>
          <w:sz w:val="32"/>
          <w:szCs w:val="32"/>
          <w:u w:val="none"/>
        </w:rPr>
        <w:t xml:space="preserve"> </w:t>
      </w:r>
      <w:r>
        <w:rPr>
          <w:rFonts w:hint="eastAsia" w:ascii="Times New Roman" w:hAnsi="Times New Roman" w:eastAsia="仿宋_GB2312" w:cs="Mongolian Baiti"/>
          <w:b w:val="0"/>
          <w:bCs/>
          <w:color w:val="auto"/>
          <w:kern w:val="1"/>
          <w:sz w:val="32"/>
          <w:szCs w:val="32"/>
          <w:u w:val="none"/>
          <w:lang w:val="en-US" w:eastAsia="zh-CN"/>
        </w:rPr>
        <w:t>/</w:t>
      </w:r>
      <w:r>
        <w:rPr>
          <w:rFonts w:hint="eastAsia" w:ascii="Times New Roman" w:hAnsi="Times New Roman" w:eastAsia="仿宋_GB2312" w:cs="Mongolian Baiti"/>
          <w:b w:val="0"/>
          <w:bCs/>
          <w:color w:val="auto"/>
          <w:kern w:val="1"/>
          <w:sz w:val="32"/>
          <w:szCs w:val="32"/>
          <w:u w:val="none"/>
        </w:rPr>
        <w:t xml:space="preserve">                                 </w:t>
      </w:r>
    </w:p>
    <w:p w14:paraId="2BDAA845">
      <w:pPr>
        <w:keepNext w:val="0"/>
        <w:keepLines w:val="0"/>
        <w:pageBreakBefore w:val="0"/>
        <w:kinsoku/>
        <w:overflowPunct/>
        <w:topLinePunct w:val="0"/>
        <w:bidi w:val="0"/>
        <w:snapToGrid/>
        <w:spacing w:line="520" w:lineRule="exact"/>
        <w:ind w:left="140" w:hanging="140"/>
        <w:jc w:val="both"/>
        <w:textAlignment w:val="auto"/>
        <w:rPr>
          <w:rFonts w:hint="default" w:ascii="Times New Roman" w:hAnsi="Times New Roman" w:eastAsia="仿宋_GB2312" w:cs="Mongolian Baiti"/>
          <w:b w:val="0"/>
          <w:bCs/>
          <w:color w:val="auto"/>
          <w:kern w:val="1"/>
          <w:sz w:val="32"/>
          <w:szCs w:val="32"/>
          <w:u w:val="none"/>
          <w:lang w:val="en-US" w:eastAsia="zh-CN"/>
        </w:rPr>
      </w:pPr>
      <w:r>
        <w:rPr>
          <w:rFonts w:hint="eastAsia" w:ascii="Times New Roman" w:hAnsi="Times New Roman" w:eastAsia="仿宋_GB2312" w:cs="Mongolian Baiti"/>
          <w:b w:val="0"/>
          <w:bCs/>
          <w:color w:val="auto"/>
          <w:kern w:val="1"/>
          <w:sz w:val="32"/>
          <w:szCs w:val="32"/>
          <w:u w:val="none"/>
        </w:rPr>
        <w:t>住所（住址）：</w:t>
      </w:r>
      <w:bookmarkStart w:id="6" w:name="CALCULATE—DSR—tAjDsrs_cLxdzSheng"/>
      <w:r>
        <w:rPr>
          <w:rFonts w:hint="eastAsia" w:ascii="Times New Roman" w:hAnsi="Times New Roman" w:eastAsia="仿宋_GB2312" w:cs="Mongolian Baiti"/>
          <w:b w:val="0"/>
          <w:color w:val="auto"/>
          <w:sz w:val="32"/>
          <w:u w:val="none"/>
        </w:rPr>
        <w:t>湖北省天门市马湾镇前进村7组15号</w:t>
      </w:r>
      <w:bookmarkEnd w:id="6"/>
      <w:r>
        <w:rPr>
          <w:rFonts w:hint="eastAsia" w:ascii="Times New Roman" w:hAnsi="Times New Roman" w:eastAsia="仿宋_GB2312" w:cs="Mongolian Baiti"/>
          <w:b w:val="0"/>
          <w:bCs/>
          <w:color w:val="auto"/>
          <w:kern w:val="1"/>
          <w:sz w:val="32"/>
          <w:szCs w:val="32"/>
          <w:u w:val="none"/>
        </w:rPr>
        <w:t xml:space="preserve">                                      </w:t>
      </w:r>
      <w:r>
        <w:rPr>
          <w:rFonts w:hint="eastAsia" w:ascii="Times New Roman" w:hAnsi="Times New Roman" w:eastAsia="仿宋_GB2312" w:cs="Mongolian Baiti"/>
          <w:b w:val="0"/>
          <w:bCs/>
          <w:color w:val="auto"/>
          <w:kern w:val="1"/>
          <w:sz w:val="32"/>
          <w:szCs w:val="32"/>
          <w:u w:val="none"/>
          <w:lang w:val="en-US" w:eastAsia="zh-CN"/>
        </w:rPr>
        <w:t xml:space="preserve"> </w:t>
      </w:r>
    </w:p>
    <w:p w14:paraId="580DD1D8">
      <w:pPr>
        <w:keepNext w:val="0"/>
        <w:keepLines w:val="0"/>
        <w:pageBreakBefore w:val="0"/>
        <w:kinsoku/>
        <w:overflowPunct/>
        <w:topLinePunct w:val="0"/>
        <w:bidi w:val="0"/>
        <w:snapToGrid/>
        <w:spacing w:line="520" w:lineRule="exact"/>
        <w:jc w:val="both"/>
        <w:textAlignment w:val="auto"/>
        <w:rPr>
          <w:rFonts w:hint="default" w:ascii="Times New Roman" w:hAnsi="Times New Roman" w:eastAsia="仿宋_GB2312" w:cs="Mongolian Baiti"/>
          <w:b w:val="0"/>
          <w:bCs/>
          <w:color w:val="auto"/>
          <w:kern w:val="1"/>
          <w:sz w:val="32"/>
          <w:szCs w:val="32"/>
          <w:u w:val="none"/>
          <w:lang w:val="en-US" w:eastAsia="zh-CN"/>
        </w:rPr>
      </w:pPr>
      <w:r>
        <w:rPr>
          <w:rFonts w:hint="eastAsia" w:ascii="Times New Roman" w:hAnsi="Times New Roman" w:eastAsia="仿宋_GB2312" w:cs="Mongolian Baiti"/>
          <w:b w:val="0"/>
          <w:bCs/>
          <w:color w:val="auto"/>
          <w:kern w:val="1"/>
          <w:sz w:val="32"/>
          <w:szCs w:val="32"/>
          <w:u w:val="none"/>
        </w:rPr>
        <w:t>法定代表人（负责人</w:t>
      </w:r>
      <w:r>
        <w:rPr>
          <w:rFonts w:hint="eastAsia" w:ascii="Times New Roman" w:hAnsi="Times New Roman" w:eastAsia="仿宋_GB2312" w:cs="Mongolian Baiti"/>
          <w:b w:val="0"/>
          <w:bCs/>
          <w:color w:val="auto"/>
          <w:kern w:val="1"/>
          <w:sz w:val="32"/>
          <w:szCs w:val="32"/>
          <w:u w:val="none"/>
          <w:lang w:eastAsia="zh-CN"/>
        </w:rPr>
        <w:t>、经营者</w:t>
      </w:r>
      <w:r>
        <w:rPr>
          <w:rFonts w:hint="eastAsia" w:ascii="Times New Roman" w:hAnsi="Times New Roman" w:eastAsia="仿宋_GB2312" w:cs="Mongolian Baiti"/>
          <w:b w:val="0"/>
          <w:bCs/>
          <w:color w:val="auto"/>
          <w:kern w:val="1"/>
          <w:sz w:val="32"/>
          <w:szCs w:val="32"/>
          <w:u w:val="none"/>
        </w:rPr>
        <w:t xml:space="preserve">）：  </w:t>
      </w:r>
      <w:r>
        <w:rPr>
          <w:rFonts w:hint="eastAsia" w:ascii="Times New Roman" w:hAnsi="Times New Roman" w:eastAsia="仿宋_GB2312" w:cs="Mongolian Baiti"/>
          <w:b w:val="0"/>
          <w:bCs/>
          <w:color w:val="auto"/>
          <w:kern w:val="1"/>
          <w:sz w:val="32"/>
          <w:szCs w:val="32"/>
          <w:u w:val="none"/>
          <w:lang w:val="en-US" w:eastAsia="zh-CN"/>
        </w:rPr>
        <w:t>/</w:t>
      </w:r>
      <w:r>
        <w:rPr>
          <w:rFonts w:hint="eastAsia" w:ascii="Times New Roman" w:hAnsi="Times New Roman" w:eastAsia="仿宋_GB2312" w:cs="Mongolian Baiti"/>
          <w:b w:val="0"/>
          <w:bCs/>
          <w:color w:val="auto"/>
          <w:kern w:val="1"/>
          <w:sz w:val="32"/>
          <w:szCs w:val="32"/>
          <w:u w:val="none"/>
        </w:rPr>
        <w:t xml:space="preserve">                     </w:t>
      </w:r>
    </w:p>
    <w:p w14:paraId="1E973022">
      <w:pPr>
        <w:keepNext w:val="0"/>
        <w:keepLines w:val="0"/>
        <w:pageBreakBefore w:val="0"/>
        <w:kinsoku/>
        <w:overflowPunct/>
        <w:topLinePunct w:val="0"/>
        <w:bidi w:val="0"/>
        <w:snapToGrid/>
        <w:spacing w:line="520" w:lineRule="exact"/>
        <w:ind w:left="140" w:hanging="140"/>
        <w:jc w:val="both"/>
        <w:textAlignment w:val="auto"/>
        <w:rPr>
          <w:rFonts w:hint="default" w:ascii="Times New Roman" w:hAnsi="Times New Roman" w:eastAsia="仿宋_GB2312" w:cs="Mongolian Baiti"/>
          <w:b w:val="0"/>
          <w:bCs/>
          <w:color w:val="auto"/>
          <w:kern w:val="1"/>
          <w:sz w:val="32"/>
          <w:szCs w:val="32"/>
          <w:u w:val="single"/>
          <w:lang w:val="en-US" w:eastAsia="zh-CN"/>
        </w:rPr>
      </w:pPr>
      <w:r>
        <w:rPr>
          <w:rFonts w:hint="eastAsia" w:ascii="Times New Roman" w:hAnsi="Times New Roman" w:eastAsia="仿宋_GB2312" w:cs="Mongolian Baiti"/>
          <w:b w:val="0"/>
          <w:bCs/>
          <w:color w:val="auto"/>
          <w:kern w:val="1"/>
          <w:sz w:val="32"/>
          <w:szCs w:val="32"/>
          <w:u w:val="none"/>
        </w:rPr>
        <w:t>身份证件号码：</w:t>
      </w:r>
      <w:bookmarkStart w:id="7" w:name="CALCULATE—DSR—tAjDsrs_cZjhm"/>
      <w:r>
        <w:rPr>
          <w:rFonts w:hint="eastAsia" w:ascii="Times New Roman" w:hAnsi="Times New Roman" w:eastAsia="仿宋_GB2312" w:cs="Mongolian Baiti"/>
          <w:b w:val="0"/>
          <w:color w:val="auto"/>
          <w:sz w:val="32"/>
          <w:u w:val="none"/>
        </w:rPr>
        <w:t>429006</w:t>
      </w:r>
      <w:bookmarkEnd w:id="7"/>
      <w:r>
        <w:rPr>
          <w:rFonts w:hint="eastAsia" w:ascii="Times New Roman" w:hAnsi="Times New Roman" w:eastAsia="仿宋_GB2312" w:cs="Mongolian Baiti"/>
          <w:b w:val="0"/>
          <w:color w:val="auto"/>
          <w:sz w:val="32"/>
          <w:u w:val="none"/>
          <w:lang w:val="en-US" w:eastAsia="zh-CN"/>
        </w:rPr>
        <w:t>******</w:t>
      </w:r>
      <w:bookmarkStart w:id="12" w:name="_GoBack"/>
      <w:bookmarkEnd w:id="12"/>
      <w:r>
        <w:rPr>
          <w:rFonts w:hint="eastAsia" w:ascii="Times New Roman" w:hAnsi="Times New Roman" w:eastAsia="仿宋_GB2312" w:cs="Mongolian Baiti"/>
          <w:b w:val="0"/>
          <w:color w:val="auto"/>
          <w:sz w:val="32"/>
          <w:u w:val="none"/>
          <w:lang w:val="en-US" w:eastAsia="zh-CN"/>
        </w:rPr>
        <w:t>******</w:t>
      </w:r>
      <w:r>
        <w:rPr>
          <w:rFonts w:hint="eastAsia" w:ascii="Times New Roman" w:hAnsi="Times New Roman" w:eastAsia="仿宋_GB2312" w:cs="Mongolian Baiti"/>
          <w:b w:val="0"/>
          <w:bCs/>
          <w:color w:val="auto"/>
          <w:kern w:val="1"/>
          <w:sz w:val="32"/>
          <w:szCs w:val="32"/>
          <w:u w:val="none"/>
        </w:rPr>
        <w:t xml:space="preserve">                    </w:t>
      </w:r>
      <w:r>
        <w:rPr>
          <w:rFonts w:hint="eastAsia" w:ascii="Times New Roman" w:hAnsi="Times New Roman" w:eastAsia="仿宋_GB2312" w:cs="Mongolian Baiti"/>
          <w:b w:val="0"/>
          <w:bCs/>
          <w:color w:val="auto"/>
          <w:kern w:val="1"/>
          <w:sz w:val="32"/>
          <w:szCs w:val="32"/>
          <w:u w:val="single"/>
        </w:rPr>
        <w:t xml:space="preserve">               </w:t>
      </w:r>
    </w:p>
    <w:p w14:paraId="60E8F48F">
      <w:pPr>
        <w:pStyle w:val="4"/>
        <w:keepNext w:val="0"/>
        <w:keepLines w:val="0"/>
        <w:pageBreakBefore w:val="0"/>
        <w:tabs>
          <w:tab w:val="left" w:pos="9060"/>
        </w:tabs>
        <w:kinsoku/>
        <w:overflowPunct/>
        <w:topLinePunct w:val="0"/>
        <w:bidi w:val="0"/>
        <w:snapToGrid/>
        <w:spacing w:line="520" w:lineRule="exact"/>
        <w:ind w:firstLine="640" w:firstLineChars="200"/>
        <w:jc w:val="both"/>
        <w:textAlignment w:val="auto"/>
        <w:rPr>
          <w:rFonts w:hint="eastAsia" w:ascii="仿宋_GB2312" w:hAnsi="方正仿宋_GBK" w:eastAsia="仿宋_GB2312"/>
          <w:b w:val="0"/>
          <w:bCs/>
          <w:color w:val="auto"/>
          <w:u w:val="single" w:color="231F20"/>
        </w:rPr>
      </w:pPr>
    </w:p>
    <w:p w14:paraId="67262D98">
      <w:pPr>
        <w:keepNext w:val="0"/>
        <w:keepLines w:val="0"/>
        <w:pageBreakBefore w:val="0"/>
        <w:kinsoku/>
        <w:wordWrap w:val="0"/>
        <w:overflowPunct/>
        <w:topLinePunct w:val="0"/>
        <w:autoSpaceDE/>
        <w:autoSpaceDN/>
        <w:bidi w:val="0"/>
        <w:adjustRightInd/>
        <w:snapToGrid/>
        <w:spacing w:line="520" w:lineRule="exact"/>
        <w:ind w:firstLine="640" w:firstLineChars="200"/>
        <w:jc w:val="both"/>
        <w:textAlignment w:val="auto"/>
        <w:rPr>
          <w:rFonts w:hint="default" w:ascii="Times New Roman" w:hAnsi="仿宋_GB2312" w:eastAsia="仿宋_GB2312" w:cs="仿宋_GB2312"/>
          <w:bCs/>
          <w:sz w:val="32"/>
          <w:szCs w:val="32"/>
          <w:lang w:val="en-US" w:eastAsia="zh-CN"/>
        </w:rPr>
      </w:pPr>
      <w:r>
        <w:rPr>
          <w:rFonts w:hint="eastAsia" w:ascii="Times New Roman" w:hAnsi="仿宋_GB2312" w:eastAsia="仿宋_GB2312" w:cs="仿宋_GB2312"/>
          <w:bCs/>
          <w:sz w:val="32"/>
          <w:szCs w:val="32"/>
        </w:rPr>
        <w:t>202</w:t>
      </w:r>
      <w:r>
        <w:rPr>
          <w:rFonts w:hint="eastAsia" w:ascii="Times New Roman" w:hAnsi="仿宋_GB2312" w:eastAsia="仿宋_GB2312" w:cs="仿宋_GB2312"/>
          <w:bCs/>
          <w:sz w:val="32"/>
          <w:szCs w:val="32"/>
          <w:lang w:val="en-US" w:eastAsia="zh-CN"/>
        </w:rPr>
        <w:t>4</w:t>
      </w:r>
      <w:r>
        <w:rPr>
          <w:rFonts w:hint="eastAsia" w:ascii="Times New Roman" w:hAnsi="仿宋_GB2312" w:eastAsia="仿宋_GB2312" w:cs="仿宋_GB2312"/>
          <w:bCs/>
          <w:sz w:val="32"/>
          <w:szCs w:val="32"/>
        </w:rPr>
        <w:t>年7月</w:t>
      </w:r>
      <w:r>
        <w:rPr>
          <w:rFonts w:hint="eastAsia" w:ascii="Times New Roman" w:hAnsi="仿宋_GB2312" w:eastAsia="仿宋_GB2312" w:cs="仿宋_GB2312"/>
          <w:bCs/>
          <w:sz w:val="32"/>
          <w:szCs w:val="32"/>
          <w:lang w:val="en-US" w:eastAsia="zh-CN"/>
        </w:rPr>
        <w:t>22</w:t>
      </w:r>
      <w:r>
        <w:rPr>
          <w:rFonts w:hint="eastAsia" w:ascii="Times New Roman" w:hAnsi="仿宋_GB2312" w:eastAsia="仿宋_GB2312" w:cs="仿宋_GB2312"/>
          <w:bCs/>
          <w:sz w:val="32"/>
          <w:szCs w:val="32"/>
        </w:rPr>
        <w:t>日，</w:t>
      </w:r>
      <w:r>
        <w:rPr>
          <w:rFonts w:hint="eastAsia" w:ascii="Times New Roman" w:hAnsi="仿宋_GB2312" w:eastAsia="仿宋_GB2312" w:cs="仿宋_GB2312"/>
          <w:bCs/>
          <w:sz w:val="32"/>
          <w:szCs w:val="32"/>
          <w:lang w:eastAsia="zh-CN"/>
        </w:rPr>
        <w:t>乳山市市场监督管理局根据《山东省乳山市人民法院</w:t>
      </w:r>
      <w:r>
        <w:rPr>
          <w:rFonts w:hint="eastAsia" w:ascii="Times New Roman" w:hAnsi="仿宋_GB2312" w:eastAsia="仿宋_GB2312" w:cs="仿宋_GB2312"/>
          <w:bCs/>
          <w:sz w:val="32"/>
          <w:szCs w:val="32"/>
        </w:rPr>
        <w:t>刑事附带民事公益诉讼判决书</w:t>
      </w:r>
      <w:r>
        <w:rPr>
          <w:rFonts w:hint="eastAsia" w:ascii="Times New Roman" w:hAnsi="仿宋_GB2312" w:eastAsia="仿宋_GB2312" w:cs="仿宋_GB2312"/>
          <w:bCs/>
          <w:sz w:val="32"/>
          <w:szCs w:val="32"/>
          <w:lang w:eastAsia="zh-CN"/>
        </w:rPr>
        <w:t>》（</w:t>
      </w:r>
      <w:r>
        <w:rPr>
          <w:rFonts w:hint="eastAsia" w:ascii="Times New Roman" w:hAnsi="仿宋_GB2312" w:eastAsia="仿宋_GB2312" w:cs="仿宋_GB2312"/>
          <w:bCs/>
          <w:sz w:val="32"/>
          <w:szCs w:val="32"/>
        </w:rPr>
        <w:t>(2023)鲁1083刑初135号</w:t>
      </w:r>
      <w:r>
        <w:rPr>
          <w:rFonts w:hint="eastAsia" w:ascii="Times New Roman" w:hAnsi="仿宋_GB2312" w:eastAsia="仿宋_GB2312" w:cs="仿宋_GB2312"/>
          <w:bCs/>
          <w:sz w:val="32"/>
          <w:szCs w:val="32"/>
          <w:lang w:eastAsia="zh-CN"/>
        </w:rPr>
        <w:t>）</w:t>
      </w:r>
      <w:r>
        <w:rPr>
          <w:rFonts w:hint="eastAsia" w:ascii="Times New Roman" w:hAnsi="仿宋_GB2312" w:eastAsia="仿宋_GB2312" w:cs="仿宋_GB2312"/>
          <w:bCs/>
          <w:sz w:val="32"/>
          <w:szCs w:val="32"/>
          <w:lang w:val="en-US" w:eastAsia="zh-CN"/>
        </w:rPr>
        <w:t>发现，当事人因犯生产、销售假药罪，被判处有期徒刑。当事人构成了《中华人民共和国药品管理法》第一百一十八条第一款所指的情形，本局遂于2024年7月23日立案调查。2024年7月23日，我局执法人员在出示执法证件后、依法对当事人服刑前违法行为发生地进行检查，经查，违法行为发生地为乳山市一品居旅馆，我局执法人员对经营场所进行检查，经查工作人员提供了《营业执照》电子版，及《卫生许可证》副本，登记单位明证为乳山市冯家镇一品居饭店，经营者姜春涛。经了解，黄文飞已不在此处从事药品生产经营活动，我局执法人员致电当事人，发现当事人的联系电话为空号。2024年7月23日我局通过《山东省药品监督管理局行政审批许可系统》查询当事人在山东省内从事药品生产、经营情况。2024年9月2日，我局执法人员向当事人寄送询问通知书，告知当事人到我局接受询问。2024年9月12日，我局收到中国邮政退件，称无法寄送到当事人处。</w:t>
      </w:r>
      <w:r>
        <w:rPr>
          <w:rFonts w:hint="eastAsia" w:ascii="仿宋_GB2312" w:hAnsi="仿宋_GB2312" w:eastAsia="仿宋_GB2312" w:cs="仿宋_GB2312"/>
          <w:bCs/>
          <w:sz w:val="32"/>
          <w:szCs w:val="32"/>
          <w:u w:val="none"/>
          <w:lang w:val="en-US" w:eastAsia="zh-CN"/>
        </w:rPr>
        <w:t>因无法联系到当事人，故无法对当事人进行询问调查。</w:t>
      </w:r>
    </w:p>
    <w:p w14:paraId="0949C125">
      <w:pPr>
        <w:pStyle w:val="4"/>
        <w:keepNext w:val="0"/>
        <w:keepLines w:val="0"/>
        <w:pageBreakBefore w:val="0"/>
        <w:tabs>
          <w:tab w:val="left" w:pos="9060"/>
        </w:tabs>
        <w:kinsoku/>
        <w:overflowPunct/>
        <w:topLinePunct w:val="0"/>
        <w:bidi w:val="0"/>
        <w:snapToGrid/>
        <w:spacing w:line="520" w:lineRule="exact"/>
        <w:ind w:firstLine="640" w:firstLineChars="200"/>
        <w:jc w:val="both"/>
        <w:textAlignment w:val="auto"/>
        <w:rPr>
          <w:rFonts w:hint="eastAsia" w:ascii="Times New Roman" w:hAnsi="Times New Roman" w:eastAsia="仿宋_GB2312" w:cs="Mongolian Baiti"/>
          <w:b w:val="0"/>
          <w:bCs/>
          <w:color w:val="auto"/>
          <w:kern w:val="1"/>
          <w:sz w:val="32"/>
          <w:szCs w:val="32"/>
          <w:u w:val="single"/>
          <w:lang w:val="en-US" w:eastAsia="zh-CN"/>
        </w:rPr>
      </w:pPr>
      <w:r>
        <w:rPr>
          <w:rFonts w:hint="eastAsia" w:ascii="Times New Roman" w:hAnsi="仿宋_GB2312" w:eastAsia="仿宋_GB2312" w:cs="仿宋_GB2312"/>
          <w:sz w:val="32"/>
          <w:szCs w:val="32"/>
          <w:lang w:eastAsia="zh-CN"/>
        </w:rPr>
        <w:t>经查，根据</w:t>
      </w:r>
      <w:r>
        <w:rPr>
          <w:rFonts w:hint="eastAsia" w:ascii="Times New Roman" w:hAnsi="仿宋_GB2312" w:eastAsia="仿宋_GB2312" w:cs="仿宋_GB2312"/>
          <w:bCs/>
          <w:sz w:val="32"/>
          <w:szCs w:val="32"/>
          <w:lang w:eastAsia="zh-CN"/>
        </w:rPr>
        <w:t>《山东省乳山市人民法院</w:t>
      </w:r>
      <w:r>
        <w:rPr>
          <w:rFonts w:hint="eastAsia" w:ascii="Times New Roman" w:hAnsi="仿宋_GB2312" w:eastAsia="仿宋_GB2312" w:cs="仿宋_GB2312"/>
          <w:bCs/>
          <w:sz w:val="32"/>
          <w:szCs w:val="32"/>
        </w:rPr>
        <w:t>刑事附带民事公益诉讼判决书</w:t>
      </w:r>
      <w:r>
        <w:rPr>
          <w:rFonts w:hint="eastAsia" w:ascii="Times New Roman" w:hAnsi="仿宋_GB2312" w:eastAsia="仿宋_GB2312" w:cs="仿宋_GB2312"/>
          <w:bCs/>
          <w:sz w:val="32"/>
          <w:szCs w:val="32"/>
          <w:lang w:eastAsia="zh-CN"/>
        </w:rPr>
        <w:t>》（</w:t>
      </w:r>
      <w:r>
        <w:rPr>
          <w:rFonts w:hint="eastAsia" w:ascii="Times New Roman" w:hAnsi="仿宋_GB2312" w:eastAsia="仿宋_GB2312" w:cs="仿宋_GB2312"/>
          <w:bCs/>
          <w:sz w:val="32"/>
          <w:szCs w:val="32"/>
        </w:rPr>
        <w:t>(2023)鲁1083刑初135号</w:t>
      </w:r>
      <w:r>
        <w:rPr>
          <w:rFonts w:hint="eastAsia" w:ascii="Times New Roman" w:hAnsi="仿宋_GB2312" w:eastAsia="仿宋_GB2312" w:cs="仿宋_GB2312"/>
          <w:bCs/>
          <w:sz w:val="32"/>
          <w:szCs w:val="32"/>
          <w:lang w:eastAsia="zh-CN"/>
        </w:rPr>
        <w:t>）</w:t>
      </w:r>
      <w:r>
        <w:rPr>
          <w:rFonts w:hint="eastAsia" w:ascii="Times New Roman" w:hAnsi="仿宋_GB2312" w:eastAsia="仿宋_GB2312" w:cs="仿宋_GB2312"/>
          <w:bCs/>
          <w:sz w:val="32"/>
          <w:szCs w:val="32"/>
          <w:lang w:val="en-US" w:eastAsia="zh-CN"/>
        </w:rPr>
        <w:t>，当事人因犯生产、销售假药罪被乳山市人民法院于2023年8月25日黄文飞犯生产、销售假药罪，判处有期徒刑一年，并处罚金人民币二万元。当事人</w:t>
      </w:r>
      <w:r>
        <w:rPr>
          <w:rFonts w:hint="eastAsia" w:ascii="Times New Roman" w:hAnsi="仿宋_GB2312" w:eastAsia="仿宋_GB2312" w:cs="仿宋_GB2312"/>
          <w:bCs/>
          <w:sz w:val="32"/>
          <w:szCs w:val="32"/>
          <w:lang w:eastAsia="zh-CN"/>
        </w:rPr>
        <w:t>从服刑期满释放至检查之日</w:t>
      </w:r>
      <w:r>
        <w:rPr>
          <w:rFonts w:hint="eastAsia" w:ascii="Times New Roman" w:hAnsi="仿宋_GB2312" w:eastAsia="仿宋_GB2312" w:cs="仿宋_GB2312"/>
          <w:bCs/>
          <w:sz w:val="32"/>
          <w:szCs w:val="32"/>
          <w:lang w:val="en-US" w:eastAsia="zh-CN"/>
        </w:rPr>
        <w:t>未在山东省内从事药品生产、经营活动。</w:t>
      </w:r>
    </w:p>
    <w:p w14:paraId="3C4BDE47">
      <w:pPr>
        <w:pStyle w:val="4"/>
        <w:keepNext w:val="0"/>
        <w:keepLines w:val="0"/>
        <w:pageBreakBefore w:val="0"/>
        <w:tabs>
          <w:tab w:val="left" w:pos="9060"/>
        </w:tabs>
        <w:kinsoku/>
        <w:overflowPunct/>
        <w:topLinePunct w:val="0"/>
        <w:bidi w:val="0"/>
        <w:snapToGrid/>
        <w:spacing w:line="520" w:lineRule="exact"/>
        <w:ind w:firstLine="640" w:firstLineChars="200"/>
        <w:jc w:val="both"/>
        <w:textAlignment w:val="auto"/>
        <w:rPr>
          <w:rFonts w:ascii="Times New Roman" w:eastAsia="仿宋_GB2312" w:cs="Mongolian Baiti"/>
          <w:b w:val="0"/>
          <w:bCs/>
          <w:color w:val="auto"/>
          <w:kern w:val="1"/>
        </w:rPr>
      </w:pPr>
      <w:r>
        <w:rPr>
          <w:rFonts w:ascii="Times New Roman" w:eastAsia="仿宋_GB2312" w:cs="Mongolian Baiti"/>
          <w:b w:val="0"/>
          <w:bCs/>
          <w:color w:val="auto"/>
          <w:kern w:val="1"/>
        </w:rPr>
        <w:t>上述事实，主要有以下证据证明：</w:t>
      </w:r>
    </w:p>
    <w:p w14:paraId="4BE4B0F3">
      <w:pPr>
        <w:keepNext w:val="0"/>
        <w:keepLines w:val="0"/>
        <w:pageBreakBefore w:val="0"/>
        <w:numPr>
          <w:ilvl w:val="0"/>
          <w:numId w:val="0"/>
        </w:numPr>
        <w:kinsoku/>
        <w:wordWrap w:val="0"/>
        <w:overflowPunct/>
        <w:topLinePunct w:val="0"/>
        <w:autoSpaceDE/>
        <w:autoSpaceDN/>
        <w:bidi w:val="0"/>
        <w:adjustRightInd/>
        <w:snapToGrid/>
        <w:spacing w:line="520" w:lineRule="exact"/>
        <w:ind w:left="0" w:leftChars="0" w:firstLine="640" w:firstLineChars="200"/>
        <w:jc w:val="both"/>
        <w:textAlignment w:val="auto"/>
        <w:rPr>
          <w:rFonts w:hint="default" w:ascii="Times New Roman" w:hAnsi="仿宋_GB2312" w:eastAsia="仿宋_GB2312" w:cs="仿宋_GB2312"/>
          <w:sz w:val="32"/>
          <w:szCs w:val="32"/>
          <w:lang w:val="en-US" w:eastAsia="zh-CN"/>
        </w:rPr>
      </w:pPr>
      <w:r>
        <w:rPr>
          <w:rFonts w:hint="default" w:ascii="Times New Roman" w:hAnsi="仿宋_GB2312" w:eastAsia="仿宋_GB2312" w:cs="仿宋_GB2312"/>
          <w:kern w:val="2"/>
          <w:sz w:val="32"/>
          <w:szCs w:val="32"/>
          <w:lang w:val="en-US" w:eastAsia="zh-CN" w:bidi="ar-SA"/>
        </w:rPr>
        <w:t>1.</w:t>
      </w:r>
      <w:r>
        <w:rPr>
          <w:rFonts w:hint="eastAsia" w:ascii="Times New Roman" w:hAnsi="仿宋_GB2312" w:eastAsia="仿宋_GB2312" w:cs="仿宋_GB2312"/>
          <w:bCs/>
          <w:sz w:val="32"/>
          <w:szCs w:val="32"/>
          <w:lang w:eastAsia="zh-CN"/>
        </w:rPr>
        <w:t>《山东省乳山市人民法院</w:t>
      </w:r>
      <w:r>
        <w:rPr>
          <w:rFonts w:hint="eastAsia" w:ascii="Times New Roman" w:hAnsi="仿宋_GB2312" w:eastAsia="仿宋_GB2312" w:cs="仿宋_GB2312"/>
          <w:bCs/>
          <w:sz w:val="32"/>
          <w:szCs w:val="32"/>
        </w:rPr>
        <w:t>刑事附带民事公益诉讼判决书</w:t>
      </w:r>
      <w:r>
        <w:rPr>
          <w:rFonts w:hint="eastAsia" w:ascii="Times New Roman" w:hAnsi="仿宋_GB2312" w:eastAsia="仿宋_GB2312" w:cs="仿宋_GB2312"/>
          <w:bCs/>
          <w:sz w:val="32"/>
          <w:szCs w:val="32"/>
          <w:lang w:eastAsia="zh-CN"/>
        </w:rPr>
        <w:t>》（</w:t>
      </w:r>
      <w:r>
        <w:rPr>
          <w:rFonts w:hint="eastAsia" w:ascii="Times New Roman" w:hAnsi="仿宋_GB2312" w:eastAsia="仿宋_GB2312" w:cs="仿宋_GB2312"/>
          <w:bCs/>
          <w:sz w:val="32"/>
          <w:szCs w:val="32"/>
        </w:rPr>
        <w:t>(2023)鲁1083刑初135号</w:t>
      </w:r>
      <w:r>
        <w:rPr>
          <w:rFonts w:hint="eastAsia" w:ascii="Times New Roman" w:hAnsi="仿宋_GB2312" w:eastAsia="仿宋_GB2312" w:cs="仿宋_GB2312"/>
          <w:bCs/>
          <w:sz w:val="32"/>
          <w:szCs w:val="32"/>
          <w:lang w:eastAsia="zh-CN"/>
        </w:rPr>
        <w:t>）复</w:t>
      </w:r>
      <w:r>
        <w:rPr>
          <w:rFonts w:hint="eastAsia" w:ascii="Times New Roman" w:hAnsi="仿宋_GB2312" w:eastAsia="仿宋_GB2312" w:cs="仿宋_GB2312"/>
          <w:sz w:val="32"/>
          <w:szCs w:val="32"/>
          <w:lang w:val="en-US" w:eastAsia="zh-CN"/>
        </w:rPr>
        <w:t>印件1份，证明当事人因犯生产、销售假药罪，被判处有期徒刑的情况；</w:t>
      </w:r>
    </w:p>
    <w:p w14:paraId="57E42484">
      <w:pPr>
        <w:keepNext w:val="0"/>
        <w:keepLines w:val="0"/>
        <w:pageBreakBefore w:val="0"/>
        <w:numPr>
          <w:ilvl w:val="0"/>
          <w:numId w:val="0"/>
        </w:numPr>
        <w:kinsoku/>
        <w:wordWrap w:val="0"/>
        <w:overflowPunct/>
        <w:topLinePunct w:val="0"/>
        <w:autoSpaceDE/>
        <w:autoSpaceDN/>
        <w:bidi w:val="0"/>
        <w:adjustRightInd/>
        <w:snapToGrid/>
        <w:spacing w:line="520" w:lineRule="exact"/>
        <w:ind w:left="0" w:leftChars="0" w:firstLine="640" w:firstLineChars="200"/>
        <w:jc w:val="both"/>
        <w:textAlignment w:val="auto"/>
        <w:rPr>
          <w:rFonts w:hint="eastAsia" w:ascii="Times New Roman" w:hAnsi="仿宋_GB2312" w:eastAsia="仿宋_GB2312" w:cs="仿宋_GB2312"/>
          <w:sz w:val="32"/>
          <w:szCs w:val="32"/>
        </w:rPr>
      </w:pPr>
      <w:r>
        <w:rPr>
          <w:rFonts w:hint="eastAsia" w:ascii="Times New Roman" w:hAnsi="仿宋_GB2312" w:eastAsia="仿宋_GB2312" w:cs="仿宋_GB2312"/>
          <w:kern w:val="2"/>
          <w:sz w:val="32"/>
          <w:szCs w:val="32"/>
          <w:lang w:val="en-US" w:eastAsia="zh-CN" w:bidi="ar-SA"/>
        </w:rPr>
        <w:t>2.</w:t>
      </w:r>
      <w:r>
        <w:rPr>
          <w:rFonts w:hint="eastAsia" w:ascii="Times New Roman" w:hAnsi="仿宋_GB2312" w:eastAsia="仿宋_GB2312" w:cs="仿宋_GB2312"/>
          <w:sz w:val="32"/>
          <w:szCs w:val="32"/>
        </w:rPr>
        <w:t>《</w:t>
      </w:r>
      <w:r>
        <w:rPr>
          <w:rFonts w:hint="eastAsia" w:ascii="Times New Roman" w:hAnsi="仿宋_GB2312" w:eastAsia="仿宋_GB2312" w:cs="仿宋_GB2312"/>
          <w:sz w:val="32"/>
          <w:szCs w:val="32"/>
          <w:lang w:eastAsia="zh-CN"/>
        </w:rPr>
        <w:t>现场笔录</w:t>
      </w:r>
      <w:r>
        <w:rPr>
          <w:rFonts w:hint="eastAsia" w:ascii="Times New Roman" w:hAnsi="仿宋_GB2312" w:eastAsia="仿宋_GB2312" w:cs="仿宋_GB2312"/>
          <w:sz w:val="32"/>
          <w:szCs w:val="32"/>
        </w:rPr>
        <w:t>》1份，</w:t>
      </w:r>
      <w:r>
        <w:rPr>
          <w:rFonts w:hint="eastAsia" w:ascii="Times New Roman" w:hAnsi="仿宋_GB2312" w:eastAsia="仿宋_GB2312" w:cs="仿宋_GB2312"/>
          <w:sz w:val="32"/>
          <w:szCs w:val="32"/>
          <w:lang w:eastAsia="zh-CN"/>
        </w:rPr>
        <w:t>《营业执照》副本照片打印件</w:t>
      </w:r>
      <w:r>
        <w:rPr>
          <w:rFonts w:hint="eastAsia" w:ascii="Times New Roman" w:hAnsi="仿宋_GB2312" w:eastAsia="仿宋_GB2312" w:cs="仿宋_GB2312"/>
          <w:sz w:val="32"/>
          <w:szCs w:val="32"/>
          <w:lang w:val="en-US" w:eastAsia="zh-CN"/>
        </w:rPr>
        <w:t>1份，《卫生许可证》副本照片打印件1份，</w:t>
      </w:r>
      <w:r>
        <w:rPr>
          <w:rFonts w:hint="eastAsia" w:ascii="Times New Roman" w:hAnsi="仿宋_GB2312" w:eastAsia="仿宋_GB2312" w:cs="仿宋_GB2312"/>
          <w:sz w:val="32"/>
          <w:szCs w:val="32"/>
        </w:rPr>
        <w:t>证明当事人服刑期满后</w:t>
      </w:r>
      <w:r>
        <w:rPr>
          <w:rFonts w:hint="eastAsia" w:ascii="Times New Roman" w:hAnsi="仿宋_GB2312" w:eastAsia="仿宋_GB2312" w:cs="仿宋_GB2312"/>
          <w:sz w:val="32"/>
          <w:szCs w:val="32"/>
          <w:lang w:eastAsia="zh-CN"/>
        </w:rPr>
        <w:t>未在违法行为发生地乳山市冯家镇一品居饭店处从事药品生产、经营活动</w:t>
      </w:r>
      <w:r>
        <w:rPr>
          <w:rFonts w:hint="eastAsia" w:ascii="Times New Roman" w:hAnsi="仿宋_GB2312" w:eastAsia="仿宋_GB2312" w:cs="仿宋_GB2312"/>
          <w:sz w:val="32"/>
          <w:szCs w:val="32"/>
        </w:rPr>
        <w:t>的情况；</w:t>
      </w:r>
    </w:p>
    <w:p w14:paraId="013C331C">
      <w:pPr>
        <w:keepNext w:val="0"/>
        <w:keepLines w:val="0"/>
        <w:pageBreakBefore w:val="0"/>
        <w:numPr>
          <w:ilvl w:val="0"/>
          <w:numId w:val="0"/>
        </w:numPr>
        <w:kinsoku/>
        <w:wordWrap w:val="0"/>
        <w:overflowPunct/>
        <w:topLinePunct w:val="0"/>
        <w:autoSpaceDE/>
        <w:autoSpaceDN/>
        <w:bidi w:val="0"/>
        <w:adjustRightInd/>
        <w:snapToGrid/>
        <w:spacing w:line="520" w:lineRule="exact"/>
        <w:ind w:left="0" w:leftChars="0" w:firstLine="640" w:firstLineChars="200"/>
        <w:jc w:val="both"/>
        <w:textAlignment w:val="auto"/>
        <w:rPr>
          <w:rFonts w:hint="eastAsia" w:ascii="Times New Roman" w:hAnsi="仿宋_GB2312" w:eastAsia="仿宋_GB2312" w:cs="仿宋_GB2312"/>
          <w:sz w:val="32"/>
          <w:szCs w:val="32"/>
        </w:rPr>
      </w:pPr>
      <w:r>
        <w:rPr>
          <w:rFonts w:hint="eastAsia" w:ascii="Times New Roman" w:hAnsi="仿宋_GB2312" w:eastAsia="仿宋_GB2312" w:cs="仿宋_GB2312"/>
          <w:kern w:val="2"/>
          <w:sz w:val="32"/>
          <w:szCs w:val="32"/>
          <w:lang w:val="en-US" w:eastAsia="zh-CN" w:bidi="ar-SA"/>
        </w:rPr>
        <w:t>3.</w:t>
      </w:r>
      <w:r>
        <w:rPr>
          <w:rFonts w:hint="eastAsia" w:ascii="Times New Roman" w:hAnsi="仿宋_GB2312" w:eastAsia="仿宋_GB2312" w:cs="仿宋_GB2312"/>
          <w:sz w:val="32"/>
          <w:szCs w:val="32"/>
        </w:rPr>
        <w:t>《山东省药品监督管理局行政审批许可系统》</w:t>
      </w:r>
      <w:r>
        <w:rPr>
          <w:rFonts w:hint="eastAsia" w:ascii="Times New Roman" w:hAnsi="仿宋_GB2312" w:eastAsia="仿宋_GB2312" w:cs="仿宋_GB2312"/>
          <w:sz w:val="32"/>
          <w:szCs w:val="32"/>
          <w:lang w:eastAsia="zh-CN"/>
        </w:rPr>
        <w:t>基础数据</w:t>
      </w:r>
      <w:r>
        <w:rPr>
          <w:rFonts w:hint="eastAsia" w:ascii="Times New Roman" w:hAnsi="仿宋_GB2312" w:eastAsia="仿宋_GB2312" w:cs="仿宋_GB2312"/>
          <w:sz w:val="32"/>
          <w:szCs w:val="32"/>
        </w:rPr>
        <w:t>查询</w:t>
      </w:r>
      <w:r>
        <w:rPr>
          <w:rFonts w:hint="eastAsia" w:ascii="Times New Roman" w:hAnsi="仿宋_GB2312" w:eastAsia="仿宋_GB2312" w:cs="仿宋_GB2312"/>
          <w:sz w:val="32"/>
          <w:szCs w:val="32"/>
          <w:lang w:eastAsia="zh-CN"/>
        </w:rPr>
        <w:t>页面截图打印件</w:t>
      </w:r>
      <w:r>
        <w:rPr>
          <w:rFonts w:hint="eastAsia" w:ascii="Times New Roman" w:hAnsi="仿宋_GB2312" w:eastAsia="仿宋_GB2312" w:cs="仿宋_GB2312"/>
          <w:sz w:val="32"/>
          <w:szCs w:val="32"/>
          <w:lang w:val="en-US" w:eastAsia="zh-CN"/>
        </w:rPr>
        <w:t>1份，</w:t>
      </w:r>
      <w:r>
        <w:rPr>
          <w:rFonts w:hint="eastAsia" w:ascii="Times New Roman" w:hAnsi="仿宋_GB2312" w:eastAsia="仿宋_GB2312" w:cs="仿宋_GB2312"/>
          <w:sz w:val="32"/>
          <w:szCs w:val="32"/>
        </w:rPr>
        <w:t>证明</w:t>
      </w:r>
      <w:r>
        <w:rPr>
          <w:rFonts w:hint="eastAsia" w:ascii="Times New Roman" w:hAnsi="仿宋_GB2312" w:eastAsia="仿宋_GB2312" w:cs="仿宋_GB2312"/>
          <w:sz w:val="32"/>
          <w:szCs w:val="32"/>
          <w:lang w:eastAsia="zh-CN"/>
        </w:rPr>
        <w:t>当事人未在山东省内从事药品生产、经营活动的</w:t>
      </w:r>
      <w:r>
        <w:rPr>
          <w:rFonts w:hint="eastAsia" w:ascii="Times New Roman" w:hAnsi="仿宋_GB2312" w:eastAsia="仿宋_GB2312" w:cs="仿宋_GB2312"/>
          <w:sz w:val="32"/>
          <w:szCs w:val="32"/>
        </w:rPr>
        <w:t>情况。</w:t>
      </w:r>
    </w:p>
    <w:p w14:paraId="337E9F58">
      <w:pPr>
        <w:keepNext w:val="0"/>
        <w:keepLines w:val="0"/>
        <w:pageBreakBefore w:val="0"/>
        <w:numPr>
          <w:ilvl w:val="0"/>
          <w:numId w:val="0"/>
        </w:numPr>
        <w:kinsoku/>
        <w:wordWrap w:val="0"/>
        <w:overflowPunct/>
        <w:topLinePunct w:val="0"/>
        <w:autoSpaceDE/>
        <w:autoSpaceDN/>
        <w:bidi w:val="0"/>
        <w:adjustRightInd/>
        <w:snapToGrid/>
        <w:spacing w:line="520" w:lineRule="exact"/>
        <w:ind w:left="0" w:leftChars="0" w:firstLine="640" w:firstLineChars="200"/>
        <w:jc w:val="both"/>
        <w:textAlignment w:val="auto"/>
        <w:rPr>
          <w:rFonts w:hint="eastAsia" w:ascii="Times New Roman" w:hAnsi="仿宋_GB2312" w:eastAsia="仿宋_GB2312" w:cs="仿宋_GB2312"/>
          <w:sz w:val="32"/>
          <w:szCs w:val="32"/>
          <w:lang w:eastAsia="zh-CN"/>
        </w:rPr>
      </w:pPr>
      <w:r>
        <w:rPr>
          <w:rFonts w:hint="eastAsia" w:ascii="Times New Roman" w:hAnsi="仿宋_GB2312" w:eastAsia="仿宋_GB2312" w:cs="仿宋_GB2312"/>
          <w:kern w:val="2"/>
          <w:sz w:val="32"/>
          <w:szCs w:val="32"/>
          <w:lang w:val="en-US" w:eastAsia="zh-CN" w:bidi="ar-SA"/>
        </w:rPr>
        <w:t>4.</w:t>
      </w:r>
      <w:r>
        <w:rPr>
          <w:rFonts w:hint="eastAsia" w:ascii="Times New Roman" w:hAnsi="仿宋_GB2312" w:eastAsia="仿宋_GB2312" w:cs="仿宋_GB2312"/>
          <w:sz w:val="32"/>
          <w:szCs w:val="32"/>
          <w:lang w:eastAsia="zh-CN"/>
        </w:rPr>
        <w:t>通话截图打印件</w:t>
      </w:r>
      <w:r>
        <w:rPr>
          <w:rFonts w:hint="eastAsia" w:ascii="Times New Roman" w:hAnsi="仿宋_GB2312" w:eastAsia="仿宋_GB2312" w:cs="仿宋_GB2312"/>
          <w:sz w:val="32"/>
          <w:szCs w:val="32"/>
          <w:lang w:val="en-US" w:eastAsia="zh-CN"/>
        </w:rPr>
        <w:t>1份，</w:t>
      </w:r>
      <w:r>
        <w:rPr>
          <w:rFonts w:hint="eastAsia" w:ascii="Times New Roman" w:hAnsi="仿宋_GB2312" w:eastAsia="仿宋_GB2312" w:cs="仿宋_GB2312"/>
          <w:sz w:val="32"/>
          <w:szCs w:val="32"/>
          <w:lang w:eastAsia="zh-CN"/>
        </w:rPr>
        <w:t>证明无法与当事人取得联系的情况。</w:t>
      </w:r>
    </w:p>
    <w:p w14:paraId="7274EAF7">
      <w:pPr>
        <w:pStyle w:val="4"/>
        <w:keepNext w:val="0"/>
        <w:keepLines w:val="0"/>
        <w:pageBreakBefore w:val="0"/>
        <w:tabs>
          <w:tab w:val="left" w:pos="9060"/>
        </w:tabs>
        <w:kinsoku/>
        <w:overflowPunct/>
        <w:topLinePunct w:val="0"/>
        <w:bidi w:val="0"/>
        <w:snapToGrid/>
        <w:spacing w:line="520" w:lineRule="exact"/>
        <w:ind w:firstLine="640" w:firstLineChars="200"/>
        <w:jc w:val="both"/>
        <w:textAlignment w:val="auto"/>
        <w:rPr>
          <w:rFonts w:hint="eastAsia" w:ascii="Times New Roman" w:eastAsia="仿宋_GB2312" w:cs="Mongolian Baiti"/>
          <w:b w:val="0"/>
          <w:bCs/>
          <w:color w:val="auto"/>
          <w:kern w:val="1"/>
        </w:rPr>
      </w:pPr>
      <w:r>
        <w:rPr>
          <w:rFonts w:hint="eastAsia" w:ascii="Times New Roman" w:hAnsi="仿宋_GB2312" w:eastAsia="仿宋_GB2312" w:cs="仿宋_GB2312"/>
          <w:sz w:val="32"/>
          <w:szCs w:val="32"/>
          <w:lang w:val="en-US" w:eastAsia="zh-CN"/>
        </w:rPr>
        <w:t>5.</w:t>
      </w:r>
      <w:r>
        <w:rPr>
          <w:rFonts w:hint="eastAsia" w:ascii="Times New Roman" w:hAnsi="仿宋_GB2312" w:eastAsia="仿宋_GB2312" w:cs="仿宋_GB2312"/>
          <w:sz w:val="32"/>
          <w:szCs w:val="32"/>
          <w:lang w:eastAsia="zh-CN"/>
        </w:rPr>
        <w:t>询问通知书</w:t>
      </w:r>
      <w:r>
        <w:rPr>
          <w:rFonts w:hint="eastAsia" w:ascii="Times New Roman" w:hAnsi="仿宋_GB2312" w:eastAsia="仿宋_GB2312" w:cs="仿宋_GB2312"/>
          <w:sz w:val="32"/>
          <w:szCs w:val="32"/>
          <w:lang w:val="en-US" w:eastAsia="zh-CN"/>
        </w:rPr>
        <w:t>1份，邮寄证明1份，注明退件原因的邮件封皮复印件1份，证明无法通过当事人住址联系到当事人。</w:t>
      </w:r>
    </w:p>
    <w:p w14:paraId="6B894A89">
      <w:pPr>
        <w:pStyle w:val="4"/>
        <w:keepNext w:val="0"/>
        <w:keepLines w:val="0"/>
        <w:pageBreakBefore w:val="0"/>
        <w:tabs>
          <w:tab w:val="left" w:pos="9060"/>
        </w:tabs>
        <w:kinsoku/>
        <w:overflowPunct/>
        <w:topLinePunct w:val="0"/>
        <w:bidi w:val="0"/>
        <w:snapToGrid/>
        <w:spacing w:line="520" w:lineRule="exact"/>
        <w:ind w:firstLine="640" w:firstLineChars="200"/>
        <w:jc w:val="both"/>
        <w:textAlignment w:val="auto"/>
        <w:rPr>
          <w:rFonts w:hint="eastAsia" w:ascii="Times New Roman" w:eastAsia="仿宋_GB2312" w:cs="仿宋_GB2312"/>
          <w:b w:val="0"/>
          <w:bCs/>
          <w:color w:val="auto"/>
          <w:u w:val="single"/>
        </w:rPr>
      </w:pPr>
      <w:r>
        <w:rPr>
          <w:rFonts w:hint="eastAsia" w:ascii="Times New Roman" w:hAnsi="仿宋_GB2312" w:eastAsia="仿宋_GB2312" w:cs="仿宋_GB2312"/>
          <w:bCs/>
          <w:sz w:val="32"/>
          <w:szCs w:val="32"/>
          <w:lang w:eastAsia="zh-CN"/>
        </w:rPr>
        <w:t>我局于 202</w:t>
      </w:r>
      <w:r>
        <w:rPr>
          <w:rFonts w:hint="eastAsia" w:ascii="Times New Roman" w:hAnsi="仿宋_GB2312" w:eastAsia="仿宋_GB2312" w:cs="仿宋_GB2312"/>
          <w:bCs/>
          <w:sz w:val="32"/>
          <w:szCs w:val="32"/>
          <w:lang w:val="en-US" w:eastAsia="zh-CN"/>
        </w:rPr>
        <w:t>4</w:t>
      </w:r>
      <w:r>
        <w:rPr>
          <w:rFonts w:hint="eastAsia" w:ascii="Times New Roman" w:hAnsi="仿宋_GB2312" w:eastAsia="仿宋_GB2312" w:cs="仿宋_GB2312"/>
          <w:bCs/>
          <w:sz w:val="32"/>
          <w:szCs w:val="32"/>
          <w:lang w:eastAsia="zh-CN"/>
        </w:rPr>
        <w:t>年</w:t>
      </w:r>
      <w:r>
        <w:rPr>
          <w:rFonts w:hint="eastAsia" w:ascii="Times New Roman" w:hAnsi="仿宋_GB2312" w:eastAsia="仿宋_GB2312" w:cs="仿宋_GB2312"/>
          <w:bCs/>
          <w:sz w:val="32"/>
          <w:szCs w:val="32"/>
          <w:lang w:val="en-US" w:eastAsia="zh-CN"/>
        </w:rPr>
        <w:t>12</w:t>
      </w:r>
      <w:r>
        <w:rPr>
          <w:rFonts w:hint="eastAsia" w:ascii="Times New Roman" w:hAnsi="仿宋_GB2312" w:eastAsia="仿宋_GB2312" w:cs="仿宋_GB2312"/>
          <w:bCs/>
          <w:sz w:val="32"/>
          <w:szCs w:val="32"/>
          <w:lang w:eastAsia="zh-CN"/>
        </w:rPr>
        <w:t>月</w:t>
      </w:r>
      <w:r>
        <w:rPr>
          <w:rFonts w:hint="eastAsia" w:ascii="Times New Roman" w:hAnsi="仿宋_GB2312" w:eastAsia="仿宋_GB2312" w:cs="仿宋_GB2312"/>
          <w:bCs/>
          <w:sz w:val="32"/>
          <w:szCs w:val="32"/>
          <w:lang w:val="en-US" w:eastAsia="zh-CN"/>
        </w:rPr>
        <w:t>1</w:t>
      </w:r>
      <w:r>
        <w:rPr>
          <w:rFonts w:hint="eastAsia" w:ascii="Times New Roman" w:hAnsi="仿宋_GB2312" w:eastAsia="仿宋_GB2312" w:cs="仿宋_GB2312"/>
          <w:bCs/>
          <w:sz w:val="32"/>
          <w:szCs w:val="32"/>
          <w:lang w:eastAsia="zh-CN"/>
        </w:rPr>
        <w:t>日向当事人邮寄送达《行政处罚告知书》【乳市监罚告〔202</w:t>
      </w:r>
      <w:r>
        <w:rPr>
          <w:rFonts w:hint="eastAsia" w:ascii="Times New Roman" w:hAnsi="仿宋_GB2312" w:eastAsia="仿宋_GB2312" w:cs="仿宋_GB2312"/>
          <w:bCs/>
          <w:sz w:val="32"/>
          <w:szCs w:val="32"/>
          <w:lang w:val="en-US" w:eastAsia="zh-CN"/>
        </w:rPr>
        <w:t>4</w:t>
      </w:r>
      <w:r>
        <w:rPr>
          <w:rFonts w:hint="eastAsia" w:ascii="Times New Roman" w:hAnsi="仿宋_GB2312" w:eastAsia="仿宋_GB2312" w:cs="仿宋_GB2312"/>
          <w:bCs/>
          <w:sz w:val="32"/>
          <w:szCs w:val="32"/>
          <w:lang w:eastAsia="zh-CN"/>
        </w:rPr>
        <w:t>〕</w:t>
      </w:r>
      <w:r>
        <w:rPr>
          <w:rFonts w:hint="eastAsia" w:ascii="Times New Roman" w:hAnsi="仿宋_GB2312" w:eastAsia="仿宋_GB2312" w:cs="仿宋_GB2312"/>
          <w:bCs/>
          <w:sz w:val="32"/>
          <w:szCs w:val="32"/>
          <w:lang w:val="en-US" w:eastAsia="zh-CN"/>
        </w:rPr>
        <w:t>509</w:t>
      </w:r>
      <w:r>
        <w:rPr>
          <w:rFonts w:hint="eastAsia" w:ascii="Times New Roman" w:hAnsi="仿宋_GB2312" w:eastAsia="仿宋_GB2312" w:cs="仿宋_GB2312"/>
          <w:bCs/>
          <w:sz w:val="32"/>
          <w:szCs w:val="32"/>
          <w:lang w:eastAsia="zh-CN"/>
        </w:rPr>
        <w:t>号】，邮件被退回，原因：（其它）地址不详。我局于 202</w:t>
      </w:r>
      <w:r>
        <w:rPr>
          <w:rFonts w:hint="eastAsia" w:ascii="Times New Roman" w:hAnsi="仿宋_GB2312" w:eastAsia="仿宋_GB2312" w:cs="仿宋_GB2312"/>
          <w:bCs/>
          <w:sz w:val="32"/>
          <w:szCs w:val="32"/>
          <w:lang w:val="en-US" w:eastAsia="zh-CN"/>
        </w:rPr>
        <w:t>4</w:t>
      </w:r>
      <w:r>
        <w:rPr>
          <w:rFonts w:hint="eastAsia" w:ascii="Times New Roman" w:hAnsi="仿宋_GB2312" w:eastAsia="仿宋_GB2312" w:cs="仿宋_GB2312"/>
          <w:bCs/>
          <w:sz w:val="32"/>
          <w:szCs w:val="32"/>
          <w:lang w:eastAsia="zh-CN"/>
        </w:rPr>
        <w:t>年</w:t>
      </w:r>
      <w:r>
        <w:rPr>
          <w:rFonts w:hint="eastAsia" w:ascii="Times New Roman" w:hAnsi="仿宋_GB2312" w:eastAsia="仿宋_GB2312" w:cs="仿宋_GB2312"/>
          <w:bCs/>
          <w:sz w:val="32"/>
          <w:szCs w:val="32"/>
          <w:lang w:val="en-US" w:eastAsia="zh-CN"/>
        </w:rPr>
        <w:t>12</w:t>
      </w:r>
      <w:r>
        <w:rPr>
          <w:rFonts w:hint="eastAsia" w:ascii="Times New Roman" w:hAnsi="仿宋_GB2312" w:eastAsia="仿宋_GB2312" w:cs="仿宋_GB2312"/>
          <w:bCs/>
          <w:sz w:val="32"/>
          <w:szCs w:val="32"/>
          <w:lang w:eastAsia="zh-CN"/>
        </w:rPr>
        <w:t>月</w:t>
      </w:r>
      <w:r>
        <w:rPr>
          <w:rFonts w:hint="eastAsia" w:ascii="Times New Roman" w:hAnsi="仿宋_GB2312" w:eastAsia="仿宋_GB2312" w:cs="仿宋_GB2312"/>
          <w:bCs/>
          <w:sz w:val="32"/>
          <w:szCs w:val="32"/>
          <w:lang w:val="en-US" w:eastAsia="zh-CN"/>
        </w:rPr>
        <w:t>5</w:t>
      </w:r>
      <w:r>
        <w:rPr>
          <w:rFonts w:hint="eastAsia" w:ascii="Times New Roman" w:hAnsi="仿宋_GB2312" w:eastAsia="仿宋_GB2312" w:cs="仿宋_GB2312"/>
          <w:bCs/>
          <w:sz w:val="32"/>
          <w:szCs w:val="32"/>
          <w:lang w:eastAsia="zh-CN"/>
        </w:rPr>
        <w:t>日在乳山市人民政府官方网站向当事人公告送达《行政处罚告知书》【乳市监罚告〔202</w:t>
      </w:r>
      <w:r>
        <w:rPr>
          <w:rFonts w:hint="eastAsia" w:ascii="Times New Roman" w:hAnsi="仿宋_GB2312" w:eastAsia="仿宋_GB2312" w:cs="仿宋_GB2312"/>
          <w:bCs/>
          <w:sz w:val="32"/>
          <w:szCs w:val="32"/>
          <w:lang w:val="en-US" w:eastAsia="zh-CN"/>
        </w:rPr>
        <w:t>4</w:t>
      </w:r>
      <w:r>
        <w:rPr>
          <w:rFonts w:hint="eastAsia" w:ascii="Times New Roman" w:hAnsi="仿宋_GB2312" w:eastAsia="仿宋_GB2312" w:cs="仿宋_GB2312"/>
          <w:bCs/>
          <w:sz w:val="32"/>
          <w:szCs w:val="32"/>
          <w:lang w:eastAsia="zh-CN"/>
        </w:rPr>
        <w:t>〕</w:t>
      </w:r>
      <w:r>
        <w:rPr>
          <w:rFonts w:hint="eastAsia" w:ascii="Times New Roman" w:hAnsi="仿宋_GB2312" w:eastAsia="仿宋_GB2312" w:cs="仿宋_GB2312"/>
          <w:bCs/>
          <w:sz w:val="32"/>
          <w:szCs w:val="32"/>
          <w:lang w:val="en-US" w:eastAsia="zh-CN"/>
        </w:rPr>
        <w:t>509</w:t>
      </w:r>
      <w:r>
        <w:rPr>
          <w:rFonts w:hint="eastAsia" w:ascii="Times New Roman" w:hAnsi="仿宋_GB2312" w:eastAsia="仿宋_GB2312" w:cs="仿宋_GB2312"/>
          <w:bCs/>
          <w:sz w:val="32"/>
          <w:szCs w:val="32"/>
          <w:lang w:eastAsia="zh-CN"/>
        </w:rPr>
        <w:t>号】，公告时间</w:t>
      </w:r>
      <w:r>
        <w:rPr>
          <w:rFonts w:hint="eastAsia" w:ascii="Times New Roman" w:hAnsi="仿宋_GB2312" w:eastAsia="仿宋_GB2312" w:cs="仿宋_GB2312"/>
          <w:bCs/>
          <w:sz w:val="32"/>
          <w:szCs w:val="32"/>
          <w:lang w:val="en-US" w:eastAsia="zh-CN"/>
        </w:rPr>
        <w:t>30日，至公告日期结束，当事人未到我局领取</w:t>
      </w:r>
      <w:r>
        <w:rPr>
          <w:rFonts w:hint="eastAsia" w:ascii="Times New Roman" w:hAnsi="仿宋_GB2312" w:eastAsia="仿宋_GB2312" w:cs="仿宋_GB2312"/>
          <w:bCs/>
          <w:sz w:val="32"/>
          <w:szCs w:val="32"/>
          <w:lang w:eastAsia="zh-CN"/>
        </w:rPr>
        <w:t>《行政处罚告知书》。当事人在规定时间内未进行陈述申辩，视为放弃陈述申辩的权利。</w:t>
      </w:r>
    </w:p>
    <w:p w14:paraId="3A6FB0D4">
      <w:pPr>
        <w:pStyle w:val="4"/>
        <w:keepNext w:val="0"/>
        <w:keepLines w:val="0"/>
        <w:pageBreakBefore w:val="0"/>
        <w:tabs>
          <w:tab w:val="left" w:pos="8405"/>
        </w:tabs>
        <w:kinsoku/>
        <w:overflowPunct/>
        <w:topLinePunct w:val="0"/>
        <w:bidi w:val="0"/>
        <w:snapToGrid/>
        <w:spacing w:line="520" w:lineRule="exact"/>
        <w:ind w:firstLine="640" w:firstLineChars="200"/>
        <w:jc w:val="both"/>
        <w:textAlignment w:val="auto"/>
        <w:rPr>
          <w:rFonts w:ascii="Times New Roman" w:eastAsia="仿宋_GB2312" w:cs="仿宋_GB2312"/>
          <w:b w:val="0"/>
          <w:bCs/>
          <w:color w:val="auto"/>
          <w:u w:val="single"/>
        </w:rPr>
      </w:pPr>
      <w:r>
        <w:rPr>
          <w:rFonts w:hint="eastAsia" w:ascii="仿宋_GB2312" w:eastAsia="仿宋_GB2312" w:cs="Mongolian Baiti"/>
          <w:b w:val="0"/>
          <w:bCs/>
          <w:color w:val="auto"/>
          <w:kern w:val="1"/>
        </w:rPr>
        <w:t>本局认为，</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当事人从网上购买中药粉、吲哚美辛肠溶片、醋酸泼尼松片等，使用豆浆机搅拌混合后，以祖传秘方的名义对外出售。经威海市食品药品监督管理局认定，以上产品系假药。本单位认为，当事人的行为违反了《中华人民共和国药品管理法》第九十八条第一款“禁止生产（包括配制，下同）、销售、使用假药、劣药。”的规定，构成生产、销售假药的行为。</w:t>
      </w:r>
    </w:p>
    <w:p w14:paraId="2681E76C">
      <w:pPr>
        <w:pStyle w:val="4"/>
        <w:keepNext w:val="0"/>
        <w:keepLines w:val="0"/>
        <w:pageBreakBefore w:val="0"/>
        <w:kinsoku/>
        <w:overflowPunct/>
        <w:topLinePunct w:val="0"/>
        <w:bidi w:val="0"/>
        <w:snapToGrid/>
        <w:spacing w:line="520" w:lineRule="exact"/>
        <w:ind w:firstLine="640" w:firstLineChars="200"/>
        <w:jc w:val="both"/>
        <w:textAlignment w:val="auto"/>
        <w:rPr>
          <w:rFonts w:ascii="Droid Sans Fallback"/>
          <w:b w:val="0"/>
          <w:bCs/>
          <w:color w:val="auto"/>
          <w:sz w:val="23"/>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当事人在主观上明知所</w:t>
      </w:r>
      <w:r>
        <w:rPr>
          <w:rFonts w:hint="eastAsia" w:ascii="仿宋_GB2312" w:hAnsi="仿宋_GB2312" w:eastAsia="仿宋_GB2312" w:cs="仿宋_GB2312"/>
          <w:bCs/>
          <w:sz w:val="32"/>
          <w:szCs w:val="32"/>
        </w:rPr>
        <w:t>生产、销售</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“祖</w:t>
      </w:r>
      <w:r>
        <w:rPr>
          <w:rFonts w:hint="eastAsia" w:ascii="仿宋_GB2312" w:hAnsi="仿宋_GB2312" w:eastAsia="仿宋_GB2312" w:cs="仿宋_GB2312"/>
          <w:sz w:val="32"/>
          <w:szCs w:val="32"/>
          <w:u w:val="none"/>
          <w:lang w:val="en-US" w:eastAsia="zh-CN"/>
        </w:rPr>
        <w:t>传秘方”为假药，仍然向患者出售</w:t>
      </w:r>
      <w:r>
        <w:rPr>
          <w:rFonts w:hint="eastAsia" w:ascii="仿宋_GB2312" w:hAnsi="仿宋_GB2312" w:eastAsia="仿宋_GB2312" w:cs="仿宋_GB2312"/>
          <w:sz w:val="32"/>
          <w:szCs w:val="32"/>
          <w:lang w:val="en-US" w:eastAsia="zh-CN"/>
        </w:rPr>
        <w:t>，属于情节严重的行为。</w:t>
      </w:r>
    </w:p>
    <w:p w14:paraId="655D805A">
      <w:pPr>
        <w:pStyle w:val="7"/>
        <w:keepNext w:val="0"/>
        <w:keepLines w:val="0"/>
        <w:pageBreakBefore w:val="0"/>
        <w:widowControl/>
        <w:suppressLineNumbers w:val="0"/>
        <w:pBdr>
          <w:top w:val="none" w:color="auto" w:sz="0" w:space="0"/>
          <w:left w:val="none" w:color="auto" w:sz="0" w:space="0"/>
          <w:bottom w:val="none" w:color="auto" w:sz="0" w:space="0"/>
          <w:right w:val="none" w:color="auto" w:sz="0" w:space="0"/>
        </w:pBdr>
        <w:kinsoku/>
        <w:overflowPunct/>
        <w:topLinePunct w:val="0"/>
        <w:autoSpaceDE/>
        <w:autoSpaceDN/>
        <w:bidi w:val="0"/>
        <w:adjustRightInd/>
        <w:snapToGrid/>
        <w:spacing w:before="0" w:beforeAutospacing="0" w:after="0" w:afterAutospacing="0" w:line="520" w:lineRule="exact"/>
        <w:ind w:left="0" w:right="0" w:firstLine="640" w:firstLineChars="200"/>
        <w:jc w:val="both"/>
        <w:textAlignment w:val="auto"/>
        <w:rPr>
          <w:rFonts w:hint="eastAsia" w:ascii="仿宋_GB2312" w:hAnsi="仿宋_GB2312" w:eastAsia="仿宋_GB2312" w:cs="仿宋_GB2312"/>
          <w:i w:val="0"/>
          <w:iCs w:val="0"/>
          <w:caps w:val="0"/>
          <w:color w:val="000000"/>
          <w:spacing w:val="0"/>
          <w:kern w:val="0"/>
          <w:sz w:val="32"/>
          <w:szCs w:val="32"/>
          <w:shd w:val="clear" w:fill="FFFFFF"/>
          <w:lang w:val="en-US" w:eastAsia="zh-CN" w:bidi="ar"/>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2023年8月25日，乳山市人民法院对当事人生产、销售假药的行为作出判处有期徒刑并处罚金、未起获的当事人违法所得继续追缴上缴国库、扣押机关扣押的物品由扣押机关依法处理、支付惩罚性赔偿金、支付专家意见费用、在主流媒体上公开向社会赔礼道歉的判决，依据</w:t>
      </w:r>
      <w:bookmarkStart w:id="8" w:name="OLE_LINK6"/>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《中华人民共和国行政处罚法》</w:t>
      </w:r>
      <w:bookmarkEnd w:id="8"/>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第三十五条“  违法行为构成犯罪，人民法院判处拘役或者有期徒刑时，行政机关已经给予当事人行政拘留的，应当依法折抵相应刑期。违法行为构成犯罪，人民法院判处罚金时，行政机关已经给予当事人罚款的，应当折抵相应罚金；行政机关尚未给予当事人罚款的，不再给予罚款。”的规定，决定不再对当事人予以罚款。</w:t>
      </w:r>
    </w:p>
    <w:p w14:paraId="54D4DB6C">
      <w:pPr>
        <w:pStyle w:val="4"/>
        <w:keepNext w:val="0"/>
        <w:keepLines w:val="0"/>
        <w:pageBreakBefore w:val="0"/>
        <w:tabs>
          <w:tab w:val="left" w:pos="9060"/>
        </w:tabs>
        <w:kinsoku/>
        <w:overflowPunct/>
        <w:topLinePunct w:val="0"/>
        <w:bidi w:val="0"/>
        <w:snapToGrid/>
        <w:spacing w:line="520" w:lineRule="exact"/>
        <w:ind w:firstLine="640" w:firstLineChars="200"/>
        <w:jc w:val="both"/>
        <w:textAlignment w:val="auto"/>
        <w:rPr>
          <w:rFonts w:ascii="Times New Roman" w:eastAsia="仿宋_GB2312" w:cs="仿宋_GB2312"/>
          <w:b w:val="0"/>
          <w:bCs/>
          <w:color w:val="auto"/>
          <w:u w:val="single"/>
        </w:rPr>
      </w:pP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依据《中华人民共和国行政处罚法》第九条第（四）项“行政处罚的种类：（四）限制开展生产经营活动、责令停产停业、责令关闭、限制从业；”和第二十八条第一款：“行政机关实施行政处罚时，应当责令当事人改正或者限期改正违法行为。”《中华人民共和国药品管理法》第一百一十八条“生产、销售假药，或者生产、销售劣药且情节严重的，对法定代表人、主要负责人、直接负责的主管人员和其他责任人员，没收违法行为发生期间自本单位所获收入，并处所获收入百分之三十以上三倍以下的罚款，终身禁止从事药品生产经营活动，并可以由公安机关处五日以上十五日以下的拘留。对生产者专门用于生产假药、劣药的原料、辅料、包装材料、生产设备予以没收。</w:t>
      </w:r>
      <w:r>
        <w:rPr>
          <w:rFonts w:hint="eastAsia" w:ascii="仿宋_GB2312" w:hAnsi="仿宋_GB2312" w:eastAsia="仿宋_GB2312" w:cs="仿宋_GB2312"/>
          <w:sz w:val="32"/>
          <w:szCs w:val="32"/>
        </w:rPr>
        <w:t>”的规定，</w:t>
      </w:r>
      <w:bookmarkStart w:id="9" w:name="OLE_LINK13"/>
      <w:r>
        <w:rPr>
          <w:rFonts w:hint="eastAsia" w:ascii="仿宋_GB2312" w:hAnsi="仿宋_GB2312" w:eastAsia="仿宋_GB2312" w:cs="仿宋_GB2312"/>
          <w:sz w:val="32"/>
          <w:szCs w:val="32"/>
          <w:lang w:eastAsia="zh-CN"/>
        </w:rPr>
        <w:t>决定</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终身禁止</w:t>
      </w:r>
      <w:r>
        <w:rPr>
          <w:rFonts w:hint="eastAsia" w:ascii="仿宋_GB2312" w:hAnsi="仿宋_GB2312" w:eastAsia="仿宋_GB2312" w:cs="仿宋_GB2312"/>
          <w:sz w:val="32"/>
          <w:szCs w:val="32"/>
          <w:lang w:val="en-US" w:eastAsia="zh-CN"/>
        </w:rPr>
        <w:t>当事人</w:t>
      </w:r>
      <w:r>
        <w:rPr>
          <w:rFonts w:hint="eastAsia" w:ascii="仿宋_GB2312" w:hAnsi="仿宋_GB2312" w:eastAsia="仿宋_GB2312" w:cs="仿宋_GB2312"/>
          <w:i w:val="0"/>
          <w:iCs w:val="0"/>
          <w:caps w:val="0"/>
          <w:color w:val="000000"/>
          <w:spacing w:val="0"/>
          <w:kern w:val="0"/>
          <w:sz w:val="32"/>
          <w:szCs w:val="32"/>
          <w:shd w:val="clear" w:fill="FFFFFF"/>
          <w:lang w:val="en-US" w:eastAsia="zh-CN" w:bidi="ar"/>
        </w:rPr>
        <w:t>从事药品生产经营活动</w:t>
      </w:r>
      <w:bookmarkEnd w:id="9"/>
      <w:r>
        <w:rPr>
          <w:rFonts w:hint="eastAsia" w:ascii="仿宋_GB2312" w:hAnsi="仿宋_GB2312" w:eastAsia="仿宋_GB2312" w:cs="仿宋_GB2312"/>
          <w:sz w:val="32"/>
          <w:szCs w:val="32"/>
        </w:rPr>
        <w:t>。</w:t>
      </w:r>
    </w:p>
    <w:p w14:paraId="50B928DA">
      <w:pPr>
        <w:pStyle w:val="4"/>
        <w:keepNext w:val="0"/>
        <w:keepLines w:val="0"/>
        <w:pageBreakBefore w:val="0"/>
        <w:widowControl w:val="0"/>
        <w:tabs>
          <w:tab w:val="left" w:pos="8395"/>
        </w:tabs>
        <w:kinsoku/>
        <w:wordWrap w:val="0"/>
        <w:overflowPunct/>
        <w:topLinePunct w:val="0"/>
        <w:autoSpaceDE w:val="0"/>
        <w:autoSpaceDN w:val="0"/>
        <w:bidi w:val="0"/>
        <w:adjustRightInd w:val="0"/>
        <w:snapToGrid/>
        <w:spacing w:line="520" w:lineRule="exact"/>
        <w:ind w:firstLine="640" w:firstLineChars="200"/>
        <w:jc w:val="both"/>
        <w:textAlignment w:val="auto"/>
        <w:rPr>
          <w:rFonts w:hint="eastAsia" w:ascii="Times New Roman" w:hAnsi="仿宋_GB2312" w:eastAsia="仿宋_GB2312" w:cs="仿宋_GB2312"/>
          <w:bCs/>
          <w:kern w:val="0"/>
          <w:sz w:val="32"/>
          <w:szCs w:val="32"/>
          <w:lang w:val="en-US" w:eastAsia="zh-CN" w:bidi="ar-SA"/>
        </w:rPr>
      </w:pPr>
      <w:r>
        <w:rPr>
          <w:rFonts w:hint="eastAsia" w:ascii="Times New Roman" w:hAnsi="仿宋_GB2312" w:eastAsia="仿宋_GB2312" w:cs="仿宋_GB2312"/>
          <w:bCs/>
          <w:kern w:val="0"/>
          <w:sz w:val="32"/>
          <w:szCs w:val="32"/>
          <w:lang w:val="en-US" w:eastAsia="zh-CN" w:bidi="ar-SA"/>
        </w:rPr>
        <w:t>如不服本行政处罚决定，可在收到本行政处罚决定书之日起六十日内向乳山市人民政府申请行政复议，也可以在六个月内依法向威海任一基层人民法院提起行政诉讼。申请行政复议或者提起行政诉讼期间，行政处罚不停止执行。</w:t>
      </w:r>
    </w:p>
    <w:p w14:paraId="6E958617">
      <w:pPr>
        <w:pStyle w:val="4"/>
        <w:keepNext w:val="0"/>
        <w:keepLines w:val="0"/>
        <w:pageBreakBefore w:val="0"/>
        <w:widowControl w:val="0"/>
        <w:tabs>
          <w:tab w:val="left" w:pos="8395"/>
        </w:tabs>
        <w:kinsoku/>
        <w:wordWrap w:val="0"/>
        <w:overflowPunct/>
        <w:topLinePunct w:val="0"/>
        <w:autoSpaceDE w:val="0"/>
        <w:autoSpaceDN w:val="0"/>
        <w:bidi w:val="0"/>
        <w:adjustRightInd w:val="0"/>
        <w:snapToGrid/>
        <w:spacing w:line="520" w:lineRule="exact"/>
        <w:ind w:firstLine="640" w:firstLineChars="200"/>
        <w:jc w:val="both"/>
        <w:textAlignment w:val="auto"/>
        <w:rPr>
          <w:rFonts w:hint="eastAsia" w:ascii="Times New Roman" w:hAnsi="仿宋_GB2312" w:eastAsia="仿宋_GB2312" w:cs="仿宋_GB2312"/>
          <w:bCs/>
          <w:kern w:val="0"/>
          <w:sz w:val="32"/>
          <w:szCs w:val="32"/>
          <w:lang w:val="en-US" w:eastAsia="zh-CN" w:bidi="ar-SA"/>
        </w:rPr>
      </w:pPr>
    </w:p>
    <w:p w14:paraId="7CA0E70D">
      <w:pPr>
        <w:pStyle w:val="4"/>
        <w:keepNext w:val="0"/>
        <w:keepLines w:val="0"/>
        <w:pageBreakBefore w:val="0"/>
        <w:widowControl w:val="0"/>
        <w:tabs>
          <w:tab w:val="left" w:pos="8395"/>
        </w:tabs>
        <w:kinsoku/>
        <w:wordWrap w:val="0"/>
        <w:overflowPunct/>
        <w:topLinePunct w:val="0"/>
        <w:autoSpaceDE w:val="0"/>
        <w:autoSpaceDN w:val="0"/>
        <w:bidi w:val="0"/>
        <w:adjustRightInd w:val="0"/>
        <w:snapToGrid/>
        <w:spacing w:line="520" w:lineRule="exact"/>
        <w:ind w:firstLine="640" w:firstLineChars="200"/>
        <w:jc w:val="both"/>
        <w:textAlignment w:val="auto"/>
        <w:rPr>
          <w:rFonts w:hint="eastAsia" w:ascii="Times New Roman" w:hAnsi="仿宋_GB2312" w:eastAsia="仿宋_GB2312" w:cs="仿宋_GB2312"/>
          <w:bCs/>
          <w:kern w:val="0"/>
          <w:sz w:val="32"/>
          <w:szCs w:val="32"/>
          <w:lang w:val="en-US" w:eastAsia="zh-CN" w:bidi="ar-SA"/>
        </w:rPr>
      </w:pPr>
    </w:p>
    <w:p w14:paraId="34E370D9">
      <w:pPr>
        <w:pStyle w:val="4"/>
        <w:keepNext w:val="0"/>
        <w:keepLines w:val="0"/>
        <w:pageBreakBefore w:val="0"/>
        <w:widowControl w:val="0"/>
        <w:tabs>
          <w:tab w:val="left" w:pos="8395"/>
        </w:tabs>
        <w:kinsoku/>
        <w:wordWrap w:val="0"/>
        <w:overflowPunct/>
        <w:topLinePunct w:val="0"/>
        <w:autoSpaceDE w:val="0"/>
        <w:autoSpaceDN w:val="0"/>
        <w:bidi w:val="0"/>
        <w:adjustRightInd w:val="0"/>
        <w:snapToGrid/>
        <w:spacing w:line="520" w:lineRule="exact"/>
        <w:ind w:firstLine="640" w:firstLineChars="200"/>
        <w:jc w:val="both"/>
        <w:textAlignment w:val="auto"/>
        <w:rPr>
          <w:rFonts w:hint="eastAsia" w:ascii="Times New Roman" w:hAnsi="仿宋_GB2312" w:eastAsia="仿宋_GB2312" w:cs="仿宋_GB2312"/>
          <w:bCs/>
          <w:kern w:val="0"/>
          <w:sz w:val="32"/>
          <w:szCs w:val="32"/>
          <w:lang w:val="en-US" w:eastAsia="zh-CN" w:bidi="ar-SA"/>
        </w:rPr>
      </w:pPr>
    </w:p>
    <w:p w14:paraId="4BD80F8C">
      <w:pPr>
        <w:spacing w:line="560" w:lineRule="exact"/>
        <w:ind w:right="640" w:firstLine="601"/>
        <w:jc w:val="right"/>
        <w:rPr>
          <w:rFonts w:ascii="Times New Roman" w:hAnsi="Times New Roman" w:eastAsia="仿宋_GB2312" w:cs="仿宋"/>
          <w:color w:val="auto"/>
          <w:sz w:val="32"/>
          <w:szCs w:val="32"/>
        </w:rPr>
      </w:pPr>
      <w:bookmarkStart w:id="10" w:name="DYNAMIC—DWXX—tAj_dwmc—2"/>
      <w:r>
        <w:rPr>
          <w:rFonts w:hint="eastAsia" w:ascii="Times New Roman" w:hAnsi="Times New Roman" w:eastAsia="仿宋_GB2312" w:cs="仿宋"/>
          <w:color w:val="auto"/>
          <w:sz w:val="32"/>
        </w:rPr>
        <w:t>乳山市市场监督管理局</w:t>
      </w:r>
      <w:bookmarkEnd w:id="10"/>
      <w:r>
        <w:rPr>
          <w:rFonts w:hint="eastAsia" w:ascii="Times New Roman" w:hAnsi="Times New Roman" w:eastAsia="仿宋_GB2312" w:cs="仿宋"/>
          <w:color w:val="auto"/>
          <w:sz w:val="32"/>
          <w:szCs w:val="32"/>
        </w:rPr>
        <w:t xml:space="preserve">    </w:t>
      </w:r>
    </w:p>
    <w:p w14:paraId="02BA136B">
      <w:pPr>
        <w:spacing w:line="560" w:lineRule="exact"/>
        <w:ind w:right="640" w:firstLine="601"/>
        <w:jc w:val="right"/>
        <w:outlineLvl w:val="1"/>
        <w:rPr>
          <w:rFonts w:ascii="Times New Roman" w:hAnsi="Times New Roman" w:eastAsia="仿宋_GB2312" w:cs="仿宋"/>
          <w:color w:val="auto"/>
          <w:sz w:val="32"/>
          <w:szCs w:val="32"/>
        </w:rPr>
      </w:pPr>
      <w:r>
        <w:rPr>
          <w:rFonts w:hint="eastAsia" w:ascii="Times New Roman" w:hAnsi="Times New Roman" w:eastAsia="仿宋_GB2312" w:cs="仿宋"/>
          <w:color w:val="auto"/>
          <w:sz w:val="32"/>
          <w:szCs w:val="32"/>
        </w:rPr>
        <w:t>（印 章）</w:t>
      </w:r>
    </w:p>
    <w:p w14:paraId="13B5E740">
      <w:pPr>
        <w:keepNext w:val="0"/>
        <w:keepLines w:val="0"/>
        <w:pageBreakBefore w:val="0"/>
        <w:widowControl w:val="0"/>
        <w:kinsoku/>
        <w:wordWrap/>
        <w:overflowPunct/>
        <w:topLinePunct w:val="0"/>
        <w:autoSpaceDE/>
        <w:autoSpaceDN/>
        <w:bidi w:val="0"/>
        <w:adjustRightInd/>
        <w:snapToGrid/>
        <w:spacing w:line="560" w:lineRule="exact"/>
        <w:ind w:left="0" w:leftChars="0" w:right="630" w:rightChars="300" w:firstLine="600" w:firstLineChars="0"/>
        <w:jc w:val="right"/>
        <w:textAlignment w:val="auto"/>
        <w:outlineLvl w:val="9"/>
        <w:rPr>
          <w:rFonts w:ascii="Times New Roman" w:hAnsi="Times New Roman" w:eastAsia="仿宋_GB2312" w:cs="仿宋_GB2312"/>
          <w:color w:val="auto"/>
          <w:sz w:val="32"/>
          <w:szCs w:val="32"/>
        </w:rPr>
      </w:pPr>
      <w:bookmarkStart w:id="11" w:name="CALCULATE—TIME—NOW"/>
      <w:r>
        <w:rPr>
          <w:rFonts w:hint="eastAsia" w:ascii="仿宋_GB2312" w:hAnsi="Times New Roman" w:eastAsia="仿宋_GB2312" w:cs="仿宋"/>
          <w:color w:val="auto"/>
          <w:sz w:val="32"/>
        </w:rPr>
        <w:t>2025年01月14日</w:t>
      </w:r>
      <w:bookmarkEnd w:id="11"/>
      <w:r>
        <w:rPr>
          <w:rFonts w:hint="eastAsia" w:ascii="Times New Roman" w:hAnsi="Times New Roman" w:eastAsia="仿宋_GB2312" w:cs="仿宋_GB2312"/>
          <w:color w:val="auto"/>
          <w:sz w:val="32"/>
          <w:szCs w:val="32"/>
        </w:rPr>
        <w:t xml:space="preserve">  </w:t>
      </w:r>
    </w:p>
    <w:p w14:paraId="5E21B515">
      <w:pPr>
        <w:widowControl/>
        <w:snapToGrid w:val="0"/>
        <w:spacing w:line="520" w:lineRule="exact"/>
        <w:jc w:val="right"/>
        <w:rPr>
          <w:rFonts w:ascii="Times New Roman" w:hAnsi="Times New Roman" w:eastAsia="仿宋_GB2312" w:cs="Mongolian Baiti"/>
          <w:color w:val="auto"/>
          <w:sz w:val="32"/>
          <w:szCs w:val="32"/>
        </w:rPr>
      </w:pPr>
    </w:p>
    <w:p w14:paraId="3EAACCFD">
      <w:pPr>
        <w:pStyle w:val="4"/>
        <w:spacing w:before="1"/>
        <w:ind w:left="163"/>
        <w:rPr>
          <w:rFonts w:ascii="Times New Roman" w:hAnsi="Times New Roman" w:eastAsia="仿宋_GB2312" w:cs="仿宋"/>
          <w:bCs/>
          <w:color w:val="auto"/>
          <w:sz w:val="44"/>
          <w:szCs w:val="44"/>
        </w:rPr>
      </w:pPr>
      <w:r>
        <w:rPr>
          <w:rFonts w:ascii="Times New Roman" w:hAnsi="Times New Roman" w:eastAsia="仿宋_GB2312"/>
          <w:color w:val="auto"/>
          <w:sz w:val="32"/>
        </w:rPr>
        <mc:AlternateContent>
          <mc:Choice Requires="wps">
            <w:drawing>
              <wp:anchor distT="0" distB="0" distL="114300" distR="114300" simplePos="0" relativeHeight="251661312" behindDoc="0" locked="0" layoutInCell="1" allowOverlap="1">
                <wp:simplePos x="0" y="0"/>
                <wp:positionH relativeFrom="column">
                  <wp:posOffset>27305</wp:posOffset>
                </wp:positionH>
                <wp:positionV relativeFrom="paragraph">
                  <wp:posOffset>396875</wp:posOffset>
                </wp:positionV>
                <wp:extent cx="5550535" cy="635"/>
                <wp:effectExtent l="0" t="0" r="0" b="0"/>
                <wp:wrapNone/>
                <wp:docPr id="14" name="直接连接符 14"/>
                <wp:cNvGraphicFramePr/>
                <a:graphic xmlns:a="http://schemas.openxmlformats.org/drawingml/2006/main">
                  <a:graphicData uri="http://schemas.microsoft.com/office/word/2010/wordprocessingShape">
                    <wps:wsp>
                      <wps:cNvCnPr/>
                      <wps:spPr>
                        <a:xfrm>
                          <a:off x="0" y="0"/>
                          <a:ext cx="5550535" cy="635"/>
                        </a:xfrm>
                        <a:prstGeom prst="line">
                          <a:avLst/>
                        </a:prstGeom>
                        <a:ln w="15875" cap="flat"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2.15pt;margin-top:31.25pt;height:0.05pt;width:437.05pt;z-index:251661312;mso-width-relative:page;mso-height-relative:page;" filled="f" stroked="t" coordsize="21600,21600" o:gfxdata="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">
                <v:fill on="f" focussize="0,0"/>
                <v:stroke weight="1.25pt" color="#000000" joinstyle="round"/>
                <v:imagedata o:title=""/>
                <o:lock v:ext="edit" aspectratio="f"/>
              </v:line>
            </w:pict>
          </mc:Fallback>
        </mc:AlternateContent>
      </w:r>
      <w:r>
        <w:rPr>
          <w:rFonts w:hint="eastAsia" w:ascii="黑体" w:hAnsi="黑体" w:eastAsia="黑体"/>
          <w:color w:val="auto"/>
          <w:spacing w:val="-16"/>
        </w:rPr>
        <w:t>（市场监督管理部门将依法向社会公开行政处罚决定信息）</w:t>
      </w:r>
    </w:p>
    <w:p w14:paraId="2373D1AA">
      <w:pPr>
        <w:spacing w:line="500" w:lineRule="exact"/>
        <w:rPr>
          <w:color w:val="auto"/>
        </w:rPr>
      </w:pPr>
      <w:r>
        <w:rPr>
          <w:rFonts w:ascii="Times New Roman" w:hAnsi="Times New Roman" w:eastAsia="仿宋_GB2312" w:cs="仿宋"/>
          <w:bCs/>
          <w:color w:val="auto"/>
          <w:sz w:val="32"/>
          <w:szCs w:val="32"/>
        </w:rPr>
        <mc:AlternateContent>
          <mc:Choice Requires="wps">
            <w:drawing>
              <wp:anchor distT="0" distB="0" distL="114300" distR="114300" simplePos="0" relativeHeight="251660288" behindDoc="0" locked="0" layoutInCell="1" allowOverlap="1">
                <wp:simplePos x="0" y="0"/>
                <wp:positionH relativeFrom="column">
                  <wp:posOffset>0</wp:posOffset>
                </wp:positionH>
                <wp:positionV relativeFrom="paragraph">
                  <wp:posOffset>20807045</wp:posOffset>
                </wp:positionV>
                <wp:extent cx="5762625" cy="1270"/>
                <wp:effectExtent l="0" t="0" r="0" b="0"/>
                <wp:wrapNone/>
                <wp:docPr id="13" name="直接连接符 13"/>
                <wp:cNvGraphicFramePr/>
                <a:graphic xmlns:a="http://schemas.openxmlformats.org/drawingml/2006/main">
                  <a:graphicData uri="http://schemas.microsoft.com/office/word/2010/wordprocessingShape">
                    <wps:wsp>
                      <wps:cNvCnPr/>
                      <wps:spPr>
                        <a:xfrm>
                          <a:off x="0" y="0"/>
                          <a:ext cx="5762625" cy="1270"/>
                        </a:xfrm>
                        <a:prstGeom prst="line">
                          <a:avLst/>
                        </a:prstGeom>
                        <a:ln w="9360" cap="sq" cmpd="sng">
                          <a:solidFill>
                            <a:srgbClr val="000000"/>
                          </a:solidFill>
                          <a:prstDash val="solid"/>
                          <a:headEnd type="none" w="med" len="med"/>
                          <a:tailEnd type="none" w="med" len="med"/>
                        </a:ln>
                      </wps:spPr>
                      <wps:bodyPr/>
                    </wps:wsp>
                  </a:graphicData>
                </a:graphic>
              </wp:anchor>
            </w:drawing>
          </mc:Choice>
          <mc:Fallback>
            <w:pict>
              <v:line id="_x0000_s1026" o:spid="_x0000_s1026" o:spt="20" style="position:absolute;left:0pt;margin-left:0pt;margin-top:1638.35pt;height:0.1pt;width:453.75pt;z-index:251660288;mso-width-relative:page;mso-height-relative:page;" filled="f" stroked="t" coordsize="21600,21600" o:gfxdata="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">
                <v:fill on="f" focussize="0,0"/>
                <v:stroke weight="0.737007874015748pt" color="#000000" joinstyle="round" endcap="square"/>
                <v:imagedata o:title=""/>
                <o:lock v:ext="edit" aspectratio="f"/>
              </v:line>
            </w:pict>
          </mc:Fallback>
        </mc:AlternateContent>
      </w:r>
      <w:r>
        <w:rPr>
          <w:rFonts w:hint="eastAsia" w:ascii="Times New Roman" w:hAnsi="Times New Roman" w:eastAsia="仿宋_GB2312" w:cs="仿宋"/>
          <w:color w:val="auto"/>
          <w:sz w:val="32"/>
          <w:szCs w:val="32"/>
        </w:rPr>
        <w:t>本文书一</w:t>
      </w:r>
      <w:r>
        <w:rPr>
          <w:rFonts w:hint="eastAsia" w:ascii="Times New Roman" w:hAnsi="Times New Roman" w:eastAsia="仿宋_GB2312" w:cs="仿宋"/>
          <w:color w:val="auto"/>
          <w:sz w:val="32"/>
          <w:szCs w:val="32"/>
          <w:u w:val="none"/>
        </w:rPr>
        <w:t>式</w:t>
      </w:r>
      <w:r>
        <w:rPr>
          <w:rFonts w:hint="eastAsia" w:ascii="Times New Roman" w:hAnsi="Times New Roman" w:eastAsia="仿宋_GB2312" w:cs="仿宋"/>
          <w:color w:val="auto"/>
          <w:sz w:val="32"/>
          <w:szCs w:val="32"/>
          <w:u w:val="none"/>
          <w:lang w:eastAsia="zh-CN"/>
        </w:rPr>
        <w:t>三</w:t>
      </w:r>
      <w:r>
        <w:rPr>
          <w:rFonts w:hint="eastAsia" w:ascii="Times New Roman" w:hAnsi="Times New Roman" w:eastAsia="仿宋_GB2312" w:cs="仿宋"/>
          <w:color w:val="auto"/>
          <w:sz w:val="32"/>
          <w:szCs w:val="32"/>
          <w:u w:val="none"/>
        </w:rPr>
        <w:t>份，</w:t>
      </w:r>
      <w:r>
        <w:rPr>
          <w:rFonts w:hint="eastAsia" w:ascii="Times New Roman" w:hAnsi="Times New Roman" w:eastAsia="仿宋_GB2312" w:cs="仿宋"/>
          <w:color w:val="auto"/>
          <w:sz w:val="32"/>
          <w:szCs w:val="32"/>
          <w:u w:val="none"/>
          <w:lang w:eastAsia="zh-CN"/>
        </w:rPr>
        <w:t>一</w:t>
      </w:r>
      <w:r>
        <w:rPr>
          <w:rFonts w:hint="eastAsia" w:ascii="Times New Roman" w:hAnsi="Times New Roman" w:eastAsia="仿宋_GB2312" w:cs="仿宋"/>
          <w:color w:val="auto"/>
          <w:sz w:val="32"/>
          <w:szCs w:val="32"/>
          <w:u w:val="none"/>
        </w:rPr>
        <w:t>份送达</w:t>
      </w:r>
      <w:r>
        <w:rPr>
          <w:rFonts w:hint="eastAsia" w:ascii="Times New Roman" w:hAnsi="Times New Roman" w:eastAsia="仿宋_GB2312" w:cs="仿宋"/>
          <w:color w:val="auto"/>
          <w:sz w:val="32"/>
          <w:szCs w:val="32"/>
        </w:rPr>
        <w:t>，一份归档，</w:t>
      </w:r>
      <w:r>
        <w:rPr>
          <w:rFonts w:hint="eastAsia" w:ascii="Times New Roman" w:hAnsi="Times New Roman" w:eastAsia="仿宋_GB2312" w:cs="仿宋"/>
          <w:color w:val="auto"/>
          <w:sz w:val="32"/>
          <w:szCs w:val="32"/>
          <w:lang w:eastAsia="zh-CN"/>
        </w:rPr>
        <w:t>一份办案机构留存</w:t>
      </w:r>
      <w:r>
        <w:rPr>
          <w:rFonts w:hint="eastAsia" w:ascii="Times New Roman" w:hAnsi="Times New Roman" w:eastAsia="仿宋_GB2312" w:cs="仿宋"/>
          <w:color w:val="auto"/>
          <w:sz w:val="32"/>
          <w:szCs w:val="32"/>
        </w:rPr>
        <w:t>。</w:t>
      </w:r>
    </w:p>
    <w:sectPr>
      <w:footerReference r:id="rId3" w:type="default"/>
      <w:pgSz w:w="11906" w:h="16838"/>
      <w:pgMar w:top="1440" w:right="1800" w:bottom="1440" w:left="1800" w:header="851" w:footer="992" w:gutter="0"/>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Mangal">
    <w:panose1 w:val="02040503050203030202"/>
    <w:charset w:val="00"/>
    <w:family w:val="roman"/>
    <w:pitch w:val="default"/>
    <w:sig w:usb0="00008003" w:usb1="00000000" w:usb2="00000000" w:usb3="00000000" w:csb0="00000001" w:csb1="00000000"/>
  </w:font>
  <w:font w:name="Arial Unicode MS">
    <w:altName w:val="宋体"/>
    <w:panose1 w:val="020B0604020202020204"/>
    <w:charset w:val="86"/>
    <w:family w:val="auto"/>
    <w:pitch w:val="default"/>
    <w:sig w:usb0="00000000" w:usb1="00000000" w:usb2="0000003F" w:usb3="00000000" w:csb0="603F01FF" w:csb1="FFFF0000"/>
  </w:font>
  <w:font w:name="方正小标宋简体">
    <w:panose1 w:val="03000509000000000000"/>
    <w:charset w:val="86"/>
    <w:family w:val="script"/>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 w:name="Mongolian Baiti">
    <w:panose1 w:val="03000500000000000000"/>
    <w:charset w:val="00"/>
    <w:family w:val="script"/>
    <w:pitch w:val="default"/>
    <w:sig w:usb0="80000023" w:usb1="00000000" w:usb2="00020000" w:usb3="00000000" w:csb0="00000001" w:csb1="00000000"/>
  </w:font>
  <w:font w:name="微软雅黑">
    <w:panose1 w:val="020B0503020204020204"/>
    <w:charset w:val="86"/>
    <w:family w:val="swiss"/>
    <w:pitch w:val="default"/>
    <w:sig w:usb0="80000287" w:usb1="280F3C52" w:usb2="00000016" w:usb3="00000000" w:csb0="0004001F" w:csb1="00000000"/>
  </w:font>
  <w:font w:name="方正仿宋_GBK">
    <w:altName w:val="微软雅黑"/>
    <w:panose1 w:val="03000509000000000000"/>
    <w:charset w:val="86"/>
    <w:family w:val="auto"/>
    <w:pitch w:val="default"/>
    <w:sig w:usb0="00000000" w:usb1="00000000" w:usb2="00000000" w:usb3="00000000" w:csb0="00040000" w:csb1="00000000"/>
  </w:font>
  <w:font w:name="Droid Sans Fallback">
    <w:altName w:val="MS UI Gothic"/>
    <w:panose1 w:val="020B0502000000000001"/>
    <w:charset w:val="80"/>
    <w:family w:val="modern"/>
    <w:pitch w:val="default"/>
    <w:sig w:usb0="00000000" w:usb1="00000000" w:usb2="00000016" w:usb3="00000000" w:csb0="001A0000" w:csb1="00000000"/>
  </w:font>
  <w:font w:name="MS UI Gothic">
    <w:panose1 w:val="020B0600070205080204"/>
    <w:charset w:val="80"/>
    <w:family w:val="auto"/>
    <w:pitch w:val="default"/>
    <w:sig w:usb0="E00002FF" w:usb1="6AC7FDFB" w:usb2="00000012" w:usb3="00000000" w:csb0="4002009F" w:csb1="DFD70000"/>
  </w:font>
  <w:font w:name="仿宋">
    <w:panose1 w:val="02010609060101010101"/>
    <w:charset w:val="86"/>
    <w:family w:val="auto"/>
    <w:pitch w:val="default"/>
    <w:sig w:usb0="800002BF" w:usb1="38CF7CFA" w:usb2="00000016" w:usb3="00000000" w:csb0="00040001"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3D863E8">
    <w:pPr>
      <w:pStyle w:val="5"/>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46E8466">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46E8466">
                    <w:pPr>
                      <w:pStyle w:val="5"/>
                      <w:rPr>
                        <w:rFonts w:hint="eastAsia" w:ascii="宋体" w:hAnsi="宋体" w:eastAsia="宋体" w:cs="宋体"/>
                        <w:sz w:val="28"/>
                        <w:szCs w:val="28"/>
                      </w:rPr>
                    </w:pPr>
                    <w:r>
                      <w:rPr>
                        <w:rFonts w:hint="eastAsia" w:ascii="宋体" w:hAnsi="宋体" w:eastAsia="宋体" w:cs="宋体"/>
                        <w:sz w:val="28"/>
                        <w:szCs w:val="28"/>
                      </w:rPr>
                      <w:t xml:space="preserve">第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1</w:t>
                    </w:r>
                    <w:r>
                      <w:rPr>
                        <w:rFonts w:hint="eastAsia" w:ascii="宋体" w:hAnsi="宋体" w:eastAsia="宋体" w:cs="宋体"/>
                        <w:sz w:val="28"/>
                        <w:szCs w:val="28"/>
                      </w:rPr>
                      <w:fldChar w:fldCharType="end"/>
                    </w:r>
                    <w:r>
                      <w:rPr>
                        <w:rFonts w:hint="eastAsia" w:ascii="宋体" w:hAnsi="宋体" w:eastAsia="宋体" w:cs="宋体"/>
                        <w:sz w:val="28"/>
                        <w:szCs w:val="28"/>
                      </w:rPr>
                      <w:t xml:space="preserve"> 页 共 </w:t>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NUMPAGES  \* MERGEFORMAT </w:instrText>
                    </w:r>
                    <w:r>
                      <w:rPr>
                        <w:rFonts w:hint="eastAsia" w:ascii="宋体" w:hAnsi="宋体" w:eastAsia="宋体" w:cs="宋体"/>
                        <w:sz w:val="28"/>
                        <w:szCs w:val="28"/>
                      </w:rPr>
                      <w:fldChar w:fldCharType="separate"/>
                    </w:r>
                    <w:r>
                      <w:rPr>
                        <w:rFonts w:hint="eastAsia" w:ascii="宋体" w:hAnsi="宋体" w:eastAsia="宋体" w:cs="宋体"/>
                        <w:sz w:val="28"/>
                        <w:szCs w:val="28"/>
                      </w:rPr>
                      <w:t>2</w:t>
                    </w:r>
                    <w:r>
                      <w:rPr>
                        <w:rFonts w:hint="eastAsia" w:ascii="宋体" w:hAnsi="宋体" w:eastAsia="宋体" w:cs="宋体"/>
                        <w:sz w:val="28"/>
                        <w:szCs w:val="28"/>
                      </w:rPr>
                      <w:fldChar w:fldCharType="end"/>
                    </w:r>
                    <w:r>
                      <w:rPr>
                        <w:rFonts w:hint="eastAsia" w:ascii="宋体" w:hAnsi="宋体" w:eastAsia="宋体" w:cs="宋体"/>
                        <w:sz w:val="28"/>
                        <w:szCs w:val="28"/>
                      </w:rPr>
                      <w:t xml:space="preserve"> 页</w:t>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8"/>
    <w:multiLevelType w:val="multilevel"/>
    <w:tmpl w:val="00000008"/>
    <w:lvl w:ilvl="0" w:tentative="0">
      <w:start w:val="1"/>
      <w:numFmt w:val="none"/>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abstractNum w:abstractNumId="1">
    <w:nsid w:val="0000000A"/>
    <w:multiLevelType w:val="multilevel"/>
    <w:tmpl w:val="0000000A"/>
    <w:lvl w:ilvl="0" w:tentative="0">
      <w:start w:val="1"/>
      <w:numFmt w:val="none"/>
      <w:pStyle w:val="3"/>
      <w:suff w:val="nothing"/>
      <w:lvlText w:val=""/>
      <w:lvlJc w:val="left"/>
      <w:pPr>
        <w:tabs>
          <w:tab w:val="left" w:pos="0"/>
        </w:tabs>
        <w:ind w:left="0" w:firstLine="0"/>
      </w:pPr>
    </w:lvl>
    <w:lvl w:ilvl="1" w:tentative="0">
      <w:start w:val="1"/>
      <w:numFmt w:val="none"/>
      <w:suff w:val="nothing"/>
      <w:lvlText w:val=""/>
      <w:lvlJc w:val="left"/>
      <w:pPr>
        <w:tabs>
          <w:tab w:val="left" w:pos="0"/>
        </w:tabs>
        <w:ind w:left="0" w:firstLine="0"/>
      </w:pPr>
    </w:lvl>
    <w:lvl w:ilvl="2" w:tentative="0">
      <w:start w:val="1"/>
      <w:numFmt w:val="none"/>
      <w:suff w:val="nothing"/>
      <w:lvlText w:val=""/>
      <w:lvlJc w:val="left"/>
      <w:pPr>
        <w:tabs>
          <w:tab w:val="left" w:pos="0"/>
        </w:tabs>
        <w:ind w:left="0" w:firstLine="0"/>
      </w:pPr>
    </w:lvl>
    <w:lvl w:ilvl="3" w:tentative="0">
      <w:start w:val="1"/>
      <w:numFmt w:val="none"/>
      <w:suff w:val="nothing"/>
      <w:lvlText w:val=""/>
      <w:lvlJc w:val="left"/>
      <w:pPr>
        <w:tabs>
          <w:tab w:val="left" w:pos="0"/>
        </w:tabs>
        <w:ind w:left="0" w:firstLine="0"/>
      </w:pPr>
    </w:lvl>
    <w:lvl w:ilvl="4" w:tentative="0">
      <w:start w:val="1"/>
      <w:numFmt w:val="none"/>
      <w:suff w:val="nothing"/>
      <w:lvlText w:val=""/>
      <w:lvlJc w:val="left"/>
      <w:pPr>
        <w:tabs>
          <w:tab w:val="left" w:pos="0"/>
        </w:tabs>
        <w:ind w:left="0" w:firstLine="0"/>
      </w:pPr>
    </w:lvl>
    <w:lvl w:ilvl="5" w:tentative="0">
      <w:start w:val="1"/>
      <w:numFmt w:val="none"/>
      <w:suff w:val="nothing"/>
      <w:lvlText w:val=""/>
      <w:lvlJc w:val="left"/>
      <w:pPr>
        <w:tabs>
          <w:tab w:val="left" w:pos="0"/>
        </w:tabs>
        <w:ind w:left="0" w:firstLine="0"/>
      </w:pPr>
    </w:lvl>
    <w:lvl w:ilvl="6" w:tentative="0">
      <w:start w:val="1"/>
      <w:numFmt w:val="none"/>
      <w:suff w:val="nothing"/>
      <w:lvlText w:val=""/>
      <w:lvlJc w:val="left"/>
      <w:pPr>
        <w:tabs>
          <w:tab w:val="left" w:pos="0"/>
        </w:tabs>
        <w:ind w:left="0" w:firstLine="0"/>
      </w:pPr>
    </w:lvl>
    <w:lvl w:ilvl="7" w:tentative="0">
      <w:start w:val="1"/>
      <w:numFmt w:val="none"/>
      <w:suff w:val="nothing"/>
      <w:lvlText w:val=""/>
      <w:lvlJc w:val="left"/>
      <w:pPr>
        <w:tabs>
          <w:tab w:val="left" w:pos="0"/>
        </w:tabs>
        <w:ind w:left="0" w:firstLine="0"/>
      </w:pPr>
    </w:lvl>
    <w:lvl w:ilvl="8" w:tentative="0">
      <w:start w:val="1"/>
      <w:numFmt w:val="none"/>
      <w:suff w:val="nothing"/>
      <w:lvlText w:val=""/>
      <w:lvlJc w:val="left"/>
      <w:pPr>
        <w:tabs>
          <w:tab w:val="left" w:pos="0"/>
        </w:tabs>
        <w:ind w:left="0" w:firstLine="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QzMWVjYzZjYjEyN2YwMzA3OTA1YmE4MzY3OWI0OWEifQ=="/>
    <w:docVar w:name="KSO_WPS_MARK_KEY" w:val="ad3abea3-8ba7-47a2-bc3f-332894d4261f"/>
  </w:docVars>
  <w:rsids>
    <w:rsidRoot w:val="5BA419F7"/>
    <w:rsid w:val="00193C35"/>
    <w:rsid w:val="0032134F"/>
    <w:rsid w:val="02B83402"/>
    <w:rsid w:val="02F94AB6"/>
    <w:rsid w:val="04CD463F"/>
    <w:rsid w:val="04FA4431"/>
    <w:rsid w:val="06BAE61F"/>
    <w:rsid w:val="071C7669"/>
    <w:rsid w:val="0776795A"/>
    <w:rsid w:val="08365B64"/>
    <w:rsid w:val="0B22091D"/>
    <w:rsid w:val="0CF71776"/>
    <w:rsid w:val="103E22C5"/>
    <w:rsid w:val="1350279A"/>
    <w:rsid w:val="14203063"/>
    <w:rsid w:val="143E1E38"/>
    <w:rsid w:val="152E563E"/>
    <w:rsid w:val="15B93156"/>
    <w:rsid w:val="18301ACB"/>
    <w:rsid w:val="18325353"/>
    <w:rsid w:val="18B229B2"/>
    <w:rsid w:val="19FE4517"/>
    <w:rsid w:val="1AE345F4"/>
    <w:rsid w:val="1DA4420A"/>
    <w:rsid w:val="1F2B5D07"/>
    <w:rsid w:val="1FD31F15"/>
    <w:rsid w:val="22DB33C0"/>
    <w:rsid w:val="236534A4"/>
    <w:rsid w:val="244E1F2B"/>
    <w:rsid w:val="24626694"/>
    <w:rsid w:val="258D6CE0"/>
    <w:rsid w:val="2920009C"/>
    <w:rsid w:val="29B9024C"/>
    <w:rsid w:val="2B1B3EFC"/>
    <w:rsid w:val="2CEA3815"/>
    <w:rsid w:val="2DE10173"/>
    <w:rsid w:val="2F327E79"/>
    <w:rsid w:val="2F7CE1EF"/>
    <w:rsid w:val="30DB5683"/>
    <w:rsid w:val="342602B0"/>
    <w:rsid w:val="3585615B"/>
    <w:rsid w:val="368E5656"/>
    <w:rsid w:val="377FBB27"/>
    <w:rsid w:val="37F16547"/>
    <w:rsid w:val="38B63DA7"/>
    <w:rsid w:val="3930619F"/>
    <w:rsid w:val="3A4E178D"/>
    <w:rsid w:val="3BF97ECA"/>
    <w:rsid w:val="3C2965F0"/>
    <w:rsid w:val="3EB05C6A"/>
    <w:rsid w:val="3F2604DF"/>
    <w:rsid w:val="3F6783E4"/>
    <w:rsid w:val="3FFF82D4"/>
    <w:rsid w:val="402E7C06"/>
    <w:rsid w:val="4058011F"/>
    <w:rsid w:val="40FE5F8F"/>
    <w:rsid w:val="425049CE"/>
    <w:rsid w:val="4659781C"/>
    <w:rsid w:val="47B662F2"/>
    <w:rsid w:val="487E491C"/>
    <w:rsid w:val="48C10000"/>
    <w:rsid w:val="4A256B30"/>
    <w:rsid w:val="4B8F0B22"/>
    <w:rsid w:val="4BDC009E"/>
    <w:rsid w:val="4C02380F"/>
    <w:rsid w:val="4CC8271B"/>
    <w:rsid w:val="4D9306AE"/>
    <w:rsid w:val="4E8950D9"/>
    <w:rsid w:val="4F0457DF"/>
    <w:rsid w:val="547C0750"/>
    <w:rsid w:val="55E04C97"/>
    <w:rsid w:val="57503162"/>
    <w:rsid w:val="591F0542"/>
    <w:rsid w:val="5BA419F7"/>
    <w:rsid w:val="5BF91583"/>
    <w:rsid w:val="5BFB2E57"/>
    <w:rsid w:val="5DD7483B"/>
    <w:rsid w:val="5E5FAB03"/>
    <w:rsid w:val="5F9FEDD5"/>
    <w:rsid w:val="5FBEF003"/>
    <w:rsid w:val="5FE33914"/>
    <w:rsid w:val="5FFA4D85"/>
    <w:rsid w:val="602422E6"/>
    <w:rsid w:val="60B635F2"/>
    <w:rsid w:val="612E7E8C"/>
    <w:rsid w:val="64E43803"/>
    <w:rsid w:val="66733921"/>
    <w:rsid w:val="69690BB2"/>
    <w:rsid w:val="6AD7030F"/>
    <w:rsid w:val="6B2A452A"/>
    <w:rsid w:val="6BCC1BB9"/>
    <w:rsid w:val="6D923254"/>
    <w:rsid w:val="6DC710C7"/>
    <w:rsid w:val="6E04767D"/>
    <w:rsid w:val="6E6950E9"/>
    <w:rsid w:val="6F732ABB"/>
    <w:rsid w:val="6FF58B64"/>
    <w:rsid w:val="6FF8F863"/>
    <w:rsid w:val="70CF02CA"/>
    <w:rsid w:val="71013020"/>
    <w:rsid w:val="710D7C3E"/>
    <w:rsid w:val="7376089F"/>
    <w:rsid w:val="75B2DA43"/>
    <w:rsid w:val="75BD90DB"/>
    <w:rsid w:val="77DF8BD4"/>
    <w:rsid w:val="77EFD5CC"/>
    <w:rsid w:val="77FFADAC"/>
    <w:rsid w:val="7B0F6E9A"/>
    <w:rsid w:val="7BFD6076"/>
    <w:rsid w:val="7C8E43D6"/>
    <w:rsid w:val="7DA813EB"/>
    <w:rsid w:val="7DFF108F"/>
    <w:rsid w:val="7EED8AE6"/>
    <w:rsid w:val="7FEADF5C"/>
    <w:rsid w:val="91BF8AB9"/>
    <w:rsid w:val="9FF1B21D"/>
    <w:rsid w:val="B7BFD803"/>
    <w:rsid w:val="BD5EB179"/>
    <w:rsid w:val="BD7F788E"/>
    <w:rsid w:val="DEFF1EB3"/>
    <w:rsid w:val="DF3F4C88"/>
    <w:rsid w:val="DF7A9960"/>
    <w:rsid w:val="DFBF15D5"/>
    <w:rsid w:val="DFD70EC8"/>
    <w:rsid w:val="DFFE6C63"/>
    <w:rsid w:val="E53DE605"/>
    <w:rsid w:val="E775D448"/>
    <w:rsid w:val="ECC7B000"/>
    <w:rsid w:val="F0ED2927"/>
    <w:rsid w:val="F3EF5848"/>
    <w:rsid w:val="F5A28C7E"/>
    <w:rsid w:val="F9BF6AE4"/>
    <w:rsid w:val="FB57F652"/>
    <w:rsid w:val="FBBF88F6"/>
    <w:rsid w:val="FBFEBC90"/>
    <w:rsid w:val="FCF69F69"/>
    <w:rsid w:val="FD7BEF22"/>
    <w:rsid w:val="FD8BB826"/>
    <w:rsid w:val="FD9199D6"/>
    <w:rsid w:val="FDAC17BA"/>
    <w:rsid w:val="FDDF4064"/>
    <w:rsid w:val="FDF46C9E"/>
    <w:rsid w:val="FEAFF630"/>
    <w:rsid w:val="FEDEBCAC"/>
    <w:rsid w:val="FF7F62AA"/>
    <w:rsid w:val="FFDBA3A8"/>
    <w:rsid w:val="FFDF073B"/>
    <w:rsid w:val="FFFE0A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qFormat="1" w:uiPriority="99" w:semiHidden="0" w:name="footnote text"/>
    <w:lsdException w:unhideWhenUsed="0" w:uiPriority="0" w:semiHidden="0" w:name="annotation text"/>
    <w:lsdException w:qFormat="1" w:unhideWhenUsed="0" w:uiPriority="0" w:semiHidden="0" w:name="header"/>
    <w:lsdException w:qFormat="1"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paragraph" w:styleId="3">
    <w:name w:val="heading 1"/>
    <w:basedOn w:val="1"/>
    <w:next w:val="1"/>
    <w:qFormat/>
    <w:uiPriority w:val="0"/>
    <w:pPr>
      <w:keepNext/>
      <w:numPr>
        <w:ilvl w:val="0"/>
        <w:numId w:val="1"/>
      </w:numPr>
      <w:spacing w:before="240" w:after="120"/>
      <w:jc w:val="left"/>
      <w:outlineLvl w:val="0"/>
    </w:pPr>
    <w:rPr>
      <w:rFonts w:ascii="Times New Roman" w:hAnsi="Times New Roman" w:cs="Mangal"/>
      <w:color w:val="00000A"/>
      <w:sz w:val="24"/>
      <w:lang w:val="zh-CN" w:bidi="hi-IN"/>
    </w:rPr>
  </w:style>
  <w:style w:type="character" w:default="1" w:styleId="9">
    <w:name w:val="Default Paragraph Font"/>
    <w:semiHidden/>
    <w:qFormat/>
    <w:uiPriority w:val="0"/>
  </w:style>
  <w:style w:type="table" w:default="1" w:styleId="8">
    <w:name w:val="Normal Table"/>
    <w:semiHidden/>
    <w:qFormat/>
    <w:uiPriority w:val="0"/>
    <w:tblPr>
      <w:tblCellMar>
        <w:top w:w="0" w:type="dxa"/>
        <w:left w:w="108" w:type="dxa"/>
        <w:bottom w:w="0" w:type="dxa"/>
        <w:right w:w="108" w:type="dxa"/>
      </w:tblCellMar>
    </w:tblPr>
  </w:style>
  <w:style w:type="paragraph" w:styleId="2">
    <w:name w:val="footnote text"/>
    <w:basedOn w:val="1"/>
    <w:unhideWhenUsed/>
    <w:qFormat/>
    <w:uiPriority w:val="99"/>
    <w:pPr>
      <w:snapToGrid w:val="0"/>
      <w:jc w:val="left"/>
    </w:pPr>
    <w:rPr>
      <w:sz w:val="18"/>
    </w:rPr>
  </w:style>
  <w:style w:type="paragraph" w:styleId="4">
    <w:name w:val="Body Text"/>
    <w:basedOn w:val="1"/>
    <w:qFormat/>
    <w:uiPriority w:val="1"/>
    <w:pPr>
      <w:autoSpaceDE w:val="0"/>
      <w:autoSpaceDN w:val="0"/>
      <w:adjustRightInd w:val="0"/>
      <w:jc w:val="left"/>
    </w:pPr>
    <w:rPr>
      <w:rFonts w:ascii="Arial Unicode MS" w:hAnsi="Times New Roman" w:eastAsia="Arial Unicode MS"/>
      <w:kern w:val="0"/>
      <w:sz w:val="32"/>
      <w:szCs w:val="32"/>
    </w:rPr>
  </w:style>
  <w:style w:type="paragraph" w:styleId="5">
    <w:name w:val="footer"/>
    <w:basedOn w:val="1"/>
    <w:unhideWhenUsed/>
    <w:qFormat/>
    <w:uiPriority w:val="99"/>
    <w:pPr>
      <w:tabs>
        <w:tab w:val="center" w:pos="4153"/>
        <w:tab w:val="right" w:pos="8306"/>
      </w:tabs>
      <w:snapToGrid w:val="0"/>
      <w:jc w:val="left"/>
    </w:pPr>
    <w:rPr>
      <w:rFonts w:ascii="Calibri" w:hAnsi="Calibri" w:eastAsia="宋体" w:cs="Times New Roman"/>
      <w:sz w:val="18"/>
      <w:szCs w:val="18"/>
    </w:rPr>
  </w:style>
  <w:style w:type="paragraph" w:styleId="6">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7">
    <w:name w:val="Normal (Web)"/>
    <w:basedOn w:val="1"/>
    <w:qFormat/>
    <w:uiPriority w:val="0"/>
    <w:pPr>
      <w:spacing w:before="0" w:beforeAutospacing="1" w:after="0" w:afterAutospacing="1"/>
      <w:ind w:left="0" w:right="0"/>
      <w:jc w:val="left"/>
    </w:pPr>
    <w:rPr>
      <w:kern w:val="0"/>
      <w:sz w:val="24"/>
      <w:lang w:val="en-US" w:eastAsia="zh-CN" w:bidi="ar"/>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4</Pages>
  <Words>2151</Words>
  <Characters>2263</Characters>
  <Lines>0</Lines>
  <Paragraphs>0</Paragraphs>
  <TotalTime>7</TotalTime>
  <ScaleCrop>false</ScaleCrop>
  <LinksUpToDate>false</LinksUpToDate>
  <CharactersWithSpaces>2485</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2021-08-02T10:04:00Z</dcterms:created>
  <dc:creator>胖林宝宝噜啦噜～</dc:creator>
  <cp:lastModifiedBy>Administrator</cp:lastModifiedBy>
  <cp:lastPrinted>2025-01-14T04:33:00Z</cp:lastPrinted>
  <dcterms:modified xsi:type="dcterms:W3CDTF">2025-02-06T08:24:56Z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26EC800A655D4083A3592883BAACC730_13</vt:lpwstr>
  </property>
  <property fmtid="{D5CDD505-2E9C-101B-9397-08002B2CF9AE}" pid="4" name="KSOTemplateDocerSaveRecord">
    <vt:lpwstr>eyJoZGlkIjoiODdiNTRkZjllYzE3N2Q5NTgxNDg2YzY0YTIyMmFhZjIifQ==</vt:lpwstr>
  </property>
</Properties>
</file>