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037101">
      <w:pPr>
        <w:pStyle w:val="7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after="0" w:line="570" w:lineRule="exact"/>
        <w:ind w:left="0" w:leftChars="0" w:firstLine="0" w:firstLineChars="0"/>
        <w:jc w:val="center"/>
        <w:textAlignment w:val="auto"/>
        <w:rPr>
          <w:rFonts w:ascii="Times New Roman" w:hAnsi="Times New Roman" w:eastAsia="方正小标宋简体"/>
          <w:color w:val="000000"/>
          <w:sz w:val="44"/>
          <w:szCs w:val="44"/>
        </w:rPr>
      </w:pPr>
      <w:r>
        <w:rPr>
          <w:rFonts w:hint="eastAsia" w:ascii="Times New Roman" w:hAnsi="Times New Roman" w:eastAsia="方正小标宋简体"/>
          <w:color w:val="000000"/>
          <w:sz w:val="44"/>
        </w:rPr>
        <w:t>乳山</w:t>
      </w:r>
      <w:r>
        <w:rPr>
          <w:rFonts w:hint="eastAsia" w:ascii="Times New Roman" w:hAnsi="Times New Roman" w:eastAsia="方正小标宋简体"/>
          <w:color w:val="000000"/>
          <w:sz w:val="44"/>
          <w:szCs w:val="44"/>
        </w:rPr>
        <w:t>市人民政府</w:t>
      </w:r>
    </w:p>
    <w:p w14:paraId="47F1DB42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jc w:val="center"/>
        <w:textAlignment w:val="auto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关于公布第八批非物质文化遗产</w:t>
      </w:r>
    </w:p>
    <w:p w14:paraId="2B54FC9E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jc w:val="center"/>
        <w:textAlignment w:val="auto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代表性项目名录的通知</w:t>
      </w:r>
    </w:p>
    <w:p w14:paraId="2A3AEDF7">
      <w:pPr>
        <w:tabs>
          <w:tab w:val="left" w:pos="0"/>
        </w:tabs>
        <w:spacing w:line="600" w:lineRule="exact"/>
        <w:jc w:val="center"/>
        <w:rPr>
          <w:rFonts w:eastAsia="仿宋_GB2312"/>
          <w:color w:val="000000"/>
          <w:w w:val="70"/>
          <w:sz w:val="32"/>
        </w:rPr>
      </w:pPr>
      <w:r>
        <w:rPr>
          <w:rFonts w:hint="eastAsia" w:eastAsia="仿宋_GB2312"/>
          <w:color w:val="000000"/>
          <w:sz w:val="32"/>
          <w:lang w:bidi="ar"/>
        </w:rPr>
        <w:t>乳政发〔</w:t>
      </w:r>
      <w:r>
        <w:rPr>
          <w:rFonts w:eastAsia="仿宋_GB2312"/>
          <w:color w:val="000000"/>
          <w:sz w:val="32"/>
          <w:lang w:bidi="ar"/>
        </w:rPr>
        <w:t>2024</w:t>
      </w:r>
      <w:r>
        <w:rPr>
          <w:rFonts w:hint="eastAsia" w:eastAsia="仿宋_GB2312"/>
          <w:color w:val="000000"/>
          <w:sz w:val="32"/>
          <w:lang w:bidi="ar"/>
        </w:rPr>
        <w:t>〕10号</w:t>
      </w:r>
    </w:p>
    <w:p w14:paraId="75FFA496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92" w:firstLineChars="185"/>
        <w:textAlignment w:val="auto"/>
        <w:rPr>
          <w:rFonts w:eastAsia="仿宋_GB2312"/>
          <w:sz w:val="32"/>
          <w:szCs w:val="32"/>
        </w:rPr>
      </w:pPr>
    </w:p>
    <w:p w14:paraId="6B4E3CFA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各镇人民政府，市政府各部门、单位，滨海新区（银滩旅游度假区）、经济开发区、城区街道办事处，各市属国有企业：</w:t>
      </w:r>
    </w:p>
    <w:p w14:paraId="3359A65E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92" w:firstLineChars="185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乳山市第八批非物质文化遗产代表性项目名录已经市政府研究通过，现予公布。</w:t>
      </w:r>
    </w:p>
    <w:p w14:paraId="3328FE74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92" w:firstLineChars="185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非物质文化遗产是乳山历史的见证和文化的载体，蕴含着乳山人民世代相传的精神追求、思维模式和审美意趣，彰显着中华民族生生不息的生命力和创造力。做好非物质文化遗产的保护与利用工作，对于深入贯彻新发展理念，推动社会主义文化繁荣兴盛，丰富人民群众的精神世界，促进经济社会全面协调可持续发展，具有极其重要且深远的意义。各级各部门、单位要深刻认识到，保护好非物质文化遗产是一项紧迫而艰巨的任务，必须坚持“保护为主、抢救第一、合理利用、传承发展”的原则，充分挖掘和弘扬非物质文化遗产的文化内涵与科技价值，精心组织好非物质文化遗产的整理、保护、管理、传承、传播及开发利用工作。要充分利用非物质文化遗产资源，创新文化、旅游产品的开发模式，激发文化产业的发展活力。要建立健全稳定的资金投入机制，为全市非物质文化遗产保护工作提供坚实保障。对列入名录和其他有价值的非物质文化遗产，要科学制定保护规划，明确责任目标，合理开发利用，使之得以传承和发扬。</w:t>
      </w:r>
    </w:p>
    <w:p w14:paraId="25840E97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92" w:firstLineChars="185"/>
        <w:textAlignment w:val="auto"/>
        <w:rPr>
          <w:rFonts w:eastAsia="仿宋_GB2312"/>
          <w:sz w:val="32"/>
          <w:szCs w:val="32"/>
        </w:rPr>
      </w:pPr>
    </w:p>
    <w:p w14:paraId="13676F40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640" w:firstLineChars="20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附件：乳山市第八批非物质文化遗产代表性项目名录</w:t>
      </w:r>
    </w:p>
    <w:p w14:paraId="7DA9D497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92" w:firstLineChars="185"/>
        <w:textAlignment w:val="auto"/>
        <w:rPr>
          <w:rFonts w:eastAsia="仿宋_GB2312"/>
          <w:sz w:val="32"/>
          <w:szCs w:val="32"/>
        </w:rPr>
      </w:pPr>
    </w:p>
    <w:p w14:paraId="7BD7547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 w14:paraId="019F6C3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</w:p>
    <w:p w14:paraId="1D9D5E07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   </w:t>
      </w:r>
    </w:p>
    <w:p w14:paraId="2BAD7B8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56B1B24E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0D72C858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2C82299A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5CFFDF16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75D1E889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74782CAB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7C2564E1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612874F3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0CF6E880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1D16F803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0FAF338E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</w:p>
    <w:p w14:paraId="4D8608A4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仿宋_GB2312"/>
          <w:sz w:val="32"/>
          <w:szCs w:val="32"/>
        </w:rPr>
      </w:pPr>
      <w:bookmarkStart w:id="0" w:name="_GoBack"/>
      <w:bookmarkEnd w:id="0"/>
    </w:p>
    <w:p w14:paraId="6F80D78E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hint="eastAsia" w:eastAsia="黑体"/>
          <w:sz w:val="32"/>
          <w:szCs w:val="32"/>
        </w:rPr>
      </w:pPr>
    </w:p>
    <w:p w14:paraId="6A3C8ED7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textAlignment w:val="auto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</w:p>
    <w:p w14:paraId="6353E55D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jc w:val="center"/>
        <w:textAlignment w:val="auto"/>
        <w:rPr>
          <w:rFonts w:eastAsia="方正小标宋简体"/>
          <w:sz w:val="44"/>
          <w:szCs w:val="44"/>
        </w:rPr>
      </w:pPr>
    </w:p>
    <w:p w14:paraId="4FB4C742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jc w:val="center"/>
        <w:textAlignment w:val="auto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乳山市第八批非物质文化遗产代表性项目名录</w:t>
      </w:r>
    </w:p>
    <w:p w14:paraId="008C9CA7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黑体"/>
          <w:sz w:val="32"/>
          <w:szCs w:val="32"/>
        </w:rPr>
      </w:pPr>
    </w:p>
    <w:p w14:paraId="7596B391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民间文学（4项）</w:t>
      </w:r>
    </w:p>
    <w:p w14:paraId="299F9593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仿宋_GB2312"/>
          <w:sz w:val="32"/>
          <w:szCs w:val="32"/>
        </w:rPr>
      </w:pPr>
      <w:r>
        <w:rPr>
          <w:rFonts w:eastAsia="楷体_GB2312"/>
          <w:sz w:val="32"/>
          <w:szCs w:val="32"/>
        </w:rPr>
        <w:t xml:space="preserve">编号  </w:t>
      </w:r>
      <w:r>
        <w:rPr>
          <w:rFonts w:hint="eastAsia" w:eastAsia="楷体_GB2312"/>
          <w:sz w:val="32"/>
          <w:szCs w:val="32"/>
          <w:lang w:val="en-US" w:eastAsia="zh-CN"/>
        </w:rPr>
        <w:t xml:space="preserve"> </w:t>
      </w:r>
      <w:r>
        <w:rPr>
          <w:rFonts w:eastAsia="楷体_GB2312"/>
          <w:sz w:val="32"/>
          <w:szCs w:val="32"/>
        </w:rPr>
        <w:t xml:space="preserve">  项目名称</w:t>
      </w:r>
    </w:p>
    <w:p w14:paraId="33F7C654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Ⅰ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    崮山寺的传说</w:t>
      </w:r>
    </w:p>
    <w:p w14:paraId="4CD5B6C5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Ⅰ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2    金牛山的传说</w:t>
      </w:r>
    </w:p>
    <w:p w14:paraId="01402793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Ⅰ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3    宋清朗的传说</w:t>
      </w:r>
    </w:p>
    <w:p w14:paraId="03AA1F65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Ⅰ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4    下草埠石马的传说</w:t>
      </w:r>
    </w:p>
    <w:p w14:paraId="66EA7C1B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传统音乐（1项）</w:t>
      </w:r>
    </w:p>
    <w:p w14:paraId="06C69C6E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仿宋_GB2312"/>
          <w:sz w:val="32"/>
          <w:szCs w:val="32"/>
        </w:rPr>
      </w:pPr>
      <w:r>
        <w:rPr>
          <w:rFonts w:eastAsia="楷体_GB2312"/>
          <w:sz w:val="32"/>
          <w:szCs w:val="32"/>
        </w:rPr>
        <w:t xml:space="preserve">编号   </w:t>
      </w:r>
      <w:r>
        <w:rPr>
          <w:rFonts w:hint="eastAsia" w:eastAsia="楷体_GB2312"/>
          <w:sz w:val="32"/>
          <w:szCs w:val="32"/>
          <w:lang w:val="en-US" w:eastAsia="zh-CN"/>
        </w:rPr>
        <w:t xml:space="preserve"> </w:t>
      </w:r>
      <w:r>
        <w:rPr>
          <w:rFonts w:eastAsia="楷体_GB2312"/>
          <w:sz w:val="32"/>
          <w:szCs w:val="32"/>
        </w:rPr>
        <w:t xml:space="preserve"> 项目名称</w:t>
      </w:r>
    </w:p>
    <w:p w14:paraId="1778DA62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Ⅱ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    “攻打苗部”五更小调</w:t>
      </w:r>
    </w:p>
    <w:p w14:paraId="0908039A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传统体育、游艺与杂技（1项）</w:t>
      </w:r>
    </w:p>
    <w:p w14:paraId="383C28CE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t xml:space="preserve">编号   </w:t>
      </w:r>
      <w:r>
        <w:rPr>
          <w:rFonts w:hint="eastAsia" w:eastAsia="楷体_GB2312"/>
          <w:sz w:val="32"/>
          <w:szCs w:val="32"/>
          <w:lang w:val="en-US" w:eastAsia="zh-CN"/>
        </w:rPr>
        <w:t xml:space="preserve"> </w:t>
      </w:r>
      <w:r>
        <w:rPr>
          <w:rFonts w:eastAsia="楷体_GB2312"/>
          <w:sz w:val="32"/>
          <w:szCs w:val="32"/>
        </w:rPr>
        <w:t xml:space="preserve"> 项目名称</w:t>
      </w:r>
    </w:p>
    <w:p w14:paraId="1E81EEE7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Ⅵ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    太极螳螂拳</w:t>
      </w:r>
    </w:p>
    <w:p w14:paraId="724A0825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传统技艺（16项）</w:t>
      </w:r>
    </w:p>
    <w:p w14:paraId="640F4663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t xml:space="preserve">编号  </w:t>
      </w:r>
      <w:r>
        <w:rPr>
          <w:rFonts w:hint="eastAsia" w:eastAsia="楷体_GB2312"/>
          <w:sz w:val="32"/>
          <w:szCs w:val="32"/>
          <w:lang w:val="en-US" w:eastAsia="zh-CN"/>
        </w:rPr>
        <w:t xml:space="preserve"> </w:t>
      </w:r>
      <w:r>
        <w:rPr>
          <w:rFonts w:eastAsia="楷体_GB2312"/>
          <w:sz w:val="32"/>
          <w:szCs w:val="32"/>
        </w:rPr>
        <w:t xml:space="preserve">  项目名称</w:t>
      </w:r>
    </w:p>
    <w:p w14:paraId="01FE0FFD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    乳山柞蚕放养生产技艺</w:t>
      </w:r>
    </w:p>
    <w:p w14:paraId="14498C88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2    乳山蛋雕制作技艺</w:t>
      </w:r>
    </w:p>
    <w:p w14:paraId="673FCD56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3    乳山蛎画制作技艺</w:t>
      </w:r>
    </w:p>
    <w:p w14:paraId="0C274968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4    乳山古法腌制海鸭蛋制作技艺</w:t>
      </w:r>
    </w:p>
    <w:p w14:paraId="692B4C61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5    乳山鱼水饺制作技艺</w:t>
      </w:r>
    </w:p>
    <w:p w14:paraId="0A4505D5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6    乳山古法酱油酿造技艺</w:t>
      </w:r>
    </w:p>
    <w:p w14:paraId="1FADA8F1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7    手工绳艺编织技艺</w:t>
      </w:r>
    </w:p>
    <w:p w14:paraId="1B7E5494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8    “神仙”引子制作技艺</w:t>
      </w:r>
    </w:p>
    <w:p w14:paraId="66F7D125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9    乳山菜粑粑、菜团子制作技艺</w:t>
      </w:r>
    </w:p>
    <w:p w14:paraId="0FE3A297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10   乳山地瓜面汤制作技艺</w:t>
      </w:r>
    </w:p>
    <w:p w14:paraId="030B0A71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11   乳山豆渣菜制作技艺（馇渣）</w:t>
      </w:r>
    </w:p>
    <w:p w14:paraId="78A36723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12   乳山抓果豆制作技艺</w:t>
      </w:r>
    </w:p>
    <w:p w14:paraId="2C854329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13   乳山面塑制作技艺</w:t>
      </w:r>
    </w:p>
    <w:p w14:paraId="03AA0DA6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14   乳山葫芦雕刻技艺</w:t>
      </w:r>
    </w:p>
    <w:p w14:paraId="05DA8B67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15   乳山传统卤水老豆腐制作技艺</w:t>
      </w:r>
    </w:p>
    <w:p w14:paraId="31218177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firstLine="537" w:firstLineChars="168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Ⅷ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16   乳山传统布艺</w:t>
      </w:r>
    </w:p>
    <w:p w14:paraId="0ABD892B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传统医药（1项）</w:t>
      </w:r>
    </w:p>
    <w:p w14:paraId="64463E54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仿宋_GB2312"/>
          <w:sz w:val="32"/>
          <w:szCs w:val="32"/>
        </w:rPr>
      </w:pPr>
      <w:r>
        <w:rPr>
          <w:rFonts w:eastAsia="楷体_GB2312"/>
          <w:sz w:val="32"/>
          <w:szCs w:val="32"/>
        </w:rPr>
        <w:t xml:space="preserve">编号   </w:t>
      </w:r>
      <w:r>
        <w:rPr>
          <w:rFonts w:hint="eastAsia" w:eastAsia="楷体_GB2312"/>
          <w:sz w:val="32"/>
          <w:szCs w:val="32"/>
          <w:lang w:val="en-US" w:eastAsia="zh-CN"/>
        </w:rPr>
        <w:t xml:space="preserve"> </w:t>
      </w:r>
      <w:r>
        <w:rPr>
          <w:rFonts w:eastAsia="楷体_GB2312"/>
          <w:sz w:val="32"/>
          <w:szCs w:val="32"/>
        </w:rPr>
        <w:t xml:space="preserve"> 项目名称</w:t>
      </w:r>
    </w:p>
    <w:p w14:paraId="7367F1D2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Ⅸ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    樊氏痔瘘疗法</w:t>
      </w:r>
    </w:p>
    <w:p w14:paraId="173BEF23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民俗（1项）</w:t>
      </w:r>
    </w:p>
    <w:p w14:paraId="59845359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eastAsia="仿宋_GB2312"/>
          <w:sz w:val="32"/>
          <w:szCs w:val="32"/>
        </w:rPr>
      </w:pPr>
      <w:r>
        <w:rPr>
          <w:rFonts w:eastAsia="楷体_GB2312"/>
          <w:sz w:val="32"/>
          <w:szCs w:val="32"/>
        </w:rPr>
        <w:t xml:space="preserve">编号  </w:t>
      </w:r>
      <w:r>
        <w:rPr>
          <w:rFonts w:hint="eastAsia" w:eastAsia="楷体_GB2312"/>
          <w:sz w:val="32"/>
          <w:szCs w:val="32"/>
          <w:lang w:val="en-US" w:eastAsia="zh-CN"/>
        </w:rPr>
        <w:t xml:space="preserve"> </w:t>
      </w:r>
      <w:r>
        <w:rPr>
          <w:rFonts w:eastAsia="楷体_GB2312"/>
          <w:sz w:val="32"/>
          <w:szCs w:val="32"/>
        </w:rPr>
        <w:t xml:space="preserve">  项目名称</w:t>
      </w:r>
    </w:p>
    <w:p w14:paraId="622BDA90">
      <w:pPr>
        <w:keepNext w:val="0"/>
        <w:keepLines w:val="0"/>
        <w:pageBreakBefore w:val="0"/>
        <w:widowControl w:val="0"/>
        <w:tabs>
          <w:tab w:val="left" w:pos="2828"/>
        </w:tabs>
        <w:kinsoku/>
        <w:overflowPunct/>
        <w:topLinePunct w:val="0"/>
        <w:autoSpaceDE/>
        <w:autoSpaceDN/>
        <w:bidi w:val="0"/>
        <w:spacing w:line="570" w:lineRule="exact"/>
        <w:ind w:left="540"/>
        <w:textAlignment w:val="auto"/>
        <w:rPr>
          <w:rFonts w:hint="eastAsia"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Ⅹ</w:t>
      </w:r>
      <w:r>
        <w:rPr>
          <w:rFonts w:hint="eastAsia" w:eastAsia="仿宋_GB2312"/>
          <w:sz w:val="32"/>
          <w:szCs w:val="32"/>
          <w:lang w:eastAsia="zh-CN"/>
        </w:rPr>
        <w:t>—</w:t>
      </w:r>
      <w:r>
        <w:rPr>
          <w:rFonts w:eastAsia="仿宋_GB2312"/>
          <w:sz w:val="32"/>
          <w:szCs w:val="32"/>
        </w:rPr>
        <w:t>1    乳山祭海民俗活动</w:t>
      </w:r>
    </w:p>
    <w:p w14:paraId="034ADA99"/>
    <w:sectPr>
      <w:footerReference r:id="rId3" w:type="default"/>
      <w:footerReference r:id="rId4" w:type="even"/>
      <w:pgSz w:w="11906" w:h="16838"/>
      <w:pgMar w:top="2098" w:right="1531" w:bottom="1985" w:left="1531" w:header="851" w:footer="153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66A933">
    <w:pPr>
      <w:pStyle w:val="5"/>
      <w:keepNext w:val="0"/>
      <w:keepLines w:val="0"/>
      <w:pageBreakBefore w:val="0"/>
      <w:framePr w:wrap="around" w:vAnchor="text" w:hAnchor="margin" w:xAlign="outside" w:y="1"/>
      <w:widowControl w:val="0"/>
      <w:kinsoku/>
      <w:wordWrap/>
      <w:overflowPunct/>
      <w:topLinePunct w:val="0"/>
      <w:bidi w:val="0"/>
      <w:adjustRightInd/>
      <w:snapToGrid w:val="0"/>
      <w:ind w:left="315" w:leftChars="150" w:right="315" w:rightChars="150"/>
      <w:textAlignment w:val="auto"/>
      <w:rPr>
        <w:rStyle w:val="10"/>
        <w:rFonts w:hint="eastAsia" w:ascii="宋体" w:hAnsi="宋体"/>
        <w:sz w:val="28"/>
        <w:szCs w:val="28"/>
      </w:rPr>
    </w:pPr>
    <w:r>
      <w:rPr>
        <w:rStyle w:val="10"/>
        <w:rFonts w:hint="eastAsia" w:ascii="宋体" w:hAnsi="宋体"/>
        <w:sz w:val="28"/>
        <w:szCs w:val="28"/>
      </w:rPr>
      <w:t xml:space="preserve">— </w:t>
    </w:r>
    <w:r>
      <w:rPr>
        <w:rStyle w:val="10"/>
        <w:rFonts w:ascii="宋体" w:hAnsi="宋体"/>
        <w:sz w:val="28"/>
        <w:szCs w:val="28"/>
      </w:rPr>
      <w:fldChar w:fldCharType="begin"/>
    </w:r>
    <w:r>
      <w:rPr>
        <w:rStyle w:val="10"/>
        <w:rFonts w:ascii="宋体" w:hAnsi="宋体"/>
        <w:sz w:val="28"/>
        <w:szCs w:val="28"/>
      </w:rPr>
      <w:instrText xml:space="preserve">PAGE  </w:instrText>
    </w:r>
    <w:r>
      <w:rPr>
        <w:rStyle w:val="10"/>
        <w:rFonts w:ascii="宋体" w:hAnsi="宋体"/>
        <w:sz w:val="28"/>
        <w:szCs w:val="28"/>
      </w:rPr>
      <w:fldChar w:fldCharType="separate"/>
    </w:r>
    <w:r>
      <w:rPr>
        <w:rStyle w:val="10"/>
        <w:rFonts w:ascii="宋体" w:hAnsi="宋体"/>
        <w:sz w:val="28"/>
        <w:szCs w:val="28"/>
      </w:rPr>
      <w:t>4</w:t>
    </w:r>
    <w:r>
      <w:rPr>
        <w:rStyle w:val="10"/>
        <w:rFonts w:ascii="宋体" w:hAnsi="宋体"/>
        <w:sz w:val="28"/>
        <w:szCs w:val="28"/>
      </w:rPr>
      <w:fldChar w:fldCharType="end"/>
    </w:r>
    <w:r>
      <w:rPr>
        <w:rStyle w:val="10"/>
        <w:rFonts w:hint="eastAsia" w:ascii="宋体" w:hAnsi="宋体"/>
        <w:sz w:val="28"/>
        <w:szCs w:val="28"/>
      </w:rPr>
      <w:t xml:space="preserve"> —</w:t>
    </w:r>
  </w:p>
  <w:p w14:paraId="7091100D">
    <w:pPr>
      <w:pStyle w:val="5"/>
      <w:keepNext w:val="0"/>
      <w:keepLines w:val="0"/>
      <w:pageBreakBefore w:val="0"/>
      <w:widowControl w:val="0"/>
      <w:kinsoku/>
      <w:wordWrap/>
      <w:overflowPunct/>
      <w:topLinePunct w:val="0"/>
      <w:bidi w:val="0"/>
      <w:adjustRightInd/>
      <w:snapToGrid w:val="0"/>
      <w:ind w:left="315" w:leftChars="150" w:right="315" w:rightChars="150" w:firstLine="360"/>
      <w:textAlignment w:val="auto"/>
      <w:rPr>
        <w:sz w:val="28"/>
        <w:szCs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AFEBEB">
    <w:pPr>
      <w:pStyle w:val="5"/>
      <w:framePr w:wrap="around" w:vAnchor="text" w:hAnchor="margin" w:xAlign="outside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end"/>
    </w:r>
  </w:p>
  <w:p w14:paraId="6B5F7623">
    <w:pPr>
      <w:pStyle w:val="5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494703"/>
    <w:rsid w:val="07AF7E3A"/>
    <w:rsid w:val="1A494703"/>
    <w:rsid w:val="31B9528D"/>
    <w:rsid w:val="337C2A16"/>
    <w:rsid w:val="59D601F1"/>
    <w:rsid w:val="6F4002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spacing w:after="120"/>
    </w:pPr>
  </w:style>
  <w:style w:type="paragraph" w:styleId="3">
    <w:name w:val="Body Text Indent"/>
    <w:basedOn w:val="1"/>
    <w:uiPriority w:val="0"/>
    <w:pPr>
      <w:spacing w:after="120"/>
      <w:ind w:left="420" w:leftChars="200"/>
    </w:pPr>
  </w:style>
  <w:style w:type="paragraph" w:styleId="4">
    <w:name w:val="Block Text"/>
    <w:basedOn w:val="1"/>
    <w:uiPriority w:val="0"/>
    <w:pPr>
      <w:ind w:left="1289" w:leftChars="101" w:right="320" w:rightChars="100" w:hanging="966" w:hangingChars="483"/>
    </w:pPr>
    <w:rPr>
      <w:rFonts w:ascii="Calibri" w:hAnsi="Calibri"/>
    </w:rPr>
  </w:style>
  <w:style w:type="paragraph" w:styleId="5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 2"/>
    <w:basedOn w:val="3"/>
    <w:next w:val="1"/>
    <w:qFormat/>
    <w:uiPriority w:val="0"/>
    <w:pPr>
      <w:ind w:firstLine="420" w:firstLineChars="200"/>
    </w:pPr>
    <w:rPr>
      <w:rFonts w:ascii="Calibri" w:hAnsi="Calibri"/>
    </w:rPr>
  </w:style>
  <w:style w:type="character" w:styleId="10">
    <w:name w:val="page number"/>
    <w:basedOn w:val="9"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967</Words>
  <Characters>984</Characters>
  <Lines>0</Lines>
  <Paragraphs>0</Paragraphs>
  <TotalTime>0</TotalTime>
  <ScaleCrop>false</ScaleCrop>
  <LinksUpToDate>false</LinksUpToDate>
  <CharactersWithSpaces>1118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2024-12-13T07:12:00Z</dcterms:created>
  <dc:creator>Chihiro</dc:creator>
  <cp:lastModifiedBy>Chihiro</cp:lastModifiedBy>
  <dcterms:modified xsi:type="dcterms:W3CDTF">2024-12-13T07:14:52Z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24061DE4BBF243C8B7B4FD7CDEA64A67_13</vt:lpwstr>
  </property>
</Properties>
</file>