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rPr>
          <w:rFonts w:hint="eastAsia" w:ascii="黑体" w:hAnsi="黑体" w:eastAsia="黑体" w:cs="黑体"/>
          <w:color w:val="auto"/>
          <w:sz w:val="44"/>
          <w:szCs w:val="44"/>
          <w:lang w:eastAsia="zh-CN"/>
        </w:rPr>
      </w:pPr>
      <w:bookmarkStart w:id="0" w:name="_GoBack"/>
      <w:bookmarkEnd w:id="0"/>
      <w:r>
        <w:rPr>
          <w:rFonts w:hint="eastAsia" w:ascii="黑体" w:hAnsi="黑体" w:eastAsia="黑体" w:cs="黑体"/>
          <w:color w:val="auto"/>
          <w:sz w:val="44"/>
          <w:szCs w:val="44"/>
          <w:lang w:val="en-US" w:eastAsia="zh-CN"/>
        </w:rPr>
        <w:t>乳山市</w:t>
      </w:r>
      <w:r>
        <w:rPr>
          <w:rFonts w:hint="eastAsia" w:ascii="黑体" w:hAnsi="黑体" w:eastAsia="黑体" w:cs="黑体"/>
          <w:color w:val="auto"/>
          <w:sz w:val="44"/>
          <w:szCs w:val="44"/>
          <w:lang w:eastAsia="zh-CN"/>
        </w:rPr>
        <w:t>人民政府</w:t>
      </w:r>
    </w:p>
    <w:p>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rPr>
          <w:rFonts w:hint="eastAsia" w:ascii="黑体" w:hAnsi="黑体" w:eastAsia="黑体" w:cs="黑体"/>
          <w:color w:val="auto"/>
          <w:sz w:val="44"/>
          <w:szCs w:val="44"/>
          <w:lang w:val="en-US" w:eastAsia="zh-CN"/>
        </w:rPr>
      </w:pPr>
      <w:r>
        <w:rPr>
          <w:rFonts w:hint="eastAsia" w:ascii="黑体" w:hAnsi="黑体" w:eastAsia="黑体" w:cs="黑体"/>
          <w:color w:val="auto"/>
          <w:sz w:val="44"/>
          <w:szCs w:val="44"/>
          <w:lang w:val="en-US" w:eastAsia="zh-CN"/>
        </w:rPr>
        <w:t>2022年政府信息公开工作年度报告</w:t>
      </w:r>
    </w:p>
    <w:p>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rPr>
          <w:rFonts w:hint="default" w:ascii="Times New Roman" w:hAnsi="Times New Roman" w:eastAsia="方正小标宋简体" w:cs="Times New Roman"/>
          <w:color w:val="auto"/>
          <w:sz w:val="44"/>
          <w:szCs w:val="44"/>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仿宋_GB2312" w:cs="Times New Roman"/>
          <w:i w:val="0"/>
          <w:caps w:val="0"/>
          <w:color w:val="auto"/>
          <w:spacing w:val="0"/>
          <w:kern w:val="0"/>
          <w:sz w:val="32"/>
          <w:szCs w:val="32"/>
          <w:lang w:val="en-US" w:eastAsia="zh-CN" w:bidi="ar"/>
        </w:rPr>
      </w:pPr>
      <w:r>
        <w:rPr>
          <w:rFonts w:hint="default" w:ascii="Times New Roman" w:hAnsi="Times New Roman" w:eastAsia="仿宋_GB2312" w:cs="Times New Roman"/>
          <w:i w:val="0"/>
          <w:caps w:val="0"/>
          <w:color w:val="auto"/>
          <w:spacing w:val="0"/>
          <w:kern w:val="0"/>
          <w:sz w:val="32"/>
          <w:szCs w:val="32"/>
          <w:lang w:val="en-US" w:eastAsia="zh-CN" w:bidi="ar"/>
        </w:rPr>
        <w:t>根据《中华人民共和国政府信息公开条例》（国务院令第711号，以下简称《条例》）和《中华人民共和国政府信息公开工作年度报告格式》（国办公开办函〔2021〕30号）要求，结合2022年乳</w:t>
      </w:r>
      <w:r>
        <w:rPr>
          <w:rFonts w:hint="default" w:ascii="Times New Roman" w:hAnsi="Times New Roman" w:eastAsia="仿宋_GB2312" w:cs="Times New Roman"/>
          <w:i w:val="0"/>
          <w:caps w:val="0"/>
          <w:color w:val="auto"/>
          <w:spacing w:val="0"/>
          <w:kern w:val="0"/>
          <w:sz w:val="32"/>
          <w:szCs w:val="32"/>
          <w:highlight w:val="none"/>
          <w:lang w:val="en-US" w:eastAsia="zh-CN" w:bidi="ar"/>
        </w:rPr>
        <w:t>山市人民政府</w:t>
      </w:r>
      <w:r>
        <w:rPr>
          <w:rFonts w:hint="default" w:ascii="Times New Roman" w:hAnsi="Times New Roman" w:eastAsia="仿宋_GB2312" w:cs="Times New Roman"/>
          <w:i w:val="0"/>
          <w:caps w:val="0"/>
          <w:color w:val="auto"/>
          <w:spacing w:val="0"/>
          <w:kern w:val="0"/>
          <w:sz w:val="32"/>
          <w:szCs w:val="32"/>
          <w:lang w:val="en-US" w:eastAsia="zh-CN" w:bidi="ar"/>
        </w:rPr>
        <w:t>信息公开工作实际，编制发布本报告。</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仿宋_GB2312" w:cs="Times New Roman"/>
          <w:i w:val="0"/>
          <w:caps w:val="0"/>
          <w:color w:val="auto"/>
          <w:spacing w:val="0"/>
          <w:kern w:val="0"/>
          <w:sz w:val="32"/>
          <w:szCs w:val="32"/>
          <w:lang w:val="en-US" w:eastAsia="zh-CN" w:bidi="ar"/>
        </w:rPr>
      </w:pPr>
      <w:r>
        <w:rPr>
          <w:rFonts w:hint="default" w:ascii="Times New Roman" w:hAnsi="Times New Roman" w:eastAsia="仿宋_GB2312" w:cs="Times New Roman"/>
          <w:i w:val="0"/>
          <w:caps w:val="0"/>
          <w:color w:val="auto"/>
          <w:spacing w:val="0"/>
          <w:kern w:val="0"/>
          <w:sz w:val="32"/>
          <w:szCs w:val="32"/>
          <w:lang w:val="en-US" w:eastAsia="zh-CN" w:bidi="ar"/>
        </w:rPr>
        <w:t>本报告内容包括：总体情况、主动公开政府信息情况、收到和处理政府信息公开申请情况、政府信息公开行政复议、行政诉讼情况、存在的主要问题及改进情况、其他事项，以及相关指标统计附表等。报告中所列数据统计期限从2022年1月1日到12月31日止。报告电子版可从乳山市人民政府门户网站（http://www.rushan.gov.cn/）查阅或下载。公众如需进一步咨询了解相关信息，请与乳山市人民政府办公室联系</w:t>
      </w:r>
      <w:r>
        <w:rPr>
          <w:rFonts w:hint="default" w:ascii="Times New Roman" w:hAnsi="Times New Roman" w:eastAsia="仿宋_GB2312" w:cs="Times New Roman"/>
          <w:i w:val="0"/>
          <w:caps w:val="0"/>
          <w:color w:val="auto"/>
          <w:spacing w:val="0"/>
          <w:sz w:val="32"/>
          <w:szCs w:val="32"/>
          <w:highlight w:val="none"/>
          <w:lang w:val="en-US" w:eastAsia="zh-CN"/>
        </w:rPr>
        <w:t>（地址：乳山市胜利街78号；电话：0631—6663232）</w:t>
      </w:r>
      <w:r>
        <w:rPr>
          <w:rFonts w:hint="default" w:ascii="Times New Roman" w:hAnsi="Times New Roman" w:eastAsia="仿宋_GB2312" w:cs="Times New Roman"/>
          <w:i w:val="0"/>
          <w:caps w:val="0"/>
          <w:color w:val="auto"/>
          <w:spacing w:val="0"/>
          <w:kern w:val="0"/>
          <w:sz w:val="32"/>
          <w:szCs w:val="32"/>
          <w:lang w:val="en-US" w:eastAsia="zh-CN" w:bidi="ar"/>
        </w:rPr>
        <w:t>。</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微软雅黑" w:cs="Times New Roman"/>
          <w:i w:val="0"/>
          <w:caps w:val="0"/>
          <w:color w:val="auto"/>
          <w:spacing w:val="0"/>
          <w:sz w:val="24"/>
          <w:szCs w:val="24"/>
        </w:rPr>
      </w:pPr>
      <w:r>
        <w:rPr>
          <w:rFonts w:hint="default" w:ascii="Times New Roman" w:hAnsi="Times New Roman" w:eastAsia="黑体" w:cs="Times New Roman"/>
          <w:i w:val="0"/>
          <w:caps w:val="0"/>
          <w:color w:val="auto"/>
          <w:spacing w:val="0"/>
          <w:kern w:val="0"/>
          <w:sz w:val="32"/>
          <w:szCs w:val="32"/>
          <w:lang w:val="en-US" w:eastAsia="zh-CN" w:bidi="ar"/>
        </w:rPr>
        <w:t>一、总体情况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楷体_GB2312" w:cs="Times New Roman"/>
          <w:i w:val="0"/>
          <w:caps w:val="0"/>
          <w:color w:val="auto"/>
          <w:spacing w:val="0"/>
          <w:kern w:val="0"/>
          <w:sz w:val="32"/>
          <w:szCs w:val="32"/>
          <w:lang w:val="en-US" w:eastAsia="zh-CN" w:bidi="ar"/>
        </w:rPr>
      </w:pPr>
      <w:r>
        <w:rPr>
          <w:rFonts w:hint="default" w:ascii="Times New Roman" w:hAnsi="Times New Roman" w:eastAsia="楷体_GB2312" w:cs="Times New Roman"/>
          <w:i w:val="0"/>
          <w:caps w:val="0"/>
          <w:color w:val="auto"/>
          <w:spacing w:val="0"/>
          <w:kern w:val="0"/>
          <w:sz w:val="32"/>
          <w:szCs w:val="32"/>
          <w:lang w:val="en-US" w:eastAsia="zh-CN" w:bidi="ar"/>
        </w:rPr>
        <w:t>（一）主动公开情况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atLeast"/>
        <w:ind w:left="0" w:right="0" w:firstLine="643" w:firstLineChars="200"/>
        <w:jc w:val="left"/>
        <w:textAlignment w:val="auto"/>
        <w:rPr>
          <w:rFonts w:hint="default" w:ascii="Times New Roman" w:hAnsi="Times New Roman" w:eastAsia="仿宋_GB2312" w:cs="Times New Roman"/>
          <w:b/>
          <w:i w:val="0"/>
          <w:caps w:val="0"/>
          <w:color w:val="auto"/>
          <w:spacing w:val="0"/>
          <w:kern w:val="0"/>
          <w:sz w:val="32"/>
          <w:szCs w:val="32"/>
          <w:lang w:val="en-US" w:eastAsia="zh-CN" w:bidi="ar"/>
        </w:rPr>
      </w:pPr>
      <w:r>
        <w:rPr>
          <w:rFonts w:hint="default" w:ascii="Times New Roman" w:hAnsi="Times New Roman" w:eastAsia="仿宋_GB2312" w:cs="Times New Roman"/>
          <w:b/>
          <w:i w:val="0"/>
          <w:caps w:val="0"/>
          <w:color w:val="auto"/>
          <w:spacing w:val="0"/>
          <w:kern w:val="0"/>
          <w:sz w:val="32"/>
          <w:szCs w:val="32"/>
          <w:lang w:val="en-US" w:eastAsia="zh-CN" w:bidi="ar"/>
        </w:rPr>
        <w:t>1.规范法定基础内容信息公开</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default" w:ascii="Times New Roman" w:hAnsi="Times New Roman" w:eastAsia="微软雅黑" w:cs="Times New Roman"/>
          <w:i w:val="0"/>
          <w:caps w:val="0"/>
          <w:color w:val="auto"/>
          <w:spacing w:val="0"/>
          <w:sz w:val="24"/>
          <w:szCs w:val="24"/>
          <w:highlight w:val="yellow"/>
        </w:rPr>
      </w:pPr>
      <w:r>
        <w:rPr>
          <w:rFonts w:hint="default" w:ascii="Times New Roman" w:hAnsi="Times New Roman" w:eastAsia="仿宋_GB2312" w:cs="Times New Roman"/>
          <w:i w:val="0"/>
          <w:caps w:val="0"/>
          <w:color w:val="auto"/>
          <w:spacing w:val="0"/>
          <w:kern w:val="0"/>
          <w:sz w:val="32"/>
          <w:szCs w:val="32"/>
          <w:lang w:val="en-US" w:eastAsia="zh-CN" w:bidi="ar"/>
        </w:rPr>
        <w:t>2022年</w:t>
      </w:r>
      <w:r>
        <w:rPr>
          <w:rFonts w:hint="eastAsia" w:eastAsia="仿宋_GB2312" w:cs="Times New Roman"/>
          <w:i w:val="0"/>
          <w:caps w:val="0"/>
          <w:color w:val="auto"/>
          <w:spacing w:val="0"/>
          <w:kern w:val="0"/>
          <w:sz w:val="32"/>
          <w:szCs w:val="32"/>
          <w:lang w:val="en-US" w:eastAsia="zh-CN" w:bidi="ar"/>
        </w:rPr>
        <w:t>，乳山市积极组织</w:t>
      </w:r>
      <w:r>
        <w:rPr>
          <w:rFonts w:hint="default" w:ascii="Times New Roman" w:hAnsi="Times New Roman" w:eastAsia="仿宋_GB2312" w:cs="Times New Roman"/>
          <w:b w:val="0"/>
          <w:bCs/>
          <w:color w:val="auto"/>
          <w:sz w:val="32"/>
          <w:szCs w:val="32"/>
          <w:lang w:val="en-US" w:eastAsia="zh-CN"/>
        </w:rPr>
        <w:t>开展“政府开放日”活动45次，</w:t>
      </w:r>
      <w:r>
        <w:rPr>
          <w:rFonts w:hint="default" w:ascii="Times New Roman" w:hAnsi="Times New Roman" w:eastAsia="仿宋_GB2312" w:cs="Times New Roman"/>
          <w:i w:val="0"/>
          <w:iCs w:val="0"/>
          <w:caps w:val="0"/>
          <w:color w:val="auto"/>
          <w:spacing w:val="0"/>
          <w:sz w:val="32"/>
          <w:szCs w:val="32"/>
          <w:highlight w:val="none"/>
          <w:lang w:val="en-US" w:eastAsia="zh-CN"/>
        </w:rPr>
        <w:t>编印《乳山市人民政府公报》4期</w:t>
      </w:r>
      <w:r>
        <w:rPr>
          <w:rFonts w:hint="eastAsia" w:eastAsia="仿宋_GB2312" w:cs="Times New Roman"/>
          <w:i w:val="0"/>
          <w:iCs w:val="0"/>
          <w:caps w:val="0"/>
          <w:color w:val="auto"/>
          <w:spacing w:val="0"/>
          <w:sz w:val="32"/>
          <w:szCs w:val="32"/>
          <w:highlight w:val="none"/>
          <w:lang w:val="en-US" w:eastAsia="zh-CN"/>
        </w:rPr>
        <w:t>，</w:t>
      </w:r>
      <w:r>
        <w:rPr>
          <w:rFonts w:hint="default" w:ascii="Times New Roman" w:hAnsi="Times New Roman" w:eastAsia="仿宋_GB2312" w:cs="Times New Roman"/>
          <w:i w:val="0"/>
          <w:caps w:val="0"/>
          <w:color w:val="auto"/>
          <w:spacing w:val="0"/>
          <w:kern w:val="0"/>
          <w:sz w:val="32"/>
          <w:szCs w:val="32"/>
          <w:lang w:val="en-US" w:eastAsia="zh-CN" w:bidi="ar"/>
        </w:rPr>
        <w:t>通过</w:t>
      </w:r>
      <w:r>
        <w:rPr>
          <w:rFonts w:hint="eastAsia" w:eastAsia="仿宋_GB2312" w:cs="Times New Roman"/>
          <w:i w:val="0"/>
          <w:caps w:val="0"/>
          <w:color w:val="auto"/>
          <w:spacing w:val="0"/>
          <w:kern w:val="0"/>
          <w:sz w:val="32"/>
          <w:szCs w:val="32"/>
          <w:lang w:val="en-US" w:eastAsia="zh-CN" w:bidi="ar"/>
        </w:rPr>
        <w:t>政府网站</w:t>
      </w:r>
      <w:r>
        <w:rPr>
          <w:rFonts w:hint="default" w:ascii="Times New Roman" w:hAnsi="Times New Roman" w:eastAsia="仿宋_GB2312" w:cs="Times New Roman"/>
          <w:i w:val="0"/>
          <w:caps w:val="0"/>
          <w:color w:val="auto"/>
          <w:spacing w:val="0"/>
          <w:kern w:val="0"/>
          <w:sz w:val="32"/>
          <w:szCs w:val="32"/>
          <w:lang w:val="en-US" w:eastAsia="zh-CN" w:bidi="ar"/>
        </w:rPr>
        <w:t>信息公开专栏公开</w:t>
      </w:r>
      <w:r>
        <w:rPr>
          <w:rFonts w:hint="default" w:ascii="Times New Roman" w:hAnsi="Times New Roman" w:eastAsia="仿宋_GB2312" w:cs="Times New Roman"/>
          <w:b w:val="0"/>
          <w:bCs/>
          <w:color w:val="auto"/>
          <w:sz w:val="32"/>
          <w:szCs w:val="32"/>
          <w:lang w:val="en-US" w:eastAsia="zh-CN"/>
        </w:rPr>
        <w:t>法规文件153条，政府会议238条，各重点领域信息795条</w:t>
      </w:r>
      <w:r>
        <w:rPr>
          <w:rFonts w:hint="eastAsia" w:eastAsia="仿宋_GB2312" w:cs="Times New Roman"/>
          <w:b w:val="0"/>
          <w:bCs/>
          <w:color w:val="auto"/>
          <w:sz w:val="32"/>
          <w:szCs w:val="32"/>
          <w:lang w:val="en-US" w:eastAsia="zh-CN"/>
        </w:rPr>
        <w:t>，</w:t>
      </w:r>
      <w:r>
        <w:rPr>
          <w:rFonts w:hint="default" w:ascii="Times New Roman" w:hAnsi="Times New Roman" w:eastAsia="仿宋_GB2312" w:cs="Times New Roman"/>
          <w:color w:val="auto"/>
          <w:sz w:val="32"/>
          <w:szCs w:val="32"/>
          <w:lang w:val="en-US" w:eastAsia="zh-CN"/>
        </w:rPr>
        <w:t>累计公开各类政府</w:t>
      </w:r>
      <w:r>
        <w:rPr>
          <w:rFonts w:hint="default" w:ascii="Times New Roman" w:hAnsi="Times New Roman" w:eastAsia="仿宋_GB2312" w:cs="Times New Roman"/>
          <w:i w:val="0"/>
          <w:caps w:val="0"/>
          <w:color w:val="auto"/>
          <w:spacing w:val="0"/>
          <w:kern w:val="0"/>
          <w:sz w:val="32"/>
          <w:szCs w:val="32"/>
          <w:lang w:val="en-US" w:eastAsia="zh-CN" w:bidi="ar"/>
        </w:rPr>
        <w:t>信息10955条，较去年增</w:t>
      </w:r>
      <w:r>
        <w:rPr>
          <w:rFonts w:hint="default" w:ascii="Times New Roman" w:hAnsi="Times New Roman" w:eastAsia="仿宋_GB2312" w:cs="Times New Roman"/>
          <w:b w:val="0"/>
          <w:bCs/>
          <w:color w:val="auto"/>
          <w:sz w:val="32"/>
          <w:szCs w:val="32"/>
          <w:lang w:val="en-US" w:eastAsia="zh-CN"/>
        </w:rPr>
        <w:t>长12.3%。</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atLeast"/>
        <w:ind w:left="0" w:right="0" w:firstLine="643" w:firstLineChars="200"/>
        <w:jc w:val="left"/>
        <w:textAlignment w:val="auto"/>
        <w:rPr>
          <w:rFonts w:hint="default" w:ascii="Times New Roman" w:hAnsi="Times New Roman" w:eastAsia="微软雅黑" w:cs="Times New Roman"/>
          <w:i w:val="0"/>
          <w:caps w:val="0"/>
          <w:color w:val="auto"/>
          <w:spacing w:val="0"/>
          <w:sz w:val="24"/>
          <w:szCs w:val="24"/>
        </w:rPr>
      </w:pPr>
      <w:r>
        <w:rPr>
          <w:rFonts w:hint="default" w:ascii="Times New Roman" w:hAnsi="Times New Roman" w:eastAsia="仿宋_GB2312" w:cs="Times New Roman"/>
          <w:b/>
          <w:i w:val="0"/>
          <w:caps w:val="0"/>
          <w:color w:val="auto"/>
          <w:spacing w:val="0"/>
          <w:kern w:val="0"/>
          <w:sz w:val="32"/>
          <w:szCs w:val="32"/>
          <w:lang w:val="en-US" w:eastAsia="zh-CN" w:bidi="ar"/>
        </w:rPr>
        <w:t>2.深化重点领域政府信息公开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atLeast"/>
        <w:ind w:left="0" w:right="0" w:firstLine="640" w:firstLineChars="200"/>
        <w:jc w:val="left"/>
        <w:textAlignment w:val="auto"/>
        <w:rPr>
          <w:rFonts w:hint="default" w:ascii="Times New Roman" w:hAnsi="Times New Roman" w:eastAsia="微软雅黑" w:cs="Times New Roman"/>
          <w:i w:val="0"/>
          <w:caps w:val="0"/>
          <w:color w:val="auto"/>
          <w:spacing w:val="0"/>
          <w:sz w:val="24"/>
          <w:szCs w:val="24"/>
        </w:rPr>
      </w:pPr>
      <w:r>
        <w:rPr>
          <w:rFonts w:hint="default" w:ascii="Times New Roman" w:hAnsi="Times New Roman" w:eastAsia="仿宋_GB2312" w:cs="Times New Roman"/>
          <w:i w:val="0"/>
          <w:caps w:val="0"/>
          <w:color w:val="auto"/>
          <w:spacing w:val="0"/>
          <w:kern w:val="0"/>
          <w:sz w:val="32"/>
          <w:szCs w:val="32"/>
          <w:lang w:val="en-US" w:eastAsia="zh-CN" w:bidi="ar"/>
        </w:rPr>
        <w:t>升级</w:t>
      </w:r>
      <w:r>
        <w:rPr>
          <w:rFonts w:hint="eastAsia" w:eastAsia="仿宋_GB2312" w:cs="Times New Roman"/>
          <w:i w:val="0"/>
          <w:caps w:val="0"/>
          <w:color w:val="auto"/>
          <w:spacing w:val="0"/>
          <w:kern w:val="0"/>
          <w:sz w:val="32"/>
          <w:szCs w:val="32"/>
          <w:lang w:val="en-US" w:eastAsia="zh-CN" w:bidi="ar"/>
        </w:rPr>
        <w:t>“</w:t>
      </w:r>
      <w:r>
        <w:rPr>
          <w:rFonts w:hint="default" w:ascii="Times New Roman" w:hAnsi="Times New Roman" w:eastAsia="仿宋_GB2312" w:cs="Times New Roman"/>
          <w:i w:val="0"/>
          <w:caps w:val="0"/>
          <w:color w:val="auto"/>
          <w:spacing w:val="0"/>
          <w:kern w:val="0"/>
          <w:sz w:val="32"/>
          <w:szCs w:val="32"/>
          <w:lang w:val="en-US" w:eastAsia="zh-CN" w:bidi="ar"/>
        </w:rPr>
        <w:t>乳快办</w:t>
      </w:r>
      <w:r>
        <w:rPr>
          <w:rFonts w:hint="eastAsia" w:eastAsia="仿宋_GB2312" w:cs="Times New Roman"/>
          <w:i w:val="0"/>
          <w:caps w:val="0"/>
          <w:color w:val="auto"/>
          <w:spacing w:val="0"/>
          <w:kern w:val="0"/>
          <w:sz w:val="32"/>
          <w:szCs w:val="32"/>
          <w:lang w:val="en-US" w:eastAsia="zh-CN" w:bidi="ar"/>
        </w:rPr>
        <w:t>”</w:t>
      </w:r>
      <w:r>
        <w:rPr>
          <w:rFonts w:hint="default" w:ascii="Times New Roman" w:hAnsi="Times New Roman" w:eastAsia="仿宋_GB2312" w:cs="Times New Roman"/>
          <w:i w:val="0"/>
          <w:caps w:val="0"/>
          <w:color w:val="auto"/>
          <w:spacing w:val="0"/>
          <w:kern w:val="0"/>
          <w:sz w:val="32"/>
          <w:szCs w:val="32"/>
          <w:lang w:val="en-US" w:eastAsia="zh-CN" w:bidi="ar"/>
        </w:rPr>
        <w:t>营商环境、财政预决算、疫情防控等专题12个，新建环境卫生、“新型智慧城市”、政务公开通讯录等专题6个</w:t>
      </w:r>
      <w:r>
        <w:rPr>
          <w:rFonts w:hint="eastAsia" w:eastAsia="仿宋_GB2312" w:cs="Times New Roman"/>
          <w:i w:val="0"/>
          <w:caps w:val="0"/>
          <w:color w:val="auto"/>
          <w:spacing w:val="0"/>
          <w:kern w:val="0"/>
          <w:sz w:val="32"/>
          <w:szCs w:val="32"/>
          <w:lang w:val="en-US" w:eastAsia="zh-CN" w:bidi="ar"/>
        </w:rPr>
        <w:t>，</w:t>
      </w:r>
      <w:r>
        <w:rPr>
          <w:rFonts w:hint="default" w:ascii="Times New Roman" w:hAnsi="Times New Roman" w:eastAsia="仿宋_GB2312" w:cs="Times New Roman"/>
          <w:i w:val="0"/>
          <w:caps w:val="0"/>
          <w:color w:val="auto"/>
          <w:spacing w:val="0"/>
          <w:kern w:val="0"/>
          <w:sz w:val="32"/>
          <w:szCs w:val="32"/>
          <w:lang w:val="en-US" w:eastAsia="zh-CN" w:bidi="ar"/>
        </w:rPr>
        <w:t>加大稳岗就业、医疗卫生等信息公开力度，持续做好义务教育、社会保障、社会救助和养老医疗服务信息公开。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atLeast"/>
        <w:ind w:left="0" w:right="0" w:firstLine="643" w:firstLineChars="200"/>
        <w:jc w:val="left"/>
        <w:textAlignment w:val="auto"/>
        <w:rPr>
          <w:rFonts w:hint="default" w:ascii="Times New Roman" w:hAnsi="Times New Roman" w:eastAsia="仿宋_GB2312" w:cs="Times New Roman"/>
          <w:b/>
          <w:i w:val="0"/>
          <w:caps w:val="0"/>
          <w:color w:val="auto"/>
          <w:spacing w:val="0"/>
          <w:kern w:val="0"/>
          <w:sz w:val="32"/>
          <w:szCs w:val="32"/>
          <w:lang w:val="en-US" w:eastAsia="zh-CN" w:bidi="ar"/>
        </w:rPr>
      </w:pPr>
      <w:r>
        <w:rPr>
          <w:rFonts w:hint="default" w:ascii="Times New Roman" w:hAnsi="Times New Roman" w:eastAsia="仿宋_GB2312" w:cs="Times New Roman"/>
          <w:b/>
          <w:i w:val="0"/>
          <w:caps w:val="0"/>
          <w:color w:val="auto"/>
          <w:spacing w:val="0"/>
          <w:kern w:val="0"/>
          <w:sz w:val="32"/>
          <w:szCs w:val="32"/>
          <w:lang w:val="en-US" w:eastAsia="zh-CN" w:bidi="ar"/>
        </w:rPr>
        <w:t>3.重构公共企事业单位领域信息公开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lang w:val="en-US" w:eastAsia="zh-CN"/>
        </w:rPr>
      </w:pPr>
      <w:r>
        <w:rPr>
          <w:rFonts w:hint="default" w:ascii="Times New Roman" w:hAnsi="Times New Roman" w:eastAsia="仿宋_GB2312" w:cs="Times New Roman"/>
          <w:b w:val="0"/>
          <w:bCs/>
          <w:color w:val="auto"/>
          <w:sz w:val="32"/>
          <w:szCs w:val="32"/>
          <w:lang w:val="en-US" w:eastAsia="zh-CN"/>
        </w:rPr>
        <w:t>结合</w:t>
      </w:r>
      <w:r>
        <w:rPr>
          <w:rFonts w:hint="eastAsia" w:ascii="Times New Roman" w:hAnsi="Times New Roman" w:eastAsia="仿宋_GB2312" w:cs="Times New Roman"/>
          <w:b w:val="0"/>
          <w:bCs/>
          <w:color w:val="auto"/>
          <w:sz w:val="32"/>
          <w:szCs w:val="32"/>
          <w:lang w:val="en-US" w:eastAsia="zh-CN"/>
        </w:rPr>
        <w:t>乳山市</w:t>
      </w:r>
      <w:r>
        <w:rPr>
          <w:rFonts w:hint="default" w:ascii="Times New Roman" w:hAnsi="Times New Roman" w:eastAsia="仿宋_GB2312" w:cs="Times New Roman"/>
          <w:b w:val="0"/>
          <w:bCs/>
          <w:color w:val="auto"/>
          <w:sz w:val="32"/>
          <w:szCs w:val="32"/>
          <w:lang w:val="en-US" w:eastAsia="zh-CN"/>
        </w:rPr>
        <w:t>工作实际，</w:t>
      </w:r>
      <w:r>
        <w:rPr>
          <w:rFonts w:hint="eastAsia" w:ascii="Times New Roman" w:hAnsi="Times New Roman" w:eastAsia="仿宋_GB2312" w:cs="Times New Roman"/>
          <w:b w:val="0"/>
          <w:bCs/>
          <w:color w:val="auto"/>
          <w:sz w:val="32"/>
          <w:szCs w:val="32"/>
          <w:lang w:val="en-US" w:eastAsia="zh-CN"/>
        </w:rPr>
        <w:t>重构</w:t>
      </w:r>
      <w:r>
        <w:rPr>
          <w:rFonts w:hint="default" w:ascii="Times New Roman" w:hAnsi="Times New Roman" w:eastAsia="仿宋_GB2312" w:cs="Times New Roman"/>
          <w:b w:val="0"/>
          <w:bCs/>
          <w:color w:val="auto"/>
          <w:sz w:val="32"/>
          <w:szCs w:val="32"/>
          <w:lang w:eastAsia="zh-CN"/>
        </w:rPr>
        <w:t>教育领域</w:t>
      </w:r>
      <w:r>
        <w:rPr>
          <w:rFonts w:hint="default" w:ascii="Times New Roman" w:hAnsi="Times New Roman" w:eastAsia="仿宋_GB2312" w:cs="Times New Roman"/>
          <w:b w:val="0"/>
          <w:bCs/>
          <w:color w:val="auto"/>
          <w:sz w:val="32"/>
          <w:szCs w:val="32"/>
          <w:lang w:val="en-US" w:eastAsia="zh-CN"/>
        </w:rPr>
        <w:t>、卫生健康领域</w:t>
      </w:r>
      <w:r>
        <w:rPr>
          <w:rFonts w:hint="eastAsia"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公共交通</w:t>
      </w:r>
      <w:r>
        <w:rPr>
          <w:rFonts w:hint="eastAsia" w:eastAsia="仿宋_GB2312" w:cs="Times New Roman"/>
          <w:b w:val="0"/>
          <w:bCs/>
          <w:color w:val="auto"/>
          <w:sz w:val="32"/>
          <w:szCs w:val="32"/>
          <w:lang w:val="en-US" w:eastAsia="zh-CN"/>
        </w:rPr>
        <w:t>领域</w:t>
      </w:r>
      <w:r>
        <w:rPr>
          <w:rFonts w:hint="default" w:ascii="Times New Roman" w:hAnsi="Times New Roman" w:eastAsia="仿宋_GB2312" w:cs="Times New Roman"/>
          <w:b w:val="0"/>
          <w:bCs/>
          <w:color w:val="auto"/>
          <w:sz w:val="32"/>
          <w:szCs w:val="32"/>
          <w:lang w:val="en-US" w:eastAsia="zh-CN"/>
        </w:rPr>
        <w:t>“线上”公共企事业单位专题，</w:t>
      </w:r>
      <w:r>
        <w:rPr>
          <w:rFonts w:hint="eastAsia" w:eastAsia="仿宋_GB2312" w:cs="Times New Roman"/>
          <w:b w:val="0"/>
          <w:bCs/>
          <w:color w:val="auto"/>
          <w:sz w:val="32"/>
          <w:szCs w:val="32"/>
          <w:lang w:val="en-US" w:eastAsia="zh-CN"/>
        </w:rPr>
        <w:t>同时</w:t>
      </w:r>
      <w:r>
        <w:rPr>
          <w:rFonts w:hint="default" w:ascii="Times New Roman" w:hAnsi="Times New Roman" w:eastAsia="仿宋_GB2312" w:cs="Times New Roman"/>
          <w:b w:val="0"/>
          <w:bCs/>
          <w:color w:val="auto"/>
          <w:sz w:val="32"/>
          <w:szCs w:val="32"/>
          <w:lang w:val="en-US" w:eastAsia="zh-CN"/>
        </w:rPr>
        <w:t>紧抓公共企事业“线下”便民服务，随时走访督导检查，确保各项便民服务落实落地，实现公共企事业单位公开信息服务于民。</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微软雅黑" w:cs="Times New Roman"/>
          <w:i w:val="0"/>
          <w:caps w:val="0"/>
          <w:color w:val="auto"/>
          <w:spacing w:val="0"/>
          <w:sz w:val="24"/>
          <w:szCs w:val="24"/>
        </w:rPr>
      </w:pPr>
      <w:r>
        <w:rPr>
          <w:rFonts w:hint="default" w:ascii="Times New Roman" w:hAnsi="Times New Roman" w:eastAsia="楷体_GB2312" w:cs="Times New Roman"/>
          <w:i w:val="0"/>
          <w:caps w:val="0"/>
          <w:color w:val="auto"/>
          <w:spacing w:val="0"/>
          <w:kern w:val="0"/>
          <w:sz w:val="32"/>
          <w:szCs w:val="32"/>
          <w:lang w:val="en-US" w:eastAsia="zh-CN" w:bidi="ar"/>
        </w:rPr>
        <w:t>（二）依申请公开情况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eastAsia" w:eastAsia="方正小标宋简体"/>
          <w:lang w:eastAsia="zh-CN"/>
        </w:rPr>
      </w:pPr>
      <w:r>
        <w:rPr>
          <w:rFonts w:hint="default" w:ascii="Times New Roman" w:hAnsi="Times New Roman" w:eastAsia="仿宋_GB2312" w:cs="Times New Roman"/>
          <w:i w:val="0"/>
          <w:iCs w:val="0"/>
          <w:caps w:val="0"/>
          <w:color w:val="auto"/>
          <w:spacing w:val="0"/>
          <w:sz w:val="32"/>
          <w:szCs w:val="32"/>
          <w:highlight w:val="none"/>
          <w:lang w:val="en" w:eastAsia="zh-CN"/>
        </w:rPr>
        <w:t>202</w:t>
      </w:r>
      <w:r>
        <w:rPr>
          <w:rFonts w:hint="default" w:ascii="Times New Roman" w:hAnsi="Times New Roman" w:eastAsia="仿宋_GB2312" w:cs="Times New Roman"/>
          <w:i w:val="0"/>
          <w:iCs w:val="0"/>
          <w:caps w:val="0"/>
          <w:color w:val="auto"/>
          <w:spacing w:val="0"/>
          <w:sz w:val="32"/>
          <w:szCs w:val="32"/>
          <w:highlight w:val="none"/>
          <w:lang w:val="en-US" w:eastAsia="zh-CN"/>
        </w:rPr>
        <w:t>2年以来，</w:t>
      </w:r>
      <w:r>
        <w:rPr>
          <w:rFonts w:hint="default" w:ascii="Times New Roman" w:hAnsi="Times New Roman" w:eastAsia="仿宋_GB2312" w:cs="Times New Roman"/>
          <w:i w:val="0"/>
          <w:caps w:val="0"/>
          <w:color w:val="auto"/>
          <w:spacing w:val="0"/>
          <w:kern w:val="0"/>
          <w:sz w:val="32"/>
          <w:szCs w:val="32"/>
          <w:lang w:val="en-US" w:eastAsia="zh-CN" w:bidi="ar"/>
        </w:rPr>
        <w:t>全</w:t>
      </w:r>
      <w:r>
        <w:rPr>
          <w:rFonts w:hint="default" w:ascii="Times New Roman" w:hAnsi="Times New Roman" w:eastAsia="仿宋_GB2312" w:cs="Times New Roman"/>
          <w:i w:val="0"/>
          <w:caps w:val="0"/>
          <w:color w:val="auto"/>
          <w:spacing w:val="0"/>
          <w:kern w:val="0"/>
          <w:sz w:val="32"/>
          <w:szCs w:val="32"/>
          <w:highlight w:val="none"/>
          <w:lang w:val="en-US" w:eastAsia="zh-CN" w:bidi="ar"/>
        </w:rPr>
        <w:t>市共</w:t>
      </w:r>
      <w:r>
        <w:rPr>
          <w:rFonts w:hint="eastAsia" w:eastAsia="仿宋_GB2312" w:cs="Times New Roman"/>
          <w:i w:val="0"/>
          <w:caps w:val="0"/>
          <w:color w:val="auto"/>
          <w:spacing w:val="0"/>
          <w:kern w:val="0"/>
          <w:sz w:val="32"/>
          <w:szCs w:val="32"/>
          <w:highlight w:val="none"/>
          <w:lang w:val="en-US" w:eastAsia="zh-CN" w:bidi="ar"/>
        </w:rPr>
        <w:t>办理</w:t>
      </w:r>
      <w:r>
        <w:rPr>
          <w:rFonts w:hint="default" w:ascii="Times New Roman" w:hAnsi="Times New Roman" w:eastAsia="仿宋_GB2312" w:cs="Times New Roman"/>
          <w:i w:val="0"/>
          <w:caps w:val="0"/>
          <w:color w:val="auto"/>
          <w:spacing w:val="0"/>
          <w:kern w:val="0"/>
          <w:sz w:val="32"/>
          <w:szCs w:val="32"/>
          <w:highlight w:val="none"/>
          <w:lang w:val="en-US" w:eastAsia="zh-CN" w:bidi="ar"/>
        </w:rPr>
        <w:t>信</w:t>
      </w:r>
      <w:r>
        <w:rPr>
          <w:rFonts w:hint="default" w:ascii="Times New Roman" w:hAnsi="Times New Roman" w:eastAsia="仿宋_GB2312" w:cs="Times New Roman"/>
          <w:i w:val="0"/>
          <w:caps w:val="0"/>
          <w:color w:val="auto"/>
          <w:spacing w:val="0"/>
          <w:kern w:val="0"/>
          <w:sz w:val="32"/>
          <w:szCs w:val="32"/>
          <w:lang w:val="en-US" w:eastAsia="zh-CN" w:bidi="ar"/>
        </w:rPr>
        <w:t>息公开申请52件，申请内容</w:t>
      </w:r>
      <w:r>
        <w:rPr>
          <w:rFonts w:hint="eastAsia" w:eastAsia="仿宋_GB2312" w:cs="Times New Roman"/>
          <w:i w:val="0"/>
          <w:caps w:val="0"/>
          <w:color w:val="auto"/>
          <w:spacing w:val="0"/>
          <w:kern w:val="0"/>
          <w:sz w:val="32"/>
          <w:szCs w:val="32"/>
          <w:lang w:val="en-US" w:eastAsia="zh-CN" w:bidi="ar"/>
        </w:rPr>
        <w:t>多</w:t>
      </w:r>
      <w:r>
        <w:rPr>
          <w:rFonts w:hint="default" w:ascii="Times New Roman" w:hAnsi="Times New Roman" w:eastAsia="仿宋_GB2312" w:cs="Times New Roman"/>
          <w:i w:val="0"/>
          <w:caps w:val="0"/>
          <w:color w:val="auto"/>
          <w:spacing w:val="0"/>
          <w:kern w:val="0"/>
          <w:sz w:val="32"/>
          <w:szCs w:val="32"/>
          <w:lang w:val="en-US" w:eastAsia="zh-CN" w:bidi="ar"/>
        </w:rPr>
        <w:t>涉及土地征收</w:t>
      </w:r>
      <w:r>
        <w:rPr>
          <w:rFonts w:hint="eastAsia" w:eastAsia="仿宋_GB2312" w:cs="Times New Roman"/>
          <w:i w:val="0"/>
          <w:caps w:val="0"/>
          <w:color w:val="auto"/>
          <w:spacing w:val="0"/>
          <w:kern w:val="0"/>
          <w:sz w:val="32"/>
          <w:szCs w:val="32"/>
          <w:lang w:val="en-US" w:eastAsia="zh-CN" w:bidi="ar"/>
        </w:rPr>
        <w:t>、物业服务、政策咨询等</w:t>
      </w:r>
      <w:r>
        <w:rPr>
          <w:rFonts w:hint="default" w:ascii="Times New Roman" w:hAnsi="Times New Roman" w:eastAsia="仿宋_GB2312" w:cs="Times New Roman"/>
          <w:i w:val="0"/>
          <w:caps w:val="0"/>
          <w:color w:val="auto"/>
          <w:spacing w:val="0"/>
          <w:kern w:val="0"/>
          <w:sz w:val="32"/>
          <w:szCs w:val="32"/>
          <w:lang w:val="en-US" w:eastAsia="zh-CN" w:bidi="ar"/>
        </w:rPr>
        <w:t>方面，无因依申请公开工作引发行政复议案件，行政诉讼案件1件，结果维持1件。</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微软雅黑" w:cs="Times New Roman"/>
          <w:i w:val="0"/>
          <w:caps w:val="0"/>
          <w:color w:val="auto"/>
          <w:spacing w:val="0"/>
          <w:sz w:val="24"/>
          <w:szCs w:val="24"/>
        </w:rPr>
      </w:pPr>
      <w:r>
        <w:rPr>
          <w:rFonts w:hint="default" w:ascii="Times New Roman" w:hAnsi="Times New Roman" w:eastAsia="楷体_GB2312" w:cs="Times New Roman"/>
          <w:i w:val="0"/>
          <w:caps w:val="0"/>
          <w:color w:val="auto"/>
          <w:spacing w:val="0"/>
          <w:kern w:val="0"/>
          <w:sz w:val="32"/>
          <w:szCs w:val="32"/>
          <w:lang w:val="en-US" w:eastAsia="zh-CN" w:bidi="ar"/>
        </w:rPr>
        <w:t>（三）政府信息管理情况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仿宋_GB2312" w:cs="Times New Roman"/>
          <w:i w:val="0"/>
          <w:caps w:val="0"/>
          <w:color w:val="auto"/>
          <w:spacing w:val="0"/>
          <w:kern w:val="0"/>
          <w:sz w:val="32"/>
          <w:szCs w:val="32"/>
          <w:lang w:val="en-US" w:eastAsia="zh-CN" w:bidi="ar"/>
        </w:rPr>
      </w:pPr>
      <w:r>
        <w:rPr>
          <w:rFonts w:hint="default" w:ascii="Times New Roman" w:hAnsi="Times New Roman" w:eastAsia="仿宋_GB2312" w:cs="Times New Roman"/>
          <w:i w:val="0"/>
          <w:caps w:val="0"/>
          <w:color w:val="auto"/>
          <w:spacing w:val="0"/>
          <w:kern w:val="0"/>
          <w:sz w:val="32"/>
          <w:szCs w:val="32"/>
          <w:highlight w:val="none"/>
          <w:lang w:val="en-US" w:eastAsia="zh-CN" w:bidi="ar"/>
        </w:rPr>
        <w:t>定期督导检查保密审查</w:t>
      </w:r>
      <w:r>
        <w:rPr>
          <w:rFonts w:hint="eastAsia" w:eastAsia="仿宋_GB2312" w:cs="Times New Roman"/>
          <w:i w:val="0"/>
          <w:caps w:val="0"/>
          <w:color w:val="auto"/>
          <w:spacing w:val="0"/>
          <w:kern w:val="0"/>
          <w:sz w:val="32"/>
          <w:szCs w:val="32"/>
          <w:highlight w:val="none"/>
          <w:lang w:val="en-US" w:eastAsia="zh-CN" w:bidi="ar"/>
        </w:rPr>
        <w:t>工作</w:t>
      </w:r>
      <w:r>
        <w:rPr>
          <w:rFonts w:hint="default" w:ascii="Times New Roman" w:hAnsi="Times New Roman" w:eastAsia="仿宋_GB2312" w:cs="Times New Roman"/>
          <w:i w:val="0"/>
          <w:caps w:val="0"/>
          <w:color w:val="auto"/>
          <w:spacing w:val="0"/>
          <w:kern w:val="0"/>
          <w:sz w:val="32"/>
          <w:szCs w:val="32"/>
          <w:highlight w:val="none"/>
          <w:lang w:val="en-US" w:eastAsia="zh-CN" w:bidi="ar"/>
        </w:rPr>
        <w:t>落实情况，确保</w:t>
      </w:r>
      <w:r>
        <w:rPr>
          <w:rFonts w:hint="eastAsia" w:eastAsia="仿宋_GB2312" w:cs="Times New Roman"/>
          <w:i w:val="0"/>
          <w:caps w:val="0"/>
          <w:color w:val="auto"/>
          <w:spacing w:val="0"/>
          <w:kern w:val="0"/>
          <w:sz w:val="32"/>
          <w:szCs w:val="32"/>
          <w:highlight w:val="none"/>
          <w:lang w:val="en-US" w:eastAsia="zh-CN" w:bidi="ar"/>
        </w:rPr>
        <w:t>信息</w:t>
      </w:r>
      <w:r>
        <w:rPr>
          <w:rFonts w:hint="default" w:ascii="Times New Roman" w:hAnsi="Times New Roman" w:eastAsia="仿宋_GB2312" w:cs="Times New Roman"/>
          <w:i w:val="0"/>
          <w:caps w:val="0"/>
          <w:color w:val="auto"/>
          <w:spacing w:val="0"/>
          <w:kern w:val="0"/>
          <w:sz w:val="32"/>
          <w:szCs w:val="32"/>
          <w:highlight w:val="none"/>
          <w:lang w:val="en-US" w:eastAsia="zh-CN" w:bidi="ar"/>
        </w:rPr>
        <w:t>应公开尽公开的同时不泄密。配合山东省政府优化政策文件集中管理平台，将各类文件依据类型、主题、年份多维度分类，配合威海市政府梳理历年依申请公开件，归集依申请公开历史数据，实施数字化管理各类政府</w:t>
      </w:r>
      <w:r>
        <w:rPr>
          <w:rFonts w:hint="eastAsia" w:eastAsia="仿宋_GB2312" w:cs="Times New Roman"/>
          <w:i w:val="0"/>
          <w:caps w:val="0"/>
          <w:color w:val="auto"/>
          <w:spacing w:val="0"/>
          <w:kern w:val="0"/>
          <w:sz w:val="32"/>
          <w:szCs w:val="32"/>
          <w:highlight w:val="none"/>
          <w:lang w:val="en-US" w:eastAsia="zh-CN" w:bidi="ar"/>
        </w:rPr>
        <w:t>信息</w:t>
      </w:r>
      <w:r>
        <w:rPr>
          <w:rFonts w:hint="default" w:ascii="Times New Roman" w:hAnsi="Times New Roman" w:eastAsia="仿宋_GB2312" w:cs="Times New Roman"/>
          <w:i w:val="0"/>
          <w:caps w:val="0"/>
          <w:color w:val="auto"/>
          <w:spacing w:val="0"/>
          <w:kern w:val="0"/>
          <w:sz w:val="32"/>
          <w:szCs w:val="32"/>
          <w:highlight w:val="none"/>
          <w:lang w:val="en-US" w:eastAsia="zh-CN" w:bidi="ar"/>
        </w:rPr>
        <w:t>。</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楷体_GB2312" w:cs="Times New Roman"/>
          <w:i w:val="0"/>
          <w:caps w:val="0"/>
          <w:color w:val="auto"/>
          <w:spacing w:val="0"/>
          <w:kern w:val="0"/>
          <w:sz w:val="32"/>
          <w:szCs w:val="32"/>
          <w:lang w:val="en-US" w:eastAsia="zh-CN" w:bidi="ar"/>
        </w:rPr>
      </w:pPr>
      <w:r>
        <w:rPr>
          <w:rFonts w:hint="default" w:ascii="Times New Roman" w:hAnsi="Times New Roman" w:eastAsia="楷体_GB2312" w:cs="Times New Roman"/>
          <w:i w:val="0"/>
          <w:caps w:val="0"/>
          <w:color w:val="auto"/>
          <w:spacing w:val="0"/>
          <w:kern w:val="0"/>
          <w:sz w:val="32"/>
          <w:szCs w:val="32"/>
          <w:lang w:val="en-US" w:eastAsia="zh-CN" w:bidi="ar"/>
        </w:rPr>
        <w:t>（四）政府信息公开平台建设</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lang w:val="en-US" w:eastAsia="zh-CN"/>
        </w:rPr>
      </w:pPr>
      <w:r>
        <w:rPr>
          <w:rFonts w:hint="eastAsia" w:eastAsia="仿宋_GB2312" w:cs="Times New Roman"/>
          <w:i w:val="0"/>
          <w:caps w:val="0"/>
          <w:color w:val="auto"/>
          <w:spacing w:val="0"/>
          <w:kern w:val="0"/>
          <w:sz w:val="32"/>
          <w:szCs w:val="32"/>
          <w:lang w:val="en-US" w:eastAsia="zh-CN" w:bidi="ar"/>
        </w:rPr>
        <w:t>一是完成</w:t>
      </w:r>
      <w:r>
        <w:rPr>
          <w:rFonts w:hint="default" w:ascii="Times New Roman" w:hAnsi="Times New Roman" w:eastAsia="仿宋_GB2312" w:cs="Times New Roman"/>
          <w:i w:val="0"/>
          <w:caps w:val="0"/>
          <w:color w:val="auto"/>
          <w:spacing w:val="0"/>
          <w:kern w:val="0"/>
          <w:sz w:val="32"/>
          <w:szCs w:val="32"/>
          <w:lang w:val="en-US" w:eastAsia="zh-CN" w:bidi="ar"/>
        </w:rPr>
        <w:t>政府网站无障碍改造建设</w:t>
      </w:r>
      <w:r>
        <w:rPr>
          <w:rFonts w:hint="eastAsia" w:ascii="Times New Roman" w:hAnsi="Times New Roman" w:eastAsia="仿宋_GB2312" w:cs="Times New Roman"/>
          <w:i w:val="0"/>
          <w:caps w:val="0"/>
          <w:color w:val="auto"/>
          <w:spacing w:val="0"/>
          <w:kern w:val="0"/>
          <w:sz w:val="32"/>
          <w:szCs w:val="32"/>
          <w:lang w:val="en-US" w:eastAsia="zh-CN" w:bidi="ar"/>
        </w:rPr>
        <w:t>。</w:t>
      </w:r>
      <w:r>
        <w:rPr>
          <w:rFonts w:hint="default" w:ascii="Times New Roman" w:hAnsi="Times New Roman" w:eastAsia="仿宋_GB2312" w:cs="Times New Roman"/>
          <w:i w:val="0"/>
          <w:caps w:val="0"/>
          <w:color w:val="auto"/>
          <w:spacing w:val="0"/>
          <w:kern w:val="0"/>
          <w:sz w:val="32"/>
          <w:szCs w:val="32"/>
          <w:lang w:val="en-US" w:eastAsia="zh-CN" w:bidi="ar"/>
        </w:rPr>
        <w:t>以残疾人等特殊群体需求为导向，</w:t>
      </w:r>
      <w:r>
        <w:rPr>
          <w:rFonts w:hint="eastAsia" w:eastAsia="仿宋_GB2312" w:cs="Times New Roman"/>
          <w:i w:val="0"/>
          <w:caps w:val="0"/>
          <w:color w:val="auto"/>
          <w:spacing w:val="0"/>
          <w:kern w:val="0"/>
          <w:sz w:val="32"/>
          <w:szCs w:val="32"/>
          <w:lang w:val="en-US" w:eastAsia="zh-CN" w:bidi="ar"/>
        </w:rPr>
        <w:t>采用</w:t>
      </w:r>
      <w:r>
        <w:rPr>
          <w:rFonts w:hint="default" w:ascii="Times New Roman" w:hAnsi="Times New Roman" w:eastAsia="仿宋_GB2312" w:cs="Times New Roman"/>
          <w:i w:val="0"/>
          <w:caps w:val="0"/>
          <w:color w:val="auto"/>
          <w:spacing w:val="0"/>
          <w:kern w:val="0"/>
          <w:sz w:val="32"/>
          <w:szCs w:val="32"/>
          <w:lang w:val="en-US" w:eastAsia="zh-CN" w:bidi="ar"/>
        </w:rPr>
        <w:t>语音阅读引导操作</w:t>
      </w:r>
      <w:r>
        <w:rPr>
          <w:rFonts w:hint="eastAsia" w:ascii="Times New Roman" w:hAnsi="Times New Roman" w:eastAsia="仿宋_GB2312" w:cs="Times New Roman"/>
          <w:i w:val="0"/>
          <w:caps w:val="0"/>
          <w:color w:val="auto"/>
          <w:spacing w:val="0"/>
          <w:kern w:val="0"/>
          <w:sz w:val="32"/>
          <w:szCs w:val="32"/>
          <w:lang w:val="en-US" w:eastAsia="zh-CN" w:bidi="ar"/>
        </w:rPr>
        <w:t>，</w:t>
      </w:r>
      <w:r>
        <w:rPr>
          <w:rFonts w:hint="default" w:ascii="Times New Roman" w:hAnsi="Times New Roman" w:eastAsia="仿宋_GB2312" w:cs="Times New Roman"/>
          <w:i w:val="0"/>
          <w:caps w:val="0"/>
          <w:color w:val="auto"/>
          <w:spacing w:val="0"/>
          <w:kern w:val="0"/>
          <w:sz w:val="32"/>
          <w:szCs w:val="32"/>
          <w:lang w:val="en-US" w:eastAsia="zh-CN" w:bidi="ar"/>
        </w:rPr>
        <w:t>帮助特殊群体便捷、高效地获取政务信息。</w:t>
      </w:r>
      <w:r>
        <w:rPr>
          <w:rFonts w:hint="eastAsia" w:eastAsia="仿宋_GB2312" w:cs="Times New Roman"/>
          <w:i w:val="0"/>
          <w:caps w:val="0"/>
          <w:color w:val="auto"/>
          <w:spacing w:val="0"/>
          <w:kern w:val="0"/>
          <w:sz w:val="32"/>
          <w:szCs w:val="32"/>
          <w:lang w:val="en-US" w:eastAsia="zh-CN" w:bidi="ar"/>
        </w:rPr>
        <w:t>二是清理政务新媒体冗余账号，</w:t>
      </w:r>
      <w:r>
        <w:rPr>
          <w:rFonts w:hint="default" w:ascii="Times New Roman" w:hAnsi="Times New Roman" w:eastAsia="仿宋_GB2312" w:cs="Times New Roman"/>
          <w:i w:val="0"/>
          <w:caps w:val="0"/>
          <w:color w:val="auto"/>
          <w:spacing w:val="0"/>
          <w:kern w:val="0"/>
          <w:sz w:val="32"/>
          <w:szCs w:val="32"/>
          <w:lang w:val="en-US" w:eastAsia="zh-CN" w:bidi="ar"/>
        </w:rPr>
        <w:t>整合关停政务新媒体账号20个，开展泄露个人信息等专项整治活动8次，不断提升全市政务新媒体</w:t>
      </w:r>
      <w:r>
        <w:rPr>
          <w:rFonts w:hint="eastAsia" w:eastAsia="仿宋_GB2312" w:cs="Times New Roman"/>
          <w:i w:val="0"/>
          <w:caps w:val="0"/>
          <w:color w:val="auto"/>
          <w:spacing w:val="0"/>
          <w:kern w:val="0"/>
          <w:sz w:val="32"/>
          <w:szCs w:val="32"/>
          <w:lang w:val="en-US" w:eastAsia="zh-CN" w:bidi="ar"/>
        </w:rPr>
        <w:t>平台</w:t>
      </w:r>
      <w:r>
        <w:rPr>
          <w:rFonts w:hint="default" w:ascii="Times New Roman" w:hAnsi="Times New Roman" w:eastAsia="仿宋_GB2312" w:cs="Times New Roman"/>
          <w:i w:val="0"/>
          <w:caps w:val="0"/>
          <w:color w:val="auto"/>
          <w:spacing w:val="0"/>
          <w:kern w:val="0"/>
          <w:sz w:val="32"/>
          <w:szCs w:val="32"/>
          <w:lang w:val="en-US" w:eastAsia="zh-CN" w:bidi="ar"/>
        </w:rPr>
        <w:t>服务效能。</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微软雅黑" w:cs="Times New Roman"/>
          <w:i w:val="0"/>
          <w:caps w:val="0"/>
          <w:color w:val="auto"/>
          <w:spacing w:val="0"/>
          <w:sz w:val="24"/>
          <w:szCs w:val="24"/>
        </w:rPr>
      </w:pPr>
      <w:r>
        <w:rPr>
          <w:rFonts w:hint="default" w:ascii="Times New Roman" w:hAnsi="Times New Roman" w:eastAsia="楷体_GB2312" w:cs="Times New Roman"/>
          <w:i w:val="0"/>
          <w:caps w:val="0"/>
          <w:color w:val="auto"/>
          <w:spacing w:val="0"/>
          <w:kern w:val="0"/>
          <w:sz w:val="32"/>
          <w:szCs w:val="32"/>
          <w:lang w:val="en-US" w:eastAsia="zh-CN" w:bidi="ar"/>
        </w:rPr>
        <w:t>（五）监督保障情况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微软雅黑" w:cs="Times New Roman"/>
          <w:i w:val="0"/>
          <w:caps w:val="0"/>
          <w:color w:val="auto"/>
          <w:spacing w:val="0"/>
          <w:sz w:val="24"/>
          <w:szCs w:val="24"/>
        </w:rPr>
      </w:pPr>
      <w:r>
        <w:rPr>
          <w:rFonts w:hint="default" w:ascii="Times New Roman" w:hAnsi="Times New Roman" w:eastAsia="仿宋_GB2312" w:cs="Times New Roman"/>
          <w:i w:val="0"/>
          <w:caps w:val="0"/>
          <w:color w:val="auto"/>
          <w:spacing w:val="0"/>
          <w:kern w:val="0"/>
          <w:sz w:val="32"/>
          <w:szCs w:val="32"/>
          <w:lang w:val="en-US" w:eastAsia="zh-CN" w:bidi="ar"/>
        </w:rPr>
        <w:t>将政务公开纳入全市高质量发展考核，</w:t>
      </w:r>
      <w:r>
        <w:rPr>
          <w:rFonts w:hint="eastAsia" w:ascii="Times New Roman" w:hAnsi="Times New Roman" w:eastAsia="仿宋_GB2312" w:cs="Times New Roman"/>
          <w:color w:val="auto"/>
          <w:sz w:val="32"/>
          <w:szCs w:val="32"/>
          <w:lang w:val="en-US" w:eastAsia="zh-CN"/>
        </w:rPr>
        <w:t>采用“月度通报，季度分析问题”的方式对全市政务公开工作常态化监管</w:t>
      </w:r>
      <w:r>
        <w:rPr>
          <w:rFonts w:hint="default" w:ascii="Times New Roman" w:hAnsi="Times New Roman" w:eastAsia="仿宋_GB2312" w:cs="Times New Roman"/>
          <w:i w:val="0"/>
          <w:caps w:val="0"/>
          <w:color w:val="auto"/>
          <w:spacing w:val="0"/>
          <w:kern w:val="0"/>
          <w:sz w:val="32"/>
          <w:szCs w:val="32"/>
          <w:lang w:val="en-US" w:eastAsia="zh-CN" w:bidi="ar"/>
        </w:rPr>
        <w:t>，</w:t>
      </w:r>
      <w:r>
        <w:rPr>
          <w:rFonts w:hint="eastAsia" w:eastAsia="仿宋_GB2312" w:cs="Times New Roman"/>
          <w:i w:val="0"/>
          <w:caps w:val="0"/>
          <w:color w:val="auto"/>
          <w:spacing w:val="0"/>
          <w:kern w:val="0"/>
          <w:sz w:val="32"/>
          <w:szCs w:val="32"/>
          <w:lang w:val="en-US" w:eastAsia="zh-CN" w:bidi="ar"/>
        </w:rPr>
        <w:t>全年</w:t>
      </w:r>
      <w:r>
        <w:rPr>
          <w:rFonts w:hint="eastAsia" w:ascii="Times New Roman" w:hAnsi="Times New Roman" w:eastAsia="仿宋_GB2312" w:cs="Times New Roman"/>
          <w:color w:val="auto"/>
          <w:sz w:val="32"/>
          <w:szCs w:val="32"/>
          <w:highlight w:val="none"/>
          <w:lang w:val="en-US" w:eastAsia="zh-CN"/>
        </w:rPr>
        <w:t>组织业务人员集中培训2次，点对点轮训4次，</w:t>
      </w:r>
      <w:r>
        <w:rPr>
          <w:rFonts w:hint="default" w:ascii="Times New Roman" w:hAnsi="Times New Roman" w:eastAsia="仿宋_GB2312" w:cs="Times New Roman"/>
          <w:i w:val="0"/>
          <w:caps w:val="0"/>
          <w:color w:val="auto"/>
          <w:spacing w:val="0"/>
          <w:kern w:val="0"/>
          <w:sz w:val="32"/>
          <w:szCs w:val="32"/>
          <w:lang w:val="en-US" w:eastAsia="zh-CN" w:bidi="ar"/>
        </w:rPr>
        <w:t>切实提升全市政务公开工作水平。</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黑体" w:cs="Times New Roman"/>
          <w:b w:val="0"/>
          <w:bCs/>
          <w:i w:val="0"/>
          <w:caps w:val="0"/>
          <w:color w:val="auto"/>
          <w:spacing w:val="0"/>
          <w:sz w:val="32"/>
          <w:szCs w:val="32"/>
          <w:highlight w:val="none"/>
          <w:shd w:val="clear" w:color="auto" w:fill="FFFFFF"/>
        </w:rPr>
      </w:pPr>
      <w:r>
        <w:rPr>
          <w:rFonts w:hint="default" w:ascii="Times New Roman" w:hAnsi="Times New Roman" w:eastAsia="黑体" w:cs="Times New Roman"/>
          <w:b w:val="0"/>
          <w:bCs/>
          <w:i w:val="0"/>
          <w:caps w:val="0"/>
          <w:color w:val="auto"/>
          <w:spacing w:val="0"/>
          <w:sz w:val="32"/>
          <w:szCs w:val="32"/>
          <w:highlight w:val="none"/>
          <w:shd w:val="clear" w:color="auto" w:fill="FFFFFF"/>
          <w:lang w:eastAsia="zh-CN"/>
        </w:rPr>
        <w:t>二、</w:t>
      </w:r>
      <w:r>
        <w:rPr>
          <w:rFonts w:hint="default" w:ascii="Times New Roman" w:hAnsi="Times New Roman" w:eastAsia="黑体" w:cs="Times New Roman"/>
          <w:b w:val="0"/>
          <w:bCs/>
          <w:i w:val="0"/>
          <w:caps w:val="0"/>
          <w:color w:val="auto"/>
          <w:spacing w:val="0"/>
          <w:sz w:val="32"/>
          <w:szCs w:val="32"/>
          <w:highlight w:val="none"/>
          <w:shd w:val="clear" w:color="auto" w:fill="FFFFFF"/>
        </w:rPr>
        <w:t>主动公开政府信息情况</w:t>
      </w:r>
    </w:p>
    <w:tbl>
      <w:tblPr>
        <w:tblStyle w:val="9"/>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信息内容</w:t>
            </w:r>
          </w:p>
        </w:tc>
        <w:tc>
          <w:tcPr>
            <w:tcW w:w="2435" w:type="dxa"/>
            <w:tcBorders>
              <w:top w:val="single" w:color="auto" w:sz="8" w:space="0"/>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本年制发件数</w:t>
            </w:r>
          </w:p>
        </w:tc>
        <w:tc>
          <w:tcPr>
            <w:tcW w:w="2435" w:type="dxa"/>
            <w:tcBorders>
              <w:top w:val="single" w:color="auto" w:sz="8" w:space="0"/>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本年废止件数</w:t>
            </w:r>
          </w:p>
        </w:tc>
        <w:tc>
          <w:tcPr>
            <w:tcW w:w="2435" w:type="dxa"/>
            <w:tcBorders>
              <w:top w:val="single" w:color="auto" w:sz="8" w:space="0"/>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现行有效件数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规章</w:t>
            </w:r>
          </w:p>
        </w:tc>
        <w:tc>
          <w:tcPr>
            <w:tcW w:w="2435" w:type="dxa"/>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0</w:t>
            </w:r>
          </w:p>
        </w:tc>
        <w:tc>
          <w:tcPr>
            <w:tcW w:w="2435" w:type="dxa"/>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0</w:t>
            </w:r>
          </w:p>
        </w:tc>
        <w:tc>
          <w:tcPr>
            <w:tcW w:w="2435" w:type="dxa"/>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行政规范性文件</w:t>
            </w:r>
          </w:p>
        </w:tc>
        <w:tc>
          <w:tcPr>
            <w:tcW w:w="2435" w:type="dxa"/>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2</w:t>
            </w:r>
          </w:p>
        </w:tc>
        <w:tc>
          <w:tcPr>
            <w:tcW w:w="2435" w:type="dxa"/>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16</w:t>
            </w:r>
          </w:p>
        </w:tc>
        <w:tc>
          <w:tcPr>
            <w:tcW w:w="2435" w:type="dxa"/>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信息内容</w:t>
            </w:r>
          </w:p>
        </w:tc>
        <w:tc>
          <w:tcPr>
            <w:tcW w:w="7305" w:type="dxa"/>
            <w:gridSpan w:val="3"/>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行政许可</w:t>
            </w:r>
          </w:p>
        </w:tc>
        <w:tc>
          <w:tcPr>
            <w:tcW w:w="7305" w:type="dxa"/>
            <w:gridSpan w:val="3"/>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193998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信息内容</w:t>
            </w:r>
          </w:p>
        </w:tc>
        <w:tc>
          <w:tcPr>
            <w:tcW w:w="7305" w:type="dxa"/>
            <w:gridSpan w:val="3"/>
            <w:tcBorders>
              <w:top w:val="single" w:color="auto" w:sz="8" w:space="0"/>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行政处罚</w:t>
            </w:r>
          </w:p>
        </w:tc>
        <w:tc>
          <w:tcPr>
            <w:tcW w:w="7305" w:type="dxa"/>
            <w:gridSpan w:val="3"/>
            <w:tcBorders>
              <w:top w:val="nil"/>
              <w:left w:val="nil"/>
              <w:bottom w:val="single" w:color="auto" w:sz="8" w:space="0"/>
              <w:right w:val="single" w:color="auto" w:sz="8" w:space="0"/>
            </w:tcBorders>
            <w:noWrap w:val="0"/>
            <w:tcMar>
              <w:left w:w="57" w:type="dxa"/>
              <w:right w:w="57" w:type="dxa"/>
            </w:tcMar>
            <w:vAlign w:val="center"/>
          </w:tcPr>
          <w:p>
            <w:pPr>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211368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行政强制</w:t>
            </w:r>
          </w:p>
        </w:tc>
        <w:tc>
          <w:tcPr>
            <w:tcW w:w="7305" w:type="dxa"/>
            <w:gridSpan w:val="3"/>
            <w:tcBorders>
              <w:top w:val="nil"/>
              <w:left w:val="nil"/>
              <w:bottom w:val="single" w:color="auto" w:sz="8" w:space="0"/>
              <w:right w:val="single" w:color="auto" w:sz="8" w:space="0"/>
            </w:tcBorders>
            <w:noWrap w:val="0"/>
            <w:tcMar>
              <w:left w:w="57" w:type="dxa"/>
              <w:right w:w="57" w:type="dxa"/>
            </w:tcMar>
            <w:vAlign w:val="center"/>
          </w:tcPr>
          <w:p>
            <w:pPr>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4354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信息内容</w:t>
            </w:r>
          </w:p>
        </w:tc>
        <w:tc>
          <w:tcPr>
            <w:tcW w:w="7305" w:type="dxa"/>
            <w:gridSpan w:val="3"/>
            <w:tcBorders>
              <w:top w:val="nil"/>
              <w:left w:val="nil"/>
              <w:bottom w:val="single" w:color="auto" w:sz="8" w:space="0"/>
              <w:right w:val="single" w:color="000000"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行政事业性收费</w:t>
            </w:r>
          </w:p>
        </w:tc>
        <w:tc>
          <w:tcPr>
            <w:tcW w:w="7305" w:type="dxa"/>
            <w:gridSpan w:val="3"/>
            <w:tcBorders>
              <w:top w:val="nil"/>
              <w:left w:val="nil"/>
              <w:bottom w:val="single" w:color="auto" w:sz="8" w:space="0"/>
              <w:right w:val="single" w:color="000000" w:sz="8" w:space="0"/>
            </w:tcBorders>
            <w:noWrap w:val="0"/>
            <w:tcMar>
              <w:left w:w="57" w:type="dxa"/>
              <w:right w:w="57" w:type="dxa"/>
            </w:tcMar>
            <w:vAlign w:val="center"/>
          </w:tcPr>
          <w:p>
            <w:pPr>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highlight w:val="none"/>
                <w:lang w:val="en-US" w:eastAsia="zh-CN"/>
              </w:rPr>
              <w:t>1924</w:t>
            </w:r>
          </w:p>
        </w:tc>
      </w:tr>
    </w:tbl>
    <w:p>
      <w:pPr>
        <w:keepNext w:val="0"/>
        <w:keepLines w:val="0"/>
        <w:widowControl/>
        <w:suppressLineNumbers w:val="0"/>
        <w:jc w:val="left"/>
        <w:rPr>
          <w:rFonts w:hint="default" w:ascii="Times New Roman" w:hAnsi="Times New Roman" w:cs="Times New Roman"/>
          <w:color w:val="auto"/>
          <w:highlight w:val="none"/>
        </w:rPr>
      </w:pPr>
    </w:p>
    <w:p>
      <w:pPr>
        <w:pStyle w:val="8"/>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420" w:leftChars="0" w:right="0" w:rightChars="0"/>
        <w:jc w:val="both"/>
        <w:rPr>
          <w:rFonts w:hint="default" w:ascii="Times New Roman" w:hAnsi="Times New Roman" w:eastAsia="黑体" w:cs="Times New Roman"/>
          <w:b w:val="0"/>
          <w:bCs/>
          <w:i w:val="0"/>
          <w:caps w:val="0"/>
          <w:color w:val="auto"/>
          <w:spacing w:val="0"/>
          <w:sz w:val="32"/>
          <w:szCs w:val="32"/>
          <w:highlight w:val="none"/>
          <w:shd w:val="clear" w:color="auto" w:fill="FFFFFF"/>
        </w:rPr>
      </w:pPr>
      <w:r>
        <w:rPr>
          <w:rFonts w:hint="default" w:ascii="Times New Roman" w:hAnsi="Times New Roman" w:eastAsia="黑体" w:cs="Times New Roman"/>
          <w:b w:val="0"/>
          <w:bCs/>
          <w:i w:val="0"/>
          <w:caps w:val="0"/>
          <w:color w:val="auto"/>
          <w:spacing w:val="0"/>
          <w:sz w:val="32"/>
          <w:szCs w:val="32"/>
          <w:highlight w:val="none"/>
          <w:shd w:val="clear" w:color="auto" w:fill="FFFFFF"/>
          <w:lang w:eastAsia="zh-CN"/>
        </w:rPr>
        <w:t>三、</w:t>
      </w:r>
      <w:r>
        <w:rPr>
          <w:rFonts w:hint="default" w:ascii="Times New Roman" w:hAnsi="Times New Roman" w:eastAsia="黑体" w:cs="Times New Roman"/>
          <w:b w:val="0"/>
          <w:bCs/>
          <w:i w:val="0"/>
          <w:caps w:val="0"/>
          <w:color w:val="auto"/>
          <w:spacing w:val="0"/>
          <w:sz w:val="32"/>
          <w:szCs w:val="32"/>
          <w:highlight w:val="none"/>
          <w:shd w:val="clear" w:color="auto" w:fill="FFFFFF"/>
        </w:rPr>
        <w:t>收到和处理政府信息公开申请情况</w:t>
      </w:r>
    </w:p>
    <w:tbl>
      <w:tblPr>
        <w:tblStyle w:val="9"/>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楷体" w:cs="Times New Roman"/>
                <w:color w:val="auto"/>
                <w:kern w:val="0"/>
                <w:sz w:val="20"/>
                <w:szCs w:val="20"/>
                <w:highlight w:val="none"/>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noWrap w:val="0"/>
            <w:tcMar>
              <w:left w:w="108" w:type="dxa"/>
              <w:right w:w="108" w:type="dxa"/>
            </w:tcMar>
            <w:vAlign w:val="center"/>
          </w:tcPr>
          <w:p>
            <w:pPr>
              <w:rPr>
                <w:rFonts w:hint="default" w:ascii="Times New Roman" w:hAnsi="Times New Roman" w:cs="Times New Roman"/>
                <w:color w:val="auto"/>
                <w:sz w:val="24"/>
                <w:szCs w:val="24"/>
                <w:highlight w:val="none"/>
              </w:rPr>
            </w:pPr>
          </w:p>
        </w:tc>
        <w:tc>
          <w:tcPr>
            <w:tcW w:w="688" w:type="dxa"/>
            <w:vMerge w:val="restart"/>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自然人</w:t>
            </w:r>
          </w:p>
        </w:tc>
        <w:tc>
          <w:tcPr>
            <w:tcW w:w="3440" w:type="dxa"/>
            <w:gridSpan w:val="5"/>
            <w:tcBorders>
              <w:top w:val="single" w:color="auto" w:sz="8" w:space="0"/>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noWrap w:val="0"/>
            <w:tcMar>
              <w:left w:w="108" w:type="dxa"/>
              <w:right w:w="108" w:type="dxa"/>
            </w:tcMar>
            <w:vAlign w:val="center"/>
          </w:tcPr>
          <w:p>
            <w:pPr>
              <w:rPr>
                <w:rFonts w:hint="default" w:ascii="Times New Roman" w:hAnsi="Times New Roman" w:cs="Times New Roman"/>
                <w:color w:val="auto"/>
                <w:sz w:val="24"/>
                <w:szCs w:val="24"/>
                <w:highlight w:val="none"/>
              </w:rPr>
            </w:pPr>
          </w:p>
        </w:tc>
        <w:tc>
          <w:tcPr>
            <w:tcW w:w="688" w:type="dxa"/>
            <w:vMerge w:val="continue"/>
            <w:tcBorders>
              <w:top w:val="nil"/>
              <w:left w:val="nil"/>
              <w:bottom w:val="single" w:color="auto" w:sz="8" w:space="0"/>
              <w:right w:val="single" w:color="auto" w:sz="8"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688" w:type="dxa"/>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企业</w:t>
            </w:r>
          </w:p>
        </w:tc>
        <w:tc>
          <w:tcPr>
            <w:tcW w:w="688" w:type="dxa"/>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机构</w:t>
            </w:r>
          </w:p>
        </w:tc>
        <w:tc>
          <w:tcPr>
            <w:tcW w:w="688" w:type="dxa"/>
            <w:tcBorders>
              <w:top w:val="single" w:color="auto" w:sz="8" w:space="0"/>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社会公益组织</w:t>
            </w:r>
          </w:p>
        </w:tc>
        <w:tc>
          <w:tcPr>
            <w:tcW w:w="688" w:type="dxa"/>
            <w:tcBorders>
              <w:top w:val="single" w:color="auto" w:sz="8" w:space="0"/>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法律服务机构</w:t>
            </w:r>
          </w:p>
        </w:tc>
        <w:tc>
          <w:tcPr>
            <w:tcW w:w="688" w:type="dxa"/>
            <w:tcBorders>
              <w:top w:val="single" w:color="auto" w:sz="8" w:space="0"/>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其他</w:t>
            </w:r>
          </w:p>
        </w:tc>
        <w:tc>
          <w:tcPr>
            <w:tcW w:w="689" w:type="dxa"/>
            <w:vMerge w:val="continue"/>
            <w:tcBorders>
              <w:top w:val="single" w:color="auto" w:sz="8" w:space="0"/>
              <w:left w:val="nil"/>
              <w:bottom w:val="outset" w:color="auto" w:sz="8" w:space="0"/>
              <w:right w:val="single" w:color="auto" w:sz="8"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一、本年新收政府信息公开申请数量</w:t>
            </w:r>
          </w:p>
        </w:tc>
        <w:tc>
          <w:tcPr>
            <w:tcW w:w="688" w:type="dxa"/>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45</w:t>
            </w:r>
          </w:p>
        </w:tc>
        <w:tc>
          <w:tcPr>
            <w:tcW w:w="688" w:type="dxa"/>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4</w:t>
            </w:r>
          </w:p>
        </w:tc>
        <w:tc>
          <w:tcPr>
            <w:tcW w:w="688" w:type="dxa"/>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nil"/>
              <w:left w:val="nil"/>
              <w:bottom w:val="single" w:color="auto" w:sz="8" w:space="0"/>
              <w:right w:val="single" w:color="auto" w:sz="8"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49</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4" w:space="0"/>
              <w:right w:val="single" w:color="auto" w:sz="8"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二、上年结转政府信息公开申请数量</w:t>
            </w:r>
          </w:p>
        </w:tc>
        <w:tc>
          <w:tcPr>
            <w:tcW w:w="688" w:type="dxa"/>
            <w:tcBorders>
              <w:top w:val="nil"/>
              <w:left w:val="nil"/>
              <w:bottom w:val="single" w:color="auto" w:sz="4" w:space="0"/>
              <w:right w:val="single" w:color="auto" w:sz="8"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3</w:t>
            </w:r>
          </w:p>
        </w:tc>
        <w:tc>
          <w:tcPr>
            <w:tcW w:w="688" w:type="dxa"/>
            <w:tcBorders>
              <w:top w:val="nil"/>
              <w:left w:val="nil"/>
              <w:bottom w:val="single" w:color="auto" w:sz="4" w:space="0"/>
              <w:right w:val="single" w:color="auto" w:sz="8"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nil"/>
              <w:left w:val="nil"/>
              <w:bottom w:val="single" w:color="auto" w:sz="4" w:space="0"/>
              <w:right w:val="single" w:color="auto" w:sz="8"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nil"/>
              <w:left w:val="nil"/>
              <w:bottom w:val="single" w:color="auto" w:sz="4" w:space="0"/>
              <w:right w:val="single" w:color="auto" w:sz="8"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nil"/>
              <w:left w:val="nil"/>
              <w:bottom w:val="single" w:color="auto" w:sz="4" w:space="0"/>
              <w:right w:val="single" w:color="auto" w:sz="8"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nil"/>
              <w:left w:val="nil"/>
              <w:bottom w:val="single" w:color="auto" w:sz="4" w:space="0"/>
              <w:right w:val="single" w:color="auto" w:sz="8"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nil"/>
              <w:left w:val="nil"/>
              <w:bottom w:val="single" w:color="auto" w:sz="4" w:space="0"/>
              <w:right w:val="single" w:color="auto" w:sz="8"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3</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三、本年度办理结果</w:t>
            </w:r>
          </w:p>
        </w:tc>
        <w:tc>
          <w:tcPr>
            <w:tcW w:w="4163" w:type="dxa"/>
            <w:gridSpan w:val="2"/>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（一）予以公开</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24</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2</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26</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4163" w:type="dxa"/>
            <w:gridSpan w:val="2"/>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（二）部分公开</w:t>
            </w:r>
            <w:r>
              <w:rPr>
                <w:rFonts w:hint="default" w:ascii="Times New Roman" w:hAnsi="Times New Roman" w:eastAsia="楷体" w:cs="Times New Roman"/>
                <w:color w:val="auto"/>
                <w:kern w:val="0"/>
                <w:sz w:val="20"/>
                <w:szCs w:val="20"/>
                <w:highlight w:val="none"/>
                <w:lang w:val="en-US" w:eastAsia="zh-CN" w:bidi="ar"/>
              </w:rPr>
              <w:t>（区分处理的，只计这一情形，不计其他情形）</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2</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restar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（三）不予公开</w:t>
            </w: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1.属于国家秘密</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1</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2.其他法律行政法规禁止公开</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3.危及“三安全一稳定”</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4.保护第三方合法权益</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1</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5.属于三类内部事务信息</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2</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6.属于四类过程性信息</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7.属于行政执法案卷</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8.属于行政查询事项</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2</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restar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（四）无法提供</w:t>
            </w: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1.本机关不掌握相关政府信息</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14</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14</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2.没有现成信息需要另行制作</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3.补正后申请内容仍不明确</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restar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（五）不予处理</w:t>
            </w: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1.信访举报投诉类申请</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2</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2.重复申请</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3.要求提供公开出版物</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4.无正当理由大量反复申请</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5.要求行政机关确认或重新出具已获取信息</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restar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（六）其他处理</w:t>
            </w: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1.申请人无正当理由逾期不补正、行政机关不再处理其政府信息公开申请</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2.申请人逾期未按收费通知要求缴纳费用、行政机关不再处理其政府信息公开申请</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943"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3220"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3.其他</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2</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rPr>
                <w:rFonts w:hint="default" w:ascii="Times New Roman" w:hAnsi="Times New Roman" w:cs="Times New Roman"/>
                <w:color w:val="auto"/>
                <w:sz w:val="24"/>
                <w:szCs w:val="24"/>
                <w:highlight w:val="none"/>
              </w:rPr>
            </w:pPr>
          </w:p>
        </w:tc>
        <w:tc>
          <w:tcPr>
            <w:tcW w:w="4163" w:type="dxa"/>
            <w:gridSpan w:val="2"/>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（七）总计</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48</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4</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52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四、结转下年度继续办理</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8"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c>
          <w:tcPr>
            <w:tcW w:w="689" w:type="dxa"/>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widowControl/>
              <w:suppressLineNumbers w:val="0"/>
              <w:jc w:val="center"/>
              <w:textAlignment w:val="center"/>
              <w:rPr>
                <w:rFonts w:hint="default" w:ascii="Times New Roman" w:hAnsi="Times New Roman" w:cs="Times New Roman"/>
                <w:color w:val="auto"/>
                <w:highlight w:val="none"/>
                <w:lang w:val="en-US" w:eastAsia="zh-CN"/>
              </w:rPr>
            </w:pPr>
            <w:r>
              <w:rPr>
                <w:rFonts w:hint="default" w:ascii="Times New Roman" w:hAnsi="Times New Roman" w:eastAsia="宋体" w:cs="Times New Roman"/>
                <w:i w:val="0"/>
                <w:iCs w:val="0"/>
                <w:color w:val="auto"/>
                <w:kern w:val="0"/>
                <w:sz w:val="22"/>
                <w:szCs w:val="22"/>
                <w:u w:val="none"/>
                <w:lang w:val="en-US" w:eastAsia="zh-CN" w:bidi="ar"/>
              </w:rPr>
              <w:t>0</w:t>
            </w:r>
          </w:p>
        </w:tc>
      </w:tr>
    </w:tbl>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420"/>
        <w:jc w:val="both"/>
        <w:rPr>
          <w:rFonts w:hint="default" w:ascii="Times New Roman" w:hAnsi="Times New Roman" w:eastAsia="黑体" w:cs="Times New Roman"/>
          <w:b w:val="0"/>
          <w:bCs/>
          <w:i w:val="0"/>
          <w:caps w:val="0"/>
          <w:color w:val="auto"/>
          <w:spacing w:val="0"/>
          <w:sz w:val="32"/>
          <w:szCs w:val="32"/>
          <w:highlight w:val="none"/>
          <w:shd w:val="clear" w:color="auto" w:fill="FFFFFF"/>
        </w:rPr>
      </w:pPr>
      <w:r>
        <w:rPr>
          <w:rFonts w:hint="default" w:ascii="Times New Roman" w:hAnsi="Times New Roman" w:eastAsia="黑体" w:cs="Times New Roman"/>
          <w:b w:val="0"/>
          <w:bCs/>
          <w:i w:val="0"/>
          <w:caps w:val="0"/>
          <w:color w:val="auto"/>
          <w:spacing w:val="0"/>
          <w:sz w:val="32"/>
          <w:szCs w:val="32"/>
          <w:highlight w:val="none"/>
          <w:shd w:val="clear" w:color="auto" w:fill="FFFFFF"/>
          <w:lang w:val="en-US" w:eastAsia="zh-CN"/>
        </w:rPr>
        <w:t>四、</w:t>
      </w:r>
      <w:r>
        <w:rPr>
          <w:rFonts w:hint="default" w:ascii="Times New Roman" w:hAnsi="Times New Roman" w:eastAsia="黑体" w:cs="Times New Roman"/>
          <w:b w:val="0"/>
          <w:bCs/>
          <w:i w:val="0"/>
          <w:caps w:val="0"/>
          <w:color w:val="auto"/>
          <w:spacing w:val="0"/>
          <w:sz w:val="32"/>
          <w:szCs w:val="32"/>
          <w:highlight w:val="none"/>
          <w:shd w:val="clear" w:color="auto" w:fill="FFFFFF"/>
        </w:rPr>
        <w:t>政府信息公开行政复议、行政诉讼情况</w:t>
      </w:r>
    </w:p>
    <w:tbl>
      <w:tblPr>
        <w:tblStyle w:val="9"/>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eastAsia="宋体" w:cs="Times New Roman"/>
                <w:color w:val="auto"/>
                <w:kern w:val="0"/>
                <w:sz w:val="20"/>
                <w:szCs w:val="20"/>
                <w:highlight w:val="none"/>
                <w:lang w:val="en-US" w:eastAsia="zh-CN" w:bidi="ar"/>
              </w:rPr>
            </w:pPr>
            <w:r>
              <w:rPr>
                <w:rFonts w:hint="default" w:ascii="Times New Roman" w:hAnsi="Times New Roman" w:eastAsia="宋体" w:cs="Times New Roman"/>
                <w:color w:val="auto"/>
                <w:kern w:val="0"/>
                <w:sz w:val="20"/>
                <w:szCs w:val="20"/>
                <w:highlight w:val="none"/>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eastAsia="宋体" w:cs="Times New Roman"/>
                <w:color w:val="auto"/>
                <w:kern w:val="0"/>
                <w:sz w:val="20"/>
                <w:szCs w:val="20"/>
                <w:highlight w:val="none"/>
                <w:lang w:val="en-US" w:eastAsia="zh-CN" w:bidi="ar"/>
              </w:rPr>
            </w:pPr>
            <w:r>
              <w:rPr>
                <w:rFonts w:hint="default" w:ascii="Times New Roman" w:hAnsi="Times New Roman" w:eastAsia="宋体" w:cs="Times New Roman"/>
                <w:color w:val="auto"/>
                <w:kern w:val="0"/>
                <w:sz w:val="20"/>
                <w:szCs w:val="20"/>
                <w:highlight w:val="none"/>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eastAsia="宋体" w:cs="Times New Roman"/>
                <w:color w:val="auto"/>
                <w:kern w:val="0"/>
                <w:sz w:val="20"/>
                <w:szCs w:val="20"/>
                <w:highlight w:val="none"/>
                <w:lang w:val="en-US" w:eastAsia="zh-CN" w:bidi="ar"/>
              </w:rPr>
            </w:pPr>
            <w:r>
              <w:rPr>
                <w:rFonts w:hint="default" w:ascii="Times New Roman" w:hAnsi="Times New Roman" w:eastAsia="宋体" w:cs="Times New Roman"/>
                <w:color w:val="auto"/>
                <w:kern w:val="0"/>
                <w:sz w:val="20"/>
                <w:szCs w:val="20"/>
                <w:highlight w:val="none"/>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color w:val="auto"/>
                <w:sz w:val="24"/>
                <w:szCs w:val="24"/>
                <w:highlight w:val="none"/>
              </w:rPr>
            </w:pPr>
          </w:p>
        </w:tc>
        <w:tc>
          <w:tcPr>
            <w:tcW w:w="649"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color w:val="auto"/>
                <w:sz w:val="24"/>
                <w:szCs w:val="24"/>
                <w:highlight w:val="none"/>
              </w:rPr>
            </w:pPr>
          </w:p>
        </w:tc>
        <w:tc>
          <w:tcPr>
            <w:tcW w:w="649" w:type="dxa"/>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color w:val="auto"/>
                <w:sz w:val="24"/>
                <w:szCs w:val="24"/>
                <w:highlight w:val="none"/>
              </w:rPr>
            </w:pPr>
          </w:p>
        </w:tc>
        <w:tc>
          <w:tcPr>
            <w:tcW w:w="649" w:type="dxa"/>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color w:val="auto"/>
                <w:sz w:val="24"/>
                <w:szCs w:val="24"/>
                <w:highlight w:val="none"/>
              </w:rPr>
            </w:pPr>
          </w:p>
        </w:tc>
        <w:tc>
          <w:tcPr>
            <w:tcW w:w="649" w:type="dxa"/>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color w:val="auto"/>
                <w:sz w:val="24"/>
                <w:szCs w:val="24"/>
                <w:highlight w:val="none"/>
              </w:rPr>
            </w:pPr>
          </w:p>
        </w:tc>
        <w:tc>
          <w:tcPr>
            <w:tcW w:w="649"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eastAsia="宋体" w:cs="Times New Roman"/>
                <w:color w:val="auto"/>
                <w:kern w:val="0"/>
                <w:sz w:val="20"/>
                <w:szCs w:val="20"/>
                <w:highlight w:val="none"/>
                <w:lang w:val="en-US" w:eastAsia="zh-CN" w:bidi="ar"/>
              </w:rPr>
            </w:pPr>
            <w:r>
              <w:rPr>
                <w:rFonts w:hint="default" w:ascii="Times New Roman" w:hAnsi="Times New Roman" w:eastAsia="宋体" w:cs="Times New Roman"/>
                <w:color w:val="auto"/>
                <w:kern w:val="0"/>
                <w:sz w:val="20"/>
                <w:szCs w:val="20"/>
                <w:highlight w:val="none"/>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维持</w:t>
            </w:r>
          </w:p>
        </w:tc>
        <w:tc>
          <w:tcPr>
            <w:tcW w:w="649"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eastAsia="宋体" w:cs="Times New Roman"/>
                <w:color w:val="auto"/>
                <w:kern w:val="0"/>
                <w:sz w:val="20"/>
                <w:szCs w:val="20"/>
                <w:highlight w:val="none"/>
                <w:lang w:val="en-US" w:eastAsia="zh-CN" w:bidi="ar"/>
              </w:rPr>
            </w:pPr>
            <w:r>
              <w:rPr>
                <w:rFonts w:hint="default" w:ascii="Times New Roman" w:hAnsi="Times New Roman" w:eastAsia="宋体" w:cs="Times New Roman"/>
                <w:color w:val="auto"/>
                <w:kern w:val="0"/>
                <w:sz w:val="20"/>
                <w:szCs w:val="20"/>
                <w:highlight w:val="none"/>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eastAsia="宋体" w:cs="Times New Roman"/>
                <w:color w:val="auto"/>
                <w:kern w:val="0"/>
                <w:sz w:val="20"/>
                <w:szCs w:val="20"/>
                <w:highlight w:val="none"/>
                <w:lang w:val="en-US" w:eastAsia="zh-CN" w:bidi="ar"/>
              </w:rPr>
            </w:pPr>
            <w:r>
              <w:rPr>
                <w:rFonts w:hint="default" w:ascii="Times New Roman" w:hAnsi="Times New Roman" w:eastAsia="宋体" w:cs="Times New Roman"/>
                <w:color w:val="auto"/>
                <w:kern w:val="0"/>
                <w:sz w:val="20"/>
                <w:szCs w:val="20"/>
                <w:highlight w:val="none"/>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eastAsia="宋体" w:cs="Times New Roman"/>
                <w:color w:val="auto"/>
                <w:kern w:val="0"/>
                <w:sz w:val="20"/>
                <w:szCs w:val="20"/>
                <w:highlight w:val="none"/>
                <w:lang w:val="en-US" w:eastAsia="zh-CN" w:bidi="ar"/>
              </w:rPr>
            </w:pPr>
            <w:r>
              <w:rPr>
                <w:rFonts w:hint="default" w:ascii="Times New Roman" w:hAnsi="Times New Roman" w:eastAsia="宋体" w:cs="Times New Roman"/>
                <w:color w:val="auto"/>
                <w:kern w:val="0"/>
                <w:sz w:val="20"/>
                <w:szCs w:val="20"/>
                <w:highlight w:val="none"/>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eastAsia="宋体" w:cs="Times New Roman"/>
                <w:color w:val="auto"/>
                <w:kern w:val="0"/>
                <w:sz w:val="20"/>
                <w:szCs w:val="20"/>
                <w:highlight w:val="none"/>
                <w:lang w:val="en-US" w:eastAsia="zh-CN" w:bidi="ar"/>
              </w:rPr>
            </w:pPr>
            <w:r>
              <w:rPr>
                <w:rFonts w:hint="default" w:ascii="Times New Roman" w:hAnsi="Times New Roman" w:eastAsia="宋体" w:cs="Times New Roman"/>
                <w:color w:val="auto"/>
                <w:kern w:val="0"/>
                <w:sz w:val="20"/>
                <w:szCs w:val="20"/>
                <w:highlight w:val="none"/>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eastAsia="宋体" w:cs="Times New Roman"/>
                <w:color w:val="auto"/>
                <w:kern w:val="0"/>
                <w:sz w:val="20"/>
                <w:szCs w:val="20"/>
                <w:highlight w:val="none"/>
                <w:lang w:val="en-US" w:eastAsia="zh-CN" w:bidi="ar"/>
              </w:rPr>
            </w:pPr>
            <w:r>
              <w:rPr>
                <w:rFonts w:hint="default" w:ascii="Times New Roman" w:hAnsi="Times New Roman" w:eastAsia="宋体" w:cs="Times New Roman"/>
                <w:color w:val="auto"/>
                <w:kern w:val="0"/>
                <w:sz w:val="20"/>
                <w:szCs w:val="20"/>
                <w:highlight w:val="none"/>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eastAsia="宋体" w:cs="Times New Roman"/>
                <w:color w:val="auto"/>
                <w:kern w:val="0"/>
                <w:sz w:val="20"/>
                <w:szCs w:val="20"/>
                <w:highlight w:val="none"/>
                <w:lang w:val="en-US" w:eastAsia="zh-CN" w:bidi="ar"/>
              </w:rPr>
            </w:pPr>
            <w:r>
              <w:rPr>
                <w:rFonts w:hint="default" w:ascii="Times New Roman" w:hAnsi="Times New Roman" w:eastAsia="宋体" w:cs="Times New Roman"/>
                <w:color w:val="auto"/>
                <w:kern w:val="0"/>
                <w:sz w:val="20"/>
                <w:szCs w:val="20"/>
                <w:highlight w:val="none"/>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eastAsia="宋体" w:cs="Times New Roman"/>
                <w:color w:val="auto"/>
                <w:kern w:val="0"/>
                <w:sz w:val="20"/>
                <w:szCs w:val="20"/>
                <w:highlight w:val="none"/>
                <w:lang w:val="en-US" w:eastAsia="zh-CN" w:bidi="ar"/>
              </w:rPr>
            </w:pPr>
            <w:r>
              <w:rPr>
                <w:rFonts w:hint="default" w:ascii="Times New Roman" w:hAnsi="Times New Roman" w:eastAsia="宋体" w:cs="Times New Roman"/>
                <w:color w:val="auto"/>
                <w:kern w:val="0"/>
                <w:sz w:val="20"/>
                <w:szCs w:val="20"/>
                <w:highlight w:val="none"/>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20"/>
                <w:szCs w:val="20"/>
                <w:highlight w:val="none"/>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color w:val="auto"/>
                <w:kern w:val="0"/>
                <w:sz w:val="20"/>
                <w:szCs w:val="20"/>
                <w:highlight w:val="none"/>
                <w:lang w:val="en-US" w:eastAsia="zh-CN" w:bidi="ar"/>
              </w:rPr>
            </w:pPr>
            <w:r>
              <w:rPr>
                <w:rFonts w:hint="default" w:ascii="Times New Roman" w:hAnsi="Times New Roman" w:cs="Times New Roman"/>
                <w:color w:val="auto"/>
                <w:kern w:val="0"/>
                <w:sz w:val="20"/>
                <w:szCs w:val="20"/>
                <w:highlight w:val="none"/>
                <w:lang w:val="en-US" w:eastAsia="zh-CN" w:bidi="ar"/>
              </w:rPr>
              <w:t>0</w:t>
            </w:r>
          </w:p>
        </w:tc>
        <w:tc>
          <w:tcPr>
            <w:tcW w:w="649"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color w:val="auto"/>
                <w:kern w:val="0"/>
                <w:sz w:val="20"/>
                <w:szCs w:val="20"/>
                <w:highlight w:val="none"/>
                <w:lang w:val="en-US" w:eastAsia="zh-CN" w:bidi="ar"/>
              </w:rPr>
            </w:pPr>
            <w:r>
              <w:rPr>
                <w:rFonts w:hint="default" w:ascii="Times New Roman" w:hAnsi="Times New Roman" w:cs="Times New Roman"/>
                <w:color w:val="auto"/>
                <w:kern w:val="0"/>
                <w:sz w:val="20"/>
                <w:szCs w:val="20"/>
                <w:highlight w:val="none"/>
                <w:lang w:val="en-US" w:eastAsia="zh-CN" w:bidi="ar"/>
              </w:rPr>
              <w:t>0</w:t>
            </w:r>
          </w:p>
        </w:tc>
        <w:tc>
          <w:tcPr>
            <w:tcW w:w="649"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color w:val="auto"/>
                <w:kern w:val="0"/>
                <w:sz w:val="20"/>
                <w:szCs w:val="20"/>
                <w:highlight w:val="none"/>
                <w:lang w:val="en-US" w:eastAsia="zh-CN" w:bidi="ar"/>
              </w:rPr>
            </w:pPr>
            <w:r>
              <w:rPr>
                <w:rFonts w:hint="default" w:ascii="Times New Roman" w:hAnsi="Times New Roman" w:cs="Times New Roman"/>
                <w:color w:val="auto"/>
                <w:kern w:val="0"/>
                <w:sz w:val="20"/>
                <w:szCs w:val="20"/>
                <w:highlight w:val="none"/>
                <w:lang w:val="en-US" w:eastAsia="zh-CN" w:bidi="ar"/>
              </w:rPr>
              <w:t>0</w:t>
            </w:r>
          </w:p>
        </w:tc>
        <w:tc>
          <w:tcPr>
            <w:tcW w:w="649"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color w:val="auto"/>
                <w:kern w:val="0"/>
                <w:sz w:val="20"/>
                <w:szCs w:val="20"/>
                <w:highlight w:val="none"/>
                <w:lang w:val="en-US" w:eastAsia="zh-CN" w:bidi="ar"/>
              </w:rPr>
            </w:pPr>
            <w:r>
              <w:rPr>
                <w:rFonts w:hint="default" w:ascii="Times New Roman" w:hAnsi="Times New Roman" w:cs="Times New Roman"/>
                <w:color w:val="auto"/>
                <w:kern w:val="0"/>
                <w:sz w:val="20"/>
                <w:szCs w:val="20"/>
                <w:highlight w:val="none"/>
                <w:lang w:val="en-US" w:eastAsia="zh-CN" w:bidi="ar"/>
              </w:rPr>
              <w:t>0</w:t>
            </w:r>
          </w:p>
        </w:tc>
        <w:tc>
          <w:tcPr>
            <w:tcW w:w="649"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color w:val="auto"/>
                <w:kern w:val="0"/>
                <w:sz w:val="20"/>
                <w:szCs w:val="20"/>
                <w:highlight w:val="none"/>
                <w:lang w:val="en-US" w:eastAsia="zh-CN" w:bidi="ar"/>
              </w:rPr>
            </w:pPr>
            <w:r>
              <w:rPr>
                <w:rFonts w:hint="default" w:ascii="Times New Roman" w:hAnsi="Times New Roman" w:cs="Times New Roman"/>
                <w:color w:val="auto"/>
                <w:kern w:val="0"/>
                <w:sz w:val="20"/>
                <w:szCs w:val="20"/>
                <w:highlight w:val="none"/>
                <w:lang w:val="en-US" w:eastAsia="zh-CN" w:bidi="ar"/>
              </w:rPr>
              <w:t>0</w:t>
            </w:r>
          </w:p>
        </w:tc>
        <w:tc>
          <w:tcPr>
            <w:tcW w:w="649"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color w:val="auto"/>
                <w:kern w:val="0"/>
                <w:sz w:val="20"/>
                <w:szCs w:val="20"/>
                <w:highlight w:val="none"/>
                <w:lang w:val="en-US" w:eastAsia="zh-CN" w:bidi="ar"/>
              </w:rPr>
            </w:pPr>
            <w:r>
              <w:rPr>
                <w:rFonts w:hint="default" w:ascii="Times New Roman" w:hAnsi="Times New Roman" w:cs="Times New Roman"/>
                <w:color w:val="auto"/>
                <w:kern w:val="0"/>
                <w:sz w:val="20"/>
                <w:szCs w:val="20"/>
                <w:highlight w:val="none"/>
                <w:lang w:val="en-US" w:eastAsia="zh-CN" w:bidi="ar"/>
              </w:rPr>
              <w:t>1</w:t>
            </w:r>
          </w:p>
        </w:tc>
        <w:tc>
          <w:tcPr>
            <w:tcW w:w="649"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color w:val="auto"/>
                <w:kern w:val="0"/>
                <w:sz w:val="20"/>
                <w:szCs w:val="20"/>
                <w:highlight w:val="none"/>
                <w:lang w:val="en-US" w:eastAsia="zh-CN" w:bidi="ar"/>
              </w:rPr>
            </w:pPr>
            <w:r>
              <w:rPr>
                <w:rFonts w:hint="default" w:ascii="Times New Roman" w:hAnsi="Times New Roman" w:cs="Times New Roman"/>
                <w:color w:val="auto"/>
                <w:kern w:val="0"/>
                <w:sz w:val="20"/>
                <w:szCs w:val="20"/>
                <w:highlight w:val="none"/>
                <w:lang w:val="en-US" w:eastAsia="zh-CN" w:bidi="ar"/>
              </w:rPr>
              <w:t>0</w:t>
            </w:r>
          </w:p>
        </w:tc>
        <w:tc>
          <w:tcPr>
            <w:tcW w:w="650"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color w:val="auto"/>
                <w:kern w:val="0"/>
                <w:sz w:val="20"/>
                <w:szCs w:val="20"/>
                <w:highlight w:val="none"/>
                <w:lang w:val="en-US" w:eastAsia="zh-CN" w:bidi="ar"/>
              </w:rPr>
            </w:pPr>
            <w:r>
              <w:rPr>
                <w:rFonts w:hint="default" w:ascii="Times New Roman" w:hAnsi="Times New Roman" w:cs="Times New Roman"/>
                <w:color w:val="auto"/>
                <w:kern w:val="0"/>
                <w:sz w:val="20"/>
                <w:szCs w:val="20"/>
                <w:highlight w:val="none"/>
                <w:lang w:val="en-US" w:eastAsia="zh-CN" w:bidi="ar"/>
              </w:rPr>
              <w:t>0</w:t>
            </w:r>
          </w:p>
        </w:tc>
        <w:tc>
          <w:tcPr>
            <w:tcW w:w="650"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color w:val="auto"/>
                <w:kern w:val="0"/>
                <w:sz w:val="20"/>
                <w:szCs w:val="20"/>
                <w:highlight w:val="none"/>
                <w:lang w:val="en-US" w:eastAsia="zh-CN" w:bidi="ar"/>
              </w:rPr>
            </w:pPr>
            <w:r>
              <w:rPr>
                <w:rFonts w:hint="default" w:ascii="Times New Roman" w:hAnsi="Times New Roman" w:cs="Times New Roman"/>
                <w:color w:val="auto"/>
                <w:kern w:val="0"/>
                <w:sz w:val="20"/>
                <w:szCs w:val="20"/>
                <w:highlight w:val="none"/>
                <w:lang w:val="en-US" w:eastAsia="zh-CN" w:bidi="ar"/>
              </w:rPr>
              <w:t>0</w:t>
            </w:r>
          </w:p>
        </w:tc>
        <w:tc>
          <w:tcPr>
            <w:tcW w:w="650"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color w:val="auto"/>
                <w:kern w:val="0"/>
                <w:sz w:val="20"/>
                <w:szCs w:val="20"/>
                <w:highlight w:val="none"/>
                <w:lang w:val="en-US" w:eastAsia="zh-CN" w:bidi="ar"/>
              </w:rPr>
            </w:pPr>
            <w:r>
              <w:rPr>
                <w:rFonts w:hint="default" w:ascii="Times New Roman" w:hAnsi="Times New Roman" w:cs="Times New Roman"/>
                <w:color w:val="auto"/>
                <w:kern w:val="0"/>
                <w:sz w:val="20"/>
                <w:szCs w:val="20"/>
                <w:highlight w:val="none"/>
                <w:lang w:val="en-US" w:eastAsia="zh-CN" w:bidi="ar"/>
              </w:rPr>
              <w:t>1</w:t>
            </w:r>
          </w:p>
        </w:tc>
        <w:tc>
          <w:tcPr>
            <w:tcW w:w="651"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color w:val="auto"/>
                <w:kern w:val="0"/>
                <w:sz w:val="20"/>
                <w:szCs w:val="20"/>
                <w:highlight w:val="none"/>
                <w:lang w:val="en-US" w:eastAsia="zh-CN" w:bidi="ar"/>
              </w:rPr>
            </w:pPr>
            <w:r>
              <w:rPr>
                <w:rFonts w:hint="default" w:ascii="Times New Roman" w:hAnsi="Times New Roman" w:cs="Times New Roman"/>
                <w:color w:val="auto"/>
                <w:kern w:val="0"/>
                <w:sz w:val="20"/>
                <w:szCs w:val="20"/>
                <w:highlight w:val="none"/>
                <w:lang w:val="en-US" w:eastAsia="zh-CN" w:bidi="ar"/>
              </w:rPr>
              <w:t>0</w:t>
            </w:r>
          </w:p>
        </w:tc>
        <w:tc>
          <w:tcPr>
            <w:tcW w:w="651"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color w:val="auto"/>
                <w:kern w:val="0"/>
                <w:sz w:val="20"/>
                <w:szCs w:val="20"/>
                <w:highlight w:val="none"/>
                <w:lang w:val="en-US" w:eastAsia="zh-CN" w:bidi="ar"/>
              </w:rPr>
            </w:pPr>
            <w:r>
              <w:rPr>
                <w:rFonts w:hint="default" w:ascii="Times New Roman" w:hAnsi="Times New Roman" w:cs="Times New Roman"/>
                <w:color w:val="auto"/>
                <w:kern w:val="0"/>
                <w:sz w:val="20"/>
                <w:szCs w:val="20"/>
                <w:highlight w:val="none"/>
                <w:lang w:val="en-US" w:eastAsia="zh-CN" w:bidi="ar"/>
              </w:rPr>
              <w:t>0</w:t>
            </w:r>
          </w:p>
        </w:tc>
        <w:tc>
          <w:tcPr>
            <w:tcW w:w="651"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color w:val="auto"/>
                <w:kern w:val="0"/>
                <w:sz w:val="20"/>
                <w:szCs w:val="20"/>
                <w:highlight w:val="none"/>
                <w:lang w:val="en-US" w:eastAsia="zh-CN" w:bidi="ar"/>
              </w:rPr>
            </w:pPr>
            <w:r>
              <w:rPr>
                <w:rFonts w:hint="default" w:ascii="Times New Roman" w:hAnsi="Times New Roman" w:cs="Times New Roman"/>
                <w:color w:val="auto"/>
                <w:kern w:val="0"/>
                <w:sz w:val="20"/>
                <w:szCs w:val="20"/>
                <w:highlight w:val="none"/>
                <w:lang w:val="en-US" w:eastAsia="zh-CN" w:bidi="ar"/>
              </w:rPr>
              <w:t>0</w:t>
            </w:r>
          </w:p>
        </w:tc>
        <w:tc>
          <w:tcPr>
            <w:tcW w:w="651"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color w:val="auto"/>
                <w:kern w:val="0"/>
                <w:sz w:val="20"/>
                <w:szCs w:val="20"/>
                <w:highlight w:val="none"/>
                <w:lang w:val="en-US" w:eastAsia="zh-CN" w:bidi="ar"/>
              </w:rPr>
            </w:pPr>
            <w:r>
              <w:rPr>
                <w:rFonts w:hint="default" w:ascii="Times New Roman" w:hAnsi="Times New Roman" w:cs="Times New Roman"/>
                <w:color w:val="auto"/>
                <w:kern w:val="0"/>
                <w:sz w:val="20"/>
                <w:szCs w:val="20"/>
                <w:highlight w:val="none"/>
                <w:lang w:val="en-US" w:eastAsia="zh-CN" w:bidi="ar"/>
              </w:rPr>
              <w:t>0</w:t>
            </w:r>
          </w:p>
        </w:tc>
        <w:tc>
          <w:tcPr>
            <w:tcW w:w="651"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color w:val="auto"/>
                <w:kern w:val="0"/>
                <w:sz w:val="20"/>
                <w:szCs w:val="20"/>
                <w:highlight w:val="none"/>
                <w:lang w:val="en-US" w:eastAsia="zh-CN" w:bidi="ar"/>
              </w:rPr>
            </w:pPr>
            <w:r>
              <w:rPr>
                <w:rFonts w:hint="default" w:ascii="Times New Roman" w:hAnsi="Times New Roman" w:cs="Times New Roman"/>
                <w:color w:val="auto"/>
                <w:kern w:val="0"/>
                <w:sz w:val="20"/>
                <w:szCs w:val="20"/>
                <w:highlight w:val="none"/>
                <w:lang w:val="en-US" w:eastAsia="zh-CN" w:bidi="ar"/>
              </w:rPr>
              <w:t>0</w:t>
            </w:r>
          </w:p>
        </w:tc>
      </w:tr>
    </w:tbl>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420"/>
        <w:jc w:val="both"/>
        <w:rPr>
          <w:rFonts w:hint="default" w:ascii="Times New Roman" w:hAnsi="Times New Roman" w:eastAsia="黑体" w:cs="Times New Roman"/>
          <w:b w:val="0"/>
          <w:bCs/>
          <w:i w:val="0"/>
          <w:caps w:val="0"/>
          <w:color w:val="auto"/>
          <w:spacing w:val="0"/>
          <w:sz w:val="32"/>
          <w:szCs w:val="32"/>
          <w:highlight w:val="none"/>
          <w:shd w:val="clear" w:color="auto" w:fill="FFFFFF"/>
          <w:lang w:val="en-US" w:eastAsia="zh-CN"/>
        </w:rPr>
      </w:pP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420"/>
        <w:jc w:val="both"/>
        <w:rPr>
          <w:rFonts w:hint="default" w:ascii="Times New Roman" w:hAnsi="Times New Roman" w:eastAsia="黑体" w:cs="Times New Roman"/>
          <w:b w:val="0"/>
          <w:bCs/>
          <w:i w:val="0"/>
          <w:caps w:val="0"/>
          <w:color w:val="auto"/>
          <w:spacing w:val="0"/>
          <w:sz w:val="32"/>
          <w:szCs w:val="32"/>
          <w:highlight w:val="none"/>
          <w:shd w:val="clear" w:color="auto" w:fill="FFFFFF"/>
          <w:lang w:val="en-US" w:eastAsia="zh-CN"/>
        </w:rPr>
      </w:pPr>
      <w:r>
        <w:rPr>
          <w:rFonts w:hint="default" w:ascii="Times New Roman" w:hAnsi="Times New Roman" w:eastAsia="黑体" w:cs="Times New Roman"/>
          <w:b w:val="0"/>
          <w:bCs/>
          <w:i w:val="0"/>
          <w:caps w:val="0"/>
          <w:color w:val="auto"/>
          <w:spacing w:val="0"/>
          <w:sz w:val="32"/>
          <w:szCs w:val="32"/>
          <w:highlight w:val="none"/>
          <w:shd w:val="clear" w:color="auto" w:fill="FFFFFF"/>
          <w:lang w:val="en-US" w:eastAsia="zh-CN"/>
        </w:rPr>
        <w:t>五、存在的主要问题及改进情况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仿宋_GB2312" w:cs="Times New Roman"/>
          <w:i w:val="0"/>
          <w:caps w:val="0"/>
          <w:color w:val="auto"/>
          <w:spacing w:val="0"/>
          <w:kern w:val="0"/>
          <w:sz w:val="32"/>
          <w:szCs w:val="32"/>
          <w:lang w:val="en-US" w:eastAsia="zh-CN" w:bidi="ar"/>
        </w:rPr>
      </w:pPr>
      <w:r>
        <w:rPr>
          <w:rFonts w:hint="default" w:ascii="Times New Roman" w:hAnsi="Times New Roman" w:eastAsia="仿宋_GB2312" w:cs="Times New Roman"/>
          <w:i w:val="0"/>
          <w:caps w:val="0"/>
          <w:color w:val="auto"/>
          <w:spacing w:val="0"/>
          <w:kern w:val="0"/>
          <w:sz w:val="32"/>
          <w:szCs w:val="32"/>
          <w:lang w:val="en-US" w:eastAsia="zh-CN" w:bidi="ar"/>
        </w:rPr>
        <w:t>2022年，</w:t>
      </w:r>
      <w:r>
        <w:rPr>
          <w:rFonts w:hint="default" w:ascii="Times New Roman" w:hAnsi="Times New Roman" w:eastAsia="仿宋_GB2312" w:cs="Times New Roman"/>
          <w:i w:val="0"/>
          <w:caps w:val="0"/>
          <w:color w:val="auto"/>
          <w:spacing w:val="0"/>
          <w:kern w:val="0"/>
          <w:sz w:val="31"/>
          <w:szCs w:val="31"/>
          <w:highlight w:val="none"/>
          <w:shd w:val="clear" w:color="auto" w:fill="FFFFFF"/>
          <w:lang w:val="en-US" w:eastAsia="zh-CN" w:bidi="ar"/>
        </w:rPr>
        <w:t>乳山市人民政府信息公开工作虽然取得了一定成效，但与社会公众的期待仍有一定差距，</w:t>
      </w:r>
      <w:r>
        <w:rPr>
          <w:rFonts w:hint="default" w:ascii="Times New Roman" w:hAnsi="Times New Roman" w:eastAsia="仿宋_GB2312" w:cs="Times New Roman"/>
          <w:i w:val="0"/>
          <w:caps w:val="0"/>
          <w:color w:val="auto"/>
          <w:spacing w:val="0"/>
          <w:kern w:val="0"/>
          <w:sz w:val="32"/>
          <w:szCs w:val="32"/>
          <w:lang w:val="en-US" w:eastAsia="zh-CN" w:bidi="ar"/>
        </w:rPr>
        <w:t>还存在一些问题有待改进：一是会议公开、政策解读形式有待进一步丰富；二是</w:t>
      </w:r>
      <w:r>
        <w:rPr>
          <w:rFonts w:hint="default" w:ascii="Times New Roman" w:hAnsi="Times New Roman" w:eastAsia="仿宋_GB2312" w:cs="Times New Roman"/>
          <w:b w:val="0"/>
          <w:bCs/>
          <w:color w:val="auto"/>
          <w:sz w:val="32"/>
          <w:szCs w:val="32"/>
          <w:lang w:val="en" w:eastAsia="zh-CN"/>
        </w:rPr>
        <w:t>先进性、创新性、主动性不够</w:t>
      </w:r>
      <w:r>
        <w:rPr>
          <w:rFonts w:hint="default" w:ascii="Times New Roman" w:hAnsi="Times New Roman" w:eastAsia="仿宋_GB2312" w:cs="Times New Roman"/>
          <w:i w:val="0"/>
          <w:caps w:val="0"/>
          <w:color w:val="auto"/>
          <w:spacing w:val="0"/>
          <w:kern w:val="0"/>
          <w:sz w:val="32"/>
          <w:szCs w:val="32"/>
          <w:lang w:val="en-US" w:eastAsia="zh-CN" w:bidi="ar"/>
        </w:rPr>
        <w:t>；三是依申请公开答复的精准性有待提高等。</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仿宋_GB2312" w:cs="Times New Roman"/>
          <w:i w:val="0"/>
          <w:caps w:val="0"/>
          <w:color w:val="auto"/>
          <w:spacing w:val="0"/>
          <w:kern w:val="0"/>
          <w:sz w:val="32"/>
          <w:szCs w:val="32"/>
          <w:lang w:val="en-US" w:eastAsia="zh-CN" w:bidi="ar"/>
        </w:rPr>
      </w:pPr>
      <w:r>
        <w:rPr>
          <w:rFonts w:hint="default" w:ascii="Times New Roman" w:hAnsi="Times New Roman" w:eastAsia="仿宋_GB2312" w:cs="Times New Roman"/>
          <w:i w:val="0"/>
          <w:caps w:val="0"/>
          <w:color w:val="auto"/>
          <w:spacing w:val="0"/>
          <w:kern w:val="0"/>
          <w:sz w:val="32"/>
          <w:szCs w:val="32"/>
          <w:lang w:val="en-US" w:eastAsia="zh-CN" w:bidi="ar"/>
        </w:rPr>
        <w:t>针对存在的问题，下一步乳山市将采取更加积极有效的举措进行整改提升。一是探索与有关媒体部门合作及部门自主创新会议公开及政策解读形式，多渠道、全方位解读各项政策，</w:t>
      </w:r>
      <w:r>
        <w:rPr>
          <w:rFonts w:hint="eastAsia" w:eastAsia="仿宋_GB2312" w:cs="Times New Roman"/>
          <w:i w:val="0"/>
          <w:caps w:val="0"/>
          <w:color w:val="auto"/>
          <w:spacing w:val="0"/>
          <w:kern w:val="0"/>
          <w:sz w:val="32"/>
          <w:szCs w:val="32"/>
          <w:lang w:val="en-US" w:eastAsia="zh-CN" w:bidi="ar"/>
        </w:rPr>
        <w:t>使</w:t>
      </w:r>
      <w:r>
        <w:rPr>
          <w:rFonts w:hint="default" w:ascii="Times New Roman" w:hAnsi="Times New Roman" w:eastAsia="仿宋_GB2312" w:cs="Times New Roman"/>
          <w:i w:val="0"/>
          <w:caps w:val="0"/>
          <w:color w:val="auto"/>
          <w:spacing w:val="0"/>
          <w:kern w:val="0"/>
          <w:sz w:val="32"/>
          <w:szCs w:val="32"/>
          <w:lang w:val="en-US" w:eastAsia="zh-CN" w:bidi="ar"/>
        </w:rPr>
        <w:t>群众真正了解政府运转模式和为民服务的意愿。二是从群众切身实际出发，参考各地典型标杆，积极主动构建新型政务公开互动渠道和展示形式，使公开真正用之于民。三是进一步优化依申请公开办理流程，积极与申请人沟通，精准提供所需信息，压缩办理时限，稳步提升政务公开整体水平。</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420"/>
        <w:jc w:val="both"/>
        <w:rPr>
          <w:rFonts w:hint="default" w:ascii="Times New Roman" w:hAnsi="Times New Roman" w:eastAsia="黑体" w:cs="Times New Roman"/>
          <w:b w:val="0"/>
          <w:bCs/>
          <w:i w:val="0"/>
          <w:caps w:val="0"/>
          <w:color w:val="auto"/>
          <w:spacing w:val="0"/>
          <w:sz w:val="32"/>
          <w:szCs w:val="32"/>
          <w:highlight w:val="none"/>
          <w:shd w:val="clear" w:color="auto" w:fill="FFFFFF"/>
          <w:lang w:val="en-US" w:eastAsia="zh-CN"/>
        </w:rPr>
      </w:pPr>
      <w:r>
        <w:rPr>
          <w:rFonts w:hint="default" w:ascii="Times New Roman" w:hAnsi="Times New Roman" w:eastAsia="黑体" w:cs="Times New Roman"/>
          <w:b w:val="0"/>
          <w:bCs/>
          <w:i w:val="0"/>
          <w:caps w:val="0"/>
          <w:color w:val="auto"/>
          <w:spacing w:val="0"/>
          <w:sz w:val="32"/>
          <w:szCs w:val="32"/>
          <w:highlight w:val="none"/>
          <w:shd w:val="clear" w:color="auto" w:fill="FFFFFF"/>
          <w:lang w:val="en-US" w:eastAsia="zh-CN"/>
        </w:rPr>
        <w:t>六、其他需要报告的事项</w:t>
      </w:r>
    </w:p>
    <w:p>
      <w:pPr>
        <w:pStyle w:val="8"/>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default" w:ascii="Times New Roman" w:hAnsi="Times New Roman" w:eastAsia="楷体_GB2312" w:cs="Times New Roman"/>
          <w:i w:val="0"/>
          <w:iCs w:val="0"/>
          <w:caps w:val="0"/>
          <w:color w:val="auto"/>
          <w:spacing w:val="0"/>
          <w:sz w:val="32"/>
          <w:szCs w:val="32"/>
          <w:highlight w:val="none"/>
          <w:lang w:eastAsia="zh-CN"/>
        </w:rPr>
      </w:pPr>
      <w:r>
        <w:rPr>
          <w:rFonts w:hint="default" w:ascii="Times New Roman" w:hAnsi="Times New Roman" w:eastAsia="楷体_GB2312" w:cs="Times New Roman"/>
          <w:i w:val="0"/>
          <w:iCs w:val="0"/>
          <w:caps w:val="0"/>
          <w:color w:val="auto"/>
          <w:spacing w:val="0"/>
          <w:sz w:val="32"/>
          <w:szCs w:val="32"/>
          <w:highlight w:val="none"/>
          <w:lang w:eastAsia="zh-CN"/>
        </w:rPr>
        <w:t>（一）收取信息处理费情况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仿宋_GB2312" w:cs="Times New Roman"/>
          <w:i w:val="0"/>
          <w:caps w:val="0"/>
          <w:color w:val="auto"/>
          <w:spacing w:val="0"/>
          <w:kern w:val="0"/>
          <w:sz w:val="32"/>
          <w:szCs w:val="32"/>
          <w:lang w:val="en-US" w:eastAsia="zh-CN" w:bidi="ar"/>
        </w:rPr>
      </w:pPr>
      <w:r>
        <w:rPr>
          <w:rFonts w:hint="default" w:ascii="Times New Roman" w:hAnsi="Times New Roman" w:eastAsia="仿宋_GB2312" w:cs="Times New Roman"/>
          <w:i w:val="0"/>
          <w:caps w:val="0"/>
          <w:color w:val="auto"/>
          <w:spacing w:val="0"/>
          <w:kern w:val="0"/>
          <w:sz w:val="32"/>
          <w:szCs w:val="32"/>
          <w:lang w:val="en-US" w:eastAsia="zh-CN" w:bidi="ar"/>
        </w:rPr>
        <w:t>2022年，</w:t>
      </w:r>
      <w:r>
        <w:rPr>
          <w:rFonts w:hint="eastAsia" w:eastAsia="仿宋_GB2312" w:cs="Times New Roman"/>
          <w:i w:val="0"/>
          <w:caps w:val="0"/>
          <w:color w:val="auto"/>
          <w:spacing w:val="0"/>
          <w:kern w:val="0"/>
          <w:sz w:val="32"/>
          <w:szCs w:val="32"/>
          <w:highlight w:val="none"/>
          <w:lang w:val="en-US" w:eastAsia="zh-CN" w:bidi="ar"/>
        </w:rPr>
        <w:t>乳山市人民政府</w:t>
      </w:r>
      <w:r>
        <w:rPr>
          <w:rFonts w:hint="default" w:ascii="Times New Roman" w:hAnsi="Times New Roman" w:eastAsia="仿宋_GB2312" w:cs="Times New Roman"/>
          <w:i w:val="0"/>
          <w:caps w:val="0"/>
          <w:color w:val="auto"/>
          <w:spacing w:val="0"/>
          <w:kern w:val="0"/>
          <w:sz w:val="32"/>
          <w:szCs w:val="32"/>
          <w:highlight w:val="none"/>
          <w:lang w:val="en-US" w:eastAsia="zh-CN" w:bidi="ar"/>
        </w:rPr>
        <w:t>无</w:t>
      </w:r>
      <w:r>
        <w:rPr>
          <w:rFonts w:hint="default" w:ascii="Times New Roman" w:hAnsi="Times New Roman" w:eastAsia="仿宋_GB2312" w:cs="Times New Roman"/>
          <w:i w:val="0"/>
          <w:caps w:val="0"/>
          <w:color w:val="auto"/>
          <w:spacing w:val="0"/>
          <w:kern w:val="0"/>
          <w:sz w:val="32"/>
          <w:szCs w:val="32"/>
          <w:lang w:val="en-US" w:eastAsia="zh-CN" w:bidi="ar"/>
        </w:rPr>
        <w:t>收取信息处理费情况。</w:t>
      </w:r>
    </w:p>
    <w:p>
      <w:pPr>
        <w:pStyle w:val="8"/>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default" w:ascii="Times New Roman" w:hAnsi="Times New Roman" w:eastAsia="楷体_GB2312" w:cs="Times New Roman"/>
          <w:i w:val="0"/>
          <w:iCs w:val="0"/>
          <w:caps w:val="0"/>
          <w:color w:val="auto"/>
          <w:spacing w:val="0"/>
          <w:sz w:val="32"/>
          <w:szCs w:val="32"/>
          <w:highlight w:val="none"/>
          <w:lang w:eastAsia="zh-CN"/>
        </w:rPr>
      </w:pPr>
      <w:r>
        <w:rPr>
          <w:rFonts w:hint="default" w:ascii="Times New Roman" w:hAnsi="Times New Roman" w:eastAsia="楷体_GB2312" w:cs="Times New Roman"/>
          <w:i w:val="0"/>
          <w:iCs w:val="0"/>
          <w:caps w:val="0"/>
          <w:color w:val="auto"/>
          <w:spacing w:val="0"/>
          <w:sz w:val="32"/>
          <w:szCs w:val="32"/>
          <w:highlight w:val="none"/>
          <w:lang w:eastAsia="zh-CN"/>
        </w:rPr>
        <w:t>（二）落实上级年度政务公开工作要点情况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仿宋_GB2312" w:cs="Times New Roman"/>
          <w:i w:val="0"/>
          <w:caps w:val="0"/>
          <w:color w:val="auto"/>
          <w:spacing w:val="0"/>
          <w:kern w:val="0"/>
          <w:sz w:val="32"/>
          <w:szCs w:val="32"/>
          <w:lang w:val="en-US" w:eastAsia="zh-CN" w:bidi="ar"/>
        </w:rPr>
      </w:pPr>
      <w:r>
        <w:rPr>
          <w:rFonts w:hint="eastAsia" w:eastAsia="仿宋_GB2312" w:cs="Times New Roman"/>
          <w:i w:val="0"/>
          <w:caps w:val="0"/>
          <w:color w:val="auto"/>
          <w:spacing w:val="0"/>
          <w:kern w:val="0"/>
          <w:sz w:val="32"/>
          <w:szCs w:val="32"/>
          <w:lang w:val="en-US" w:eastAsia="zh-CN" w:bidi="ar"/>
        </w:rPr>
        <w:t>一是细化政务公开工作要点。</w:t>
      </w:r>
      <w:r>
        <w:rPr>
          <w:rFonts w:hint="default" w:ascii="Times New Roman" w:hAnsi="Times New Roman" w:eastAsia="仿宋_GB2312" w:cs="Times New Roman"/>
          <w:i w:val="0"/>
          <w:caps w:val="0"/>
          <w:color w:val="auto"/>
          <w:spacing w:val="0"/>
          <w:kern w:val="0"/>
          <w:sz w:val="32"/>
          <w:szCs w:val="32"/>
          <w:lang w:val="en-US" w:eastAsia="zh-CN" w:bidi="ar"/>
        </w:rPr>
        <w:t>根据《2022年山东省政务公开工作要点》、《威海市2022年政务公开重点工作任务分工》，制发《乳山市2022年政务公开重点工作及责任分工》，细化相关任务，明确责任分工，督促各部门严格按照分工逐项落实各项政务公开工作要点，制定年度工作方案和落实台账</w:t>
      </w:r>
      <w:r>
        <w:rPr>
          <w:rFonts w:hint="eastAsia" w:eastAsia="仿宋_GB2312" w:cs="Times New Roman"/>
          <w:i w:val="0"/>
          <w:caps w:val="0"/>
          <w:color w:val="auto"/>
          <w:spacing w:val="0"/>
          <w:kern w:val="0"/>
          <w:sz w:val="32"/>
          <w:szCs w:val="32"/>
          <w:lang w:val="en-US" w:eastAsia="zh-CN" w:bidi="ar"/>
        </w:rPr>
        <w:t>，</w:t>
      </w:r>
      <w:r>
        <w:rPr>
          <w:rFonts w:hint="default" w:ascii="Times New Roman" w:hAnsi="Times New Roman" w:eastAsia="仿宋_GB2312" w:cs="Times New Roman"/>
          <w:i w:val="0"/>
          <w:caps w:val="0"/>
          <w:color w:val="auto"/>
          <w:spacing w:val="0"/>
          <w:kern w:val="0"/>
          <w:sz w:val="32"/>
          <w:szCs w:val="32"/>
          <w:lang w:val="en-US" w:eastAsia="zh-CN" w:bidi="ar"/>
        </w:rPr>
        <w:t>加强工作培训和调度，指导各级各部门（单位）深化政府信息主动公开，加强办文办会公开力度，强化政策解读，进一步提升政务公开质效。</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eastAsia" w:eastAsia="仿宋_GB2312" w:cs="Times New Roman"/>
          <w:i w:val="0"/>
          <w:caps w:val="0"/>
          <w:color w:val="auto"/>
          <w:spacing w:val="0"/>
          <w:kern w:val="0"/>
          <w:sz w:val="32"/>
          <w:szCs w:val="32"/>
          <w:lang w:val="en-US" w:eastAsia="zh-CN" w:bidi="ar"/>
        </w:rPr>
      </w:pPr>
      <w:r>
        <w:rPr>
          <w:rFonts w:hint="eastAsia" w:eastAsia="仿宋_GB2312" w:cs="Times New Roman"/>
          <w:i w:val="0"/>
          <w:caps w:val="0"/>
          <w:color w:val="auto"/>
          <w:spacing w:val="0"/>
          <w:kern w:val="0"/>
          <w:sz w:val="32"/>
          <w:szCs w:val="32"/>
          <w:lang w:val="en-US" w:eastAsia="zh-CN" w:bidi="ar"/>
        </w:rPr>
        <w:t>二是落实</w:t>
      </w:r>
      <w:r>
        <w:rPr>
          <w:rFonts w:hint="default" w:ascii="Times New Roman" w:hAnsi="Times New Roman" w:eastAsia="仿宋_GB2312" w:cs="Times New Roman"/>
          <w:i w:val="0"/>
          <w:caps w:val="0"/>
          <w:color w:val="auto"/>
          <w:spacing w:val="0"/>
          <w:kern w:val="0"/>
          <w:sz w:val="32"/>
          <w:szCs w:val="32"/>
          <w:lang w:val="en-US" w:eastAsia="zh-CN" w:bidi="ar"/>
        </w:rPr>
        <w:t>公共企事业单位信息公开</w:t>
      </w:r>
      <w:r>
        <w:rPr>
          <w:rFonts w:hint="eastAsia" w:eastAsia="仿宋_GB2312" w:cs="Times New Roman"/>
          <w:i w:val="0"/>
          <w:caps w:val="0"/>
          <w:color w:val="auto"/>
          <w:spacing w:val="0"/>
          <w:kern w:val="0"/>
          <w:sz w:val="32"/>
          <w:szCs w:val="32"/>
          <w:lang w:val="en-US" w:eastAsia="zh-CN" w:bidi="ar"/>
        </w:rPr>
        <w:t>。</w:t>
      </w:r>
      <w:r>
        <w:rPr>
          <w:rFonts w:hint="default" w:ascii="Times New Roman" w:hAnsi="Times New Roman" w:eastAsia="仿宋_GB2312" w:cs="Times New Roman"/>
          <w:i w:val="0"/>
          <w:caps w:val="0"/>
          <w:color w:val="auto"/>
          <w:spacing w:val="0"/>
          <w:kern w:val="0"/>
          <w:sz w:val="32"/>
          <w:szCs w:val="32"/>
          <w:lang w:val="en-US" w:eastAsia="zh-CN" w:bidi="ar"/>
        </w:rPr>
        <w:t>根据《2022年山东省公共企事业单位信息公开第三方评估指标体系及说明》，指导相关领域部门对全市学校、医疗、交通等领域公共企事业单位进行信息公开</w:t>
      </w:r>
      <w:r>
        <w:rPr>
          <w:rFonts w:hint="eastAsia" w:eastAsia="仿宋_GB2312" w:cs="Times New Roman"/>
          <w:i w:val="0"/>
          <w:caps w:val="0"/>
          <w:color w:val="auto"/>
          <w:spacing w:val="0"/>
          <w:kern w:val="0"/>
          <w:sz w:val="32"/>
          <w:szCs w:val="32"/>
          <w:lang w:val="en-US" w:eastAsia="zh-CN" w:bidi="ar"/>
        </w:rPr>
        <w:t>。</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仿宋_GB2312" w:cs="Times New Roman"/>
          <w:i w:val="0"/>
          <w:caps w:val="0"/>
          <w:color w:val="auto"/>
          <w:spacing w:val="0"/>
          <w:kern w:val="0"/>
          <w:sz w:val="32"/>
          <w:szCs w:val="32"/>
          <w:lang w:val="en-US" w:eastAsia="zh-CN" w:bidi="ar"/>
        </w:rPr>
      </w:pPr>
      <w:r>
        <w:rPr>
          <w:rFonts w:hint="eastAsia" w:eastAsia="仿宋_GB2312" w:cs="Times New Roman"/>
          <w:i w:val="0"/>
          <w:caps w:val="0"/>
          <w:color w:val="auto"/>
          <w:spacing w:val="0"/>
          <w:kern w:val="0"/>
          <w:sz w:val="32"/>
          <w:szCs w:val="32"/>
          <w:lang w:val="en-US" w:eastAsia="zh-CN" w:bidi="ar"/>
        </w:rPr>
        <w:t>三</w:t>
      </w:r>
      <w:r>
        <w:rPr>
          <w:rFonts w:hint="default" w:ascii="Times New Roman" w:hAnsi="Times New Roman" w:eastAsia="仿宋_GB2312" w:cs="Times New Roman"/>
          <w:i w:val="0"/>
          <w:caps w:val="0"/>
          <w:color w:val="auto"/>
          <w:spacing w:val="0"/>
          <w:kern w:val="0"/>
          <w:sz w:val="32"/>
          <w:szCs w:val="32"/>
          <w:lang w:val="en-US" w:eastAsia="zh-CN" w:bidi="ar"/>
        </w:rPr>
        <w:t>是优化完善政策文件库。依托</w:t>
      </w:r>
      <w:r>
        <w:rPr>
          <w:rFonts w:hint="eastAsia" w:eastAsia="仿宋_GB2312" w:cs="Times New Roman"/>
          <w:i w:val="0"/>
          <w:caps w:val="0"/>
          <w:color w:val="auto"/>
          <w:spacing w:val="0"/>
          <w:kern w:val="0"/>
          <w:sz w:val="32"/>
          <w:szCs w:val="32"/>
          <w:lang w:val="en-US" w:eastAsia="zh-CN" w:bidi="ar"/>
        </w:rPr>
        <w:t>乳山市政府</w:t>
      </w:r>
      <w:r>
        <w:rPr>
          <w:rFonts w:hint="default" w:ascii="Times New Roman" w:hAnsi="Times New Roman" w:eastAsia="仿宋_GB2312" w:cs="Times New Roman"/>
          <w:i w:val="0"/>
          <w:caps w:val="0"/>
          <w:color w:val="auto"/>
          <w:spacing w:val="0"/>
          <w:kern w:val="0"/>
          <w:sz w:val="32"/>
          <w:szCs w:val="32"/>
          <w:lang w:val="en-US" w:eastAsia="zh-CN" w:bidi="ar"/>
        </w:rPr>
        <w:t>网</w:t>
      </w:r>
      <w:r>
        <w:rPr>
          <w:rFonts w:hint="eastAsia" w:eastAsia="仿宋_GB2312" w:cs="Times New Roman"/>
          <w:i w:val="0"/>
          <w:caps w:val="0"/>
          <w:color w:val="auto"/>
          <w:spacing w:val="0"/>
          <w:kern w:val="0"/>
          <w:sz w:val="32"/>
          <w:szCs w:val="32"/>
          <w:lang w:val="en-US" w:eastAsia="zh-CN" w:bidi="ar"/>
        </w:rPr>
        <w:t>站</w:t>
      </w:r>
      <w:r>
        <w:rPr>
          <w:rFonts w:hint="default" w:ascii="Times New Roman" w:hAnsi="Times New Roman" w:eastAsia="仿宋_GB2312" w:cs="Times New Roman"/>
          <w:i w:val="0"/>
          <w:caps w:val="0"/>
          <w:color w:val="auto"/>
          <w:spacing w:val="0"/>
          <w:kern w:val="0"/>
          <w:sz w:val="32"/>
          <w:szCs w:val="32"/>
          <w:lang w:val="en-US" w:eastAsia="zh-CN" w:bidi="ar"/>
        </w:rPr>
        <w:t>政策库平台，组织全</w:t>
      </w:r>
      <w:r>
        <w:rPr>
          <w:rFonts w:hint="eastAsia" w:eastAsia="仿宋_GB2312" w:cs="Times New Roman"/>
          <w:i w:val="0"/>
          <w:caps w:val="0"/>
          <w:color w:val="auto"/>
          <w:spacing w:val="0"/>
          <w:kern w:val="0"/>
          <w:sz w:val="32"/>
          <w:szCs w:val="32"/>
          <w:lang w:val="en-US" w:eastAsia="zh-CN" w:bidi="ar"/>
        </w:rPr>
        <w:t>市</w:t>
      </w:r>
      <w:r>
        <w:rPr>
          <w:rFonts w:hint="default" w:ascii="Times New Roman" w:hAnsi="Times New Roman" w:eastAsia="仿宋_GB2312" w:cs="Times New Roman"/>
          <w:i w:val="0"/>
          <w:caps w:val="0"/>
          <w:color w:val="auto"/>
          <w:spacing w:val="0"/>
          <w:kern w:val="0"/>
          <w:sz w:val="32"/>
          <w:szCs w:val="32"/>
          <w:lang w:val="en-US" w:eastAsia="zh-CN" w:bidi="ar"/>
        </w:rPr>
        <w:t>各单位做好公文备案，提高行政机关公文公开率。全面梳理本级政府重点制度文件，实现分类集中公开。</w:t>
      </w:r>
    </w:p>
    <w:p>
      <w:pPr>
        <w:pStyle w:val="8"/>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default" w:ascii="Times New Roman" w:hAnsi="Times New Roman" w:eastAsia="楷体_GB2312" w:cs="Times New Roman"/>
          <w:i w:val="0"/>
          <w:iCs w:val="0"/>
          <w:caps w:val="0"/>
          <w:color w:val="auto"/>
          <w:spacing w:val="0"/>
          <w:sz w:val="32"/>
          <w:szCs w:val="32"/>
          <w:highlight w:val="none"/>
          <w:lang w:eastAsia="zh-CN"/>
        </w:rPr>
      </w:pPr>
      <w:r>
        <w:rPr>
          <w:rFonts w:hint="default" w:ascii="Times New Roman" w:hAnsi="Times New Roman" w:eastAsia="楷体_GB2312" w:cs="Times New Roman"/>
          <w:i w:val="0"/>
          <w:iCs w:val="0"/>
          <w:caps w:val="0"/>
          <w:color w:val="auto"/>
          <w:spacing w:val="0"/>
          <w:sz w:val="32"/>
          <w:szCs w:val="32"/>
          <w:highlight w:val="none"/>
          <w:lang w:eastAsia="zh-CN"/>
        </w:rPr>
        <w:t>（三）人大代表建议和政协提案办理结果公开情况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仿宋_GB2312" w:cs="Times New Roman"/>
          <w:i w:val="0"/>
          <w:caps w:val="0"/>
          <w:color w:val="auto"/>
          <w:spacing w:val="0"/>
          <w:kern w:val="0"/>
          <w:sz w:val="32"/>
          <w:szCs w:val="32"/>
          <w:lang w:val="en-US" w:eastAsia="zh-CN" w:bidi="ar"/>
        </w:rPr>
      </w:pPr>
      <w:r>
        <w:rPr>
          <w:rFonts w:hint="default" w:ascii="Times New Roman" w:hAnsi="Times New Roman" w:eastAsia="仿宋_GB2312" w:cs="Times New Roman"/>
          <w:i w:val="0"/>
          <w:caps w:val="0"/>
          <w:color w:val="auto"/>
          <w:spacing w:val="0"/>
          <w:kern w:val="0"/>
          <w:sz w:val="32"/>
          <w:szCs w:val="32"/>
          <w:lang w:val="en-US" w:eastAsia="zh-CN" w:bidi="ar"/>
        </w:rPr>
        <w:t>2022年，共收到需我市办理的人大代表建议、政协委员提案118件，其中市级人大代表建议37件，市级政协委员提案81件。在市人大、政协的监督、支持和指导下，在各承办单位和经办人员的共同努力下，人大代表建议、政协委员提案已全部落实、办结，面复率及满意率均为100%。</w:t>
      </w:r>
    </w:p>
    <w:p>
      <w:pPr>
        <w:pStyle w:val="8"/>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default" w:ascii="Times New Roman" w:hAnsi="Times New Roman" w:eastAsia="楷体_GB2312" w:cs="Times New Roman"/>
          <w:i w:val="0"/>
          <w:iCs w:val="0"/>
          <w:caps w:val="0"/>
          <w:color w:val="auto"/>
          <w:spacing w:val="0"/>
          <w:sz w:val="32"/>
          <w:szCs w:val="32"/>
          <w:highlight w:val="none"/>
          <w:lang w:eastAsia="zh-CN"/>
        </w:rPr>
      </w:pPr>
      <w:r>
        <w:rPr>
          <w:rFonts w:hint="default" w:ascii="Times New Roman" w:hAnsi="Times New Roman" w:eastAsia="楷体_GB2312" w:cs="Times New Roman"/>
          <w:i w:val="0"/>
          <w:iCs w:val="0"/>
          <w:caps w:val="0"/>
          <w:color w:val="auto"/>
          <w:spacing w:val="0"/>
          <w:sz w:val="32"/>
          <w:szCs w:val="32"/>
          <w:highlight w:val="none"/>
          <w:lang w:eastAsia="zh-CN"/>
        </w:rPr>
        <w:t>（四）政务公开工作创新情况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仿宋_GB2312" w:cs="Times New Roman"/>
          <w:i w:val="0"/>
          <w:caps w:val="0"/>
          <w:color w:val="auto"/>
          <w:spacing w:val="0"/>
          <w:kern w:val="0"/>
          <w:sz w:val="32"/>
          <w:szCs w:val="32"/>
          <w:lang w:val="en-US" w:eastAsia="zh-CN" w:bidi="ar"/>
        </w:rPr>
      </w:pPr>
      <w:r>
        <w:rPr>
          <w:rFonts w:hint="default" w:ascii="Times New Roman" w:hAnsi="Times New Roman" w:eastAsia="仿宋_GB2312" w:cs="Times New Roman"/>
          <w:i w:val="0"/>
          <w:caps w:val="0"/>
          <w:color w:val="auto"/>
          <w:spacing w:val="0"/>
          <w:kern w:val="0"/>
          <w:sz w:val="32"/>
          <w:szCs w:val="32"/>
          <w:lang w:val="en" w:eastAsia="zh-CN" w:bidi="ar"/>
        </w:rPr>
        <w:t>一是建成政务公开通讯录专题。内设机构科室名称、联系电话、科室及直属事业单位简介，群众无需拨打市政府电话或</w:t>
      </w:r>
      <w:r>
        <w:rPr>
          <w:rFonts w:hint="default" w:ascii="Times New Roman" w:hAnsi="Times New Roman" w:eastAsia="仿宋_GB2312" w:cs="Times New Roman"/>
          <w:i w:val="0"/>
          <w:caps w:val="0"/>
          <w:color w:val="auto"/>
          <w:spacing w:val="0"/>
          <w:kern w:val="0"/>
          <w:sz w:val="32"/>
          <w:szCs w:val="32"/>
          <w:lang w:val="en-US" w:eastAsia="zh-CN" w:bidi="ar"/>
        </w:rPr>
        <w:t>114查询，在首页或公开页即可清晰定位政府部门（具体到业务科室）的联系方式，有效畅通沟通渠道，精简办事流程，该亮点工作被省通报表扬，全省推广。</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仿宋_GB2312" w:cs="Times New Roman"/>
          <w:i w:val="0"/>
          <w:caps w:val="0"/>
          <w:color w:val="auto"/>
          <w:spacing w:val="0"/>
          <w:kern w:val="0"/>
          <w:sz w:val="32"/>
          <w:szCs w:val="32"/>
          <w:lang w:val="en" w:eastAsia="zh-CN" w:bidi="ar"/>
        </w:rPr>
      </w:pPr>
      <w:r>
        <w:rPr>
          <w:rFonts w:hint="default" w:ascii="Times New Roman" w:hAnsi="Times New Roman" w:eastAsia="仿宋_GB2312" w:cs="Times New Roman"/>
          <w:i w:val="0"/>
          <w:caps w:val="0"/>
          <w:color w:val="auto"/>
          <w:spacing w:val="0"/>
          <w:kern w:val="0"/>
          <w:sz w:val="32"/>
          <w:szCs w:val="32"/>
          <w:lang w:val="en" w:eastAsia="zh-CN" w:bidi="ar"/>
        </w:rPr>
        <w:t>二是建成</w:t>
      </w:r>
      <w:r>
        <w:rPr>
          <w:rFonts w:hint="default" w:ascii="Times New Roman" w:hAnsi="Times New Roman" w:eastAsia="仿宋_GB2312" w:cs="Times New Roman"/>
          <w:i w:val="0"/>
          <w:caps w:val="0"/>
          <w:color w:val="auto"/>
          <w:spacing w:val="0"/>
          <w:kern w:val="0"/>
          <w:sz w:val="32"/>
          <w:szCs w:val="32"/>
          <w:lang w:val="en-US" w:eastAsia="zh-CN" w:bidi="ar"/>
        </w:rPr>
        <w:t>重点领域</w:t>
      </w:r>
      <w:r>
        <w:rPr>
          <w:rFonts w:hint="default" w:ascii="Times New Roman" w:hAnsi="Times New Roman" w:eastAsia="仿宋_GB2312" w:cs="Times New Roman"/>
          <w:i w:val="0"/>
          <w:caps w:val="0"/>
          <w:color w:val="auto"/>
          <w:spacing w:val="0"/>
          <w:kern w:val="0"/>
          <w:sz w:val="32"/>
          <w:szCs w:val="32"/>
          <w:lang w:val="en" w:eastAsia="zh-CN" w:bidi="ar"/>
        </w:rPr>
        <w:t>专题页面。依托基层政务公开标准目录，确定重点领域牵头部门，通过实地走访调研部门需求并充分与第三方沟通，全面搭建各个领域公开专题专栏，解决各领域独立专题较多群众不易查找的难题，单位维护信息更有头绪，群众查找信息更加便捷，为推动基层政务公开标准目录落实提供重要参考。</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default" w:ascii="Times New Roman" w:hAnsi="Times New Roman" w:eastAsia="仿宋_GB2312" w:cs="Times New Roman"/>
          <w:i w:val="0"/>
          <w:caps w:val="0"/>
          <w:color w:val="auto"/>
          <w:spacing w:val="0"/>
          <w:kern w:val="0"/>
          <w:sz w:val="32"/>
          <w:szCs w:val="32"/>
          <w:lang w:val="en-US" w:eastAsia="zh-CN" w:bidi="ar"/>
        </w:rPr>
      </w:pPr>
      <w:r>
        <w:rPr>
          <w:rFonts w:hint="default" w:ascii="Times New Roman" w:hAnsi="Times New Roman" w:eastAsia="仿宋_GB2312" w:cs="Times New Roman"/>
          <w:i w:val="0"/>
          <w:caps w:val="0"/>
          <w:color w:val="auto"/>
          <w:spacing w:val="0"/>
          <w:kern w:val="0"/>
          <w:sz w:val="32"/>
          <w:szCs w:val="32"/>
          <w:lang w:val="en" w:eastAsia="zh-CN" w:bidi="ar"/>
        </w:rPr>
        <w:t>三是开展季度点对点培训会议。为有效解决政务公开具体工作人员更换频繁工作交接不畅，致使公开工作得不到保障，乳山市强化基层政务公开人员培训，按季度开展点对点业务培训，</w:t>
      </w:r>
      <w:r>
        <w:rPr>
          <w:rFonts w:hint="default" w:ascii="Times New Roman" w:hAnsi="Times New Roman" w:eastAsia="仿宋_GB2312" w:cs="Times New Roman"/>
          <w:i w:val="0"/>
          <w:caps w:val="0"/>
          <w:color w:val="auto"/>
          <w:spacing w:val="0"/>
          <w:kern w:val="0"/>
          <w:sz w:val="32"/>
          <w:szCs w:val="32"/>
          <w:lang w:val="en-US" w:eastAsia="zh-CN" w:bidi="ar"/>
        </w:rPr>
        <w:t>市政府办公室提前半天针对将要参加培训单位的公开工作开展情况进行细致检查，带着问题开展培训，既能节省时间成本又能提高人员素质，促使公开工作落实落地。</w:t>
      </w:r>
    </w:p>
    <w:sectPr>
      <w:headerReference r:id="rId3" w:type="default"/>
      <w:footerReference r:id="rId4" w:type="default"/>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方正舒体"/>
    <w:panose1 w:val="02010601030101010101"/>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宋体">
    <w:panose1 w:val="02010600040101010101"/>
    <w:charset w:val="86"/>
    <w:family w:val="auto"/>
    <w:pitch w:val="default"/>
    <w:sig w:usb0="00000287" w:usb1="080F0000" w:usb2="00000000" w:usb3="00000000" w:csb0="0004009F" w:csb1="DFD70000"/>
  </w:font>
  <w:font w:name="华文行楷">
    <w:panose1 w:val="02010800040101010101"/>
    <w:charset w:val="86"/>
    <w:family w:val="auto"/>
    <w:pitch w:val="default"/>
    <w:sig w:usb0="00000001" w:usb1="080F0000" w:usb2="00000000" w:usb3="00000000" w:csb0="00040000" w:csb1="00000000"/>
  </w:font>
  <w:font w:name="幼圆">
    <w:panose1 w:val="02010509060101010101"/>
    <w:charset w:val="86"/>
    <w:family w:val="auto"/>
    <w:pitch w:val="default"/>
    <w:sig w:usb0="00000001" w:usb1="080E0000" w:usb2="00000000" w:usb3="00000000" w:csb0="00040000" w:csb1="00000000"/>
  </w:font>
  <w:font w:name="隶书">
    <w:panose1 w:val="0201050906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2"/>
        <w:rFonts w:ascii="宋体" w:hAnsi="宋体"/>
        <w:sz w:val="28"/>
        <w:szCs w:val="28"/>
      </w:rPr>
    </w:pPr>
    <w:r>
      <w:rPr>
        <w:rStyle w:val="12"/>
        <w:rFonts w:ascii="宋体" w:hAnsi="宋体"/>
        <w:sz w:val="28"/>
        <w:szCs w:val="28"/>
      </w:rPr>
      <w:fldChar w:fldCharType="begin"/>
    </w:r>
    <w:r>
      <w:rPr>
        <w:rStyle w:val="12"/>
        <w:rFonts w:ascii="宋体" w:hAnsi="宋体"/>
        <w:sz w:val="28"/>
        <w:szCs w:val="28"/>
      </w:rPr>
      <w:instrText xml:space="preserve">PAGE  </w:instrText>
    </w:r>
    <w:r>
      <w:rPr>
        <w:rStyle w:val="12"/>
        <w:rFonts w:ascii="宋体" w:hAnsi="宋体"/>
        <w:sz w:val="28"/>
        <w:szCs w:val="28"/>
      </w:rPr>
      <w:fldChar w:fldCharType="separate"/>
    </w:r>
    <w:r>
      <w:rPr>
        <w:rStyle w:val="12"/>
        <w:rFonts w:ascii="宋体" w:hAnsi="宋体"/>
        <w:sz w:val="28"/>
        <w:szCs w:val="28"/>
      </w:rPr>
      <w:t>- 4 -</w:t>
    </w:r>
    <w:r>
      <w:rPr>
        <w:rStyle w:val="12"/>
        <w:rFonts w:ascii="宋体" w:hAnsi="宋体"/>
        <w:sz w:val="28"/>
        <w:szCs w:val="28"/>
      </w:rPr>
      <w:fldChar w:fldCharType="end"/>
    </w:r>
  </w:p>
  <w:p>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NjOThmMzM1N2FjNTU2NzIxNDAxM2M2ZTEwYzY3NzcifQ=="/>
  </w:docVars>
  <w:rsids>
    <w:rsidRoot w:val="2C1A7E16"/>
    <w:rsid w:val="000224BB"/>
    <w:rsid w:val="000A026A"/>
    <w:rsid w:val="000D1E93"/>
    <w:rsid w:val="000D7096"/>
    <w:rsid w:val="0014465E"/>
    <w:rsid w:val="00211716"/>
    <w:rsid w:val="00230D59"/>
    <w:rsid w:val="002D730E"/>
    <w:rsid w:val="003060AC"/>
    <w:rsid w:val="0038616E"/>
    <w:rsid w:val="00595BCF"/>
    <w:rsid w:val="0071341E"/>
    <w:rsid w:val="009669D6"/>
    <w:rsid w:val="00A213DA"/>
    <w:rsid w:val="00A61FC9"/>
    <w:rsid w:val="00B6393A"/>
    <w:rsid w:val="00BA5F7E"/>
    <w:rsid w:val="00D53574"/>
    <w:rsid w:val="00D57F1D"/>
    <w:rsid w:val="00E136D7"/>
    <w:rsid w:val="00ED5D0E"/>
    <w:rsid w:val="00F073AD"/>
    <w:rsid w:val="00F42D56"/>
    <w:rsid w:val="00F97673"/>
    <w:rsid w:val="01195642"/>
    <w:rsid w:val="01B30A69"/>
    <w:rsid w:val="02306473"/>
    <w:rsid w:val="0301396B"/>
    <w:rsid w:val="03675EC4"/>
    <w:rsid w:val="03993BA4"/>
    <w:rsid w:val="03AF786B"/>
    <w:rsid w:val="045F303F"/>
    <w:rsid w:val="04A96068"/>
    <w:rsid w:val="04DB10AF"/>
    <w:rsid w:val="07442FFA"/>
    <w:rsid w:val="07513835"/>
    <w:rsid w:val="07B92A66"/>
    <w:rsid w:val="0B683EA8"/>
    <w:rsid w:val="0BA21941"/>
    <w:rsid w:val="0BAE5C3A"/>
    <w:rsid w:val="0C0A7D34"/>
    <w:rsid w:val="0C4072B2"/>
    <w:rsid w:val="0C6644A2"/>
    <w:rsid w:val="0C7C4062"/>
    <w:rsid w:val="0C7D5BCC"/>
    <w:rsid w:val="0E400E52"/>
    <w:rsid w:val="0FE66647"/>
    <w:rsid w:val="1100110B"/>
    <w:rsid w:val="126D6927"/>
    <w:rsid w:val="12DF0704"/>
    <w:rsid w:val="132950ED"/>
    <w:rsid w:val="15D23CCD"/>
    <w:rsid w:val="168F265D"/>
    <w:rsid w:val="169750FB"/>
    <w:rsid w:val="16D70C5D"/>
    <w:rsid w:val="17CA1B6D"/>
    <w:rsid w:val="189E0581"/>
    <w:rsid w:val="18B51028"/>
    <w:rsid w:val="18FC7B0D"/>
    <w:rsid w:val="1A82318C"/>
    <w:rsid w:val="1AAE5A71"/>
    <w:rsid w:val="1B836D49"/>
    <w:rsid w:val="1BAD248A"/>
    <w:rsid w:val="1BF81F3C"/>
    <w:rsid w:val="1CEB45E0"/>
    <w:rsid w:val="1D09129C"/>
    <w:rsid w:val="1DC2273E"/>
    <w:rsid w:val="1E2C3B3A"/>
    <w:rsid w:val="1FB5190D"/>
    <w:rsid w:val="1FD8206A"/>
    <w:rsid w:val="20D01F6D"/>
    <w:rsid w:val="219F4623"/>
    <w:rsid w:val="22326B0B"/>
    <w:rsid w:val="22497BDD"/>
    <w:rsid w:val="23305E7B"/>
    <w:rsid w:val="23F724F4"/>
    <w:rsid w:val="24AC5E14"/>
    <w:rsid w:val="24BA7B31"/>
    <w:rsid w:val="24F37160"/>
    <w:rsid w:val="255D66F7"/>
    <w:rsid w:val="26962499"/>
    <w:rsid w:val="26E054C2"/>
    <w:rsid w:val="2725381D"/>
    <w:rsid w:val="27483067"/>
    <w:rsid w:val="274F7B84"/>
    <w:rsid w:val="27F77A15"/>
    <w:rsid w:val="284303FE"/>
    <w:rsid w:val="286345E6"/>
    <w:rsid w:val="28894B50"/>
    <w:rsid w:val="28C0157D"/>
    <w:rsid w:val="2A3652DE"/>
    <w:rsid w:val="2AED28A3"/>
    <w:rsid w:val="2B073965"/>
    <w:rsid w:val="2B0A5203"/>
    <w:rsid w:val="2B487900"/>
    <w:rsid w:val="2C1A7E16"/>
    <w:rsid w:val="2CEF3993"/>
    <w:rsid w:val="2DEA131C"/>
    <w:rsid w:val="2F4036AC"/>
    <w:rsid w:val="2FAA7554"/>
    <w:rsid w:val="301B640F"/>
    <w:rsid w:val="311423E7"/>
    <w:rsid w:val="31AC744A"/>
    <w:rsid w:val="31B07A97"/>
    <w:rsid w:val="32193F7E"/>
    <w:rsid w:val="339064C2"/>
    <w:rsid w:val="343F3175"/>
    <w:rsid w:val="34581C7A"/>
    <w:rsid w:val="349A75F8"/>
    <w:rsid w:val="353F2671"/>
    <w:rsid w:val="356D30F4"/>
    <w:rsid w:val="362331F4"/>
    <w:rsid w:val="367125DA"/>
    <w:rsid w:val="368D6CE8"/>
    <w:rsid w:val="36973D02"/>
    <w:rsid w:val="37033C7E"/>
    <w:rsid w:val="37EF103B"/>
    <w:rsid w:val="38743CBC"/>
    <w:rsid w:val="38877E93"/>
    <w:rsid w:val="38912AC0"/>
    <w:rsid w:val="395C1320"/>
    <w:rsid w:val="3A59760D"/>
    <w:rsid w:val="3C431865"/>
    <w:rsid w:val="3C5A141B"/>
    <w:rsid w:val="3E410395"/>
    <w:rsid w:val="3E725142"/>
    <w:rsid w:val="3FFF47B3"/>
    <w:rsid w:val="409969B6"/>
    <w:rsid w:val="41C57B3C"/>
    <w:rsid w:val="424566C9"/>
    <w:rsid w:val="42C719F9"/>
    <w:rsid w:val="42F02E45"/>
    <w:rsid w:val="433504EC"/>
    <w:rsid w:val="43421557"/>
    <w:rsid w:val="43844387"/>
    <w:rsid w:val="443864E5"/>
    <w:rsid w:val="451C1963"/>
    <w:rsid w:val="45EE73F7"/>
    <w:rsid w:val="4873716D"/>
    <w:rsid w:val="48A82D31"/>
    <w:rsid w:val="49276B29"/>
    <w:rsid w:val="49465201"/>
    <w:rsid w:val="49610774"/>
    <w:rsid w:val="497179F9"/>
    <w:rsid w:val="498A77E3"/>
    <w:rsid w:val="49E506F8"/>
    <w:rsid w:val="4A0368E5"/>
    <w:rsid w:val="4AE802F1"/>
    <w:rsid w:val="4AF8077D"/>
    <w:rsid w:val="4C170309"/>
    <w:rsid w:val="4D9D385D"/>
    <w:rsid w:val="50B67110"/>
    <w:rsid w:val="50F33BA4"/>
    <w:rsid w:val="51025EB1"/>
    <w:rsid w:val="526B23B2"/>
    <w:rsid w:val="52884ADC"/>
    <w:rsid w:val="53432B32"/>
    <w:rsid w:val="53EC3408"/>
    <w:rsid w:val="544B4013"/>
    <w:rsid w:val="54B5148C"/>
    <w:rsid w:val="551F6A85"/>
    <w:rsid w:val="553700F3"/>
    <w:rsid w:val="557135FE"/>
    <w:rsid w:val="55F40096"/>
    <w:rsid w:val="55FF08EB"/>
    <w:rsid w:val="56E02076"/>
    <w:rsid w:val="56ED315F"/>
    <w:rsid w:val="575546F8"/>
    <w:rsid w:val="5799298C"/>
    <w:rsid w:val="57BB14B0"/>
    <w:rsid w:val="58BC103B"/>
    <w:rsid w:val="5B13515F"/>
    <w:rsid w:val="5B350055"/>
    <w:rsid w:val="5BEA75B7"/>
    <w:rsid w:val="5CDC0D4A"/>
    <w:rsid w:val="5D3A4C25"/>
    <w:rsid w:val="5D565903"/>
    <w:rsid w:val="5D7B23E5"/>
    <w:rsid w:val="5E2E6B4F"/>
    <w:rsid w:val="600A20CC"/>
    <w:rsid w:val="60E92BEA"/>
    <w:rsid w:val="61D2367E"/>
    <w:rsid w:val="628250A4"/>
    <w:rsid w:val="62F92E8C"/>
    <w:rsid w:val="62FD68B3"/>
    <w:rsid w:val="637D5804"/>
    <w:rsid w:val="63D23E09"/>
    <w:rsid w:val="63DD7AE2"/>
    <w:rsid w:val="63FC658A"/>
    <w:rsid w:val="644E13ED"/>
    <w:rsid w:val="64C574CA"/>
    <w:rsid w:val="64EE6A20"/>
    <w:rsid w:val="65501489"/>
    <w:rsid w:val="655B1BDC"/>
    <w:rsid w:val="662D5327"/>
    <w:rsid w:val="67D733F3"/>
    <w:rsid w:val="680C5410"/>
    <w:rsid w:val="682B2048"/>
    <w:rsid w:val="68DB550E"/>
    <w:rsid w:val="69E95A08"/>
    <w:rsid w:val="6B76151E"/>
    <w:rsid w:val="6BA22313"/>
    <w:rsid w:val="6BA53BB1"/>
    <w:rsid w:val="6CE1330F"/>
    <w:rsid w:val="6CE60925"/>
    <w:rsid w:val="6DA305C4"/>
    <w:rsid w:val="6DE97B32"/>
    <w:rsid w:val="6E5710EA"/>
    <w:rsid w:val="6F1E23B9"/>
    <w:rsid w:val="6F3E05A4"/>
    <w:rsid w:val="702D5883"/>
    <w:rsid w:val="714F6A99"/>
    <w:rsid w:val="71755DD4"/>
    <w:rsid w:val="71A87C0E"/>
    <w:rsid w:val="72676064"/>
    <w:rsid w:val="73107E04"/>
    <w:rsid w:val="747247FB"/>
    <w:rsid w:val="76D33CC8"/>
    <w:rsid w:val="77446B53"/>
    <w:rsid w:val="77A47413"/>
    <w:rsid w:val="785E3A65"/>
    <w:rsid w:val="79F07304"/>
    <w:rsid w:val="7ADA2B6C"/>
    <w:rsid w:val="7B986740"/>
    <w:rsid w:val="7BE44282"/>
    <w:rsid w:val="7D9F57C5"/>
    <w:rsid w:val="7E0B2378"/>
    <w:rsid w:val="7F007624"/>
    <w:rsid w:val="7FFECFA3"/>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9"/>
    <w:pPr>
      <w:keepNext/>
      <w:keepLines/>
      <w:spacing w:before="340" w:after="330" w:line="578" w:lineRule="auto"/>
      <w:outlineLvl w:val="0"/>
    </w:pPr>
    <w:rPr>
      <w:b/>
      <w:bCs/>
      <w:kern w:val="44"/>
      <w:sz w:val="44"/>
      <w:szCs w:val="44"/>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Title"/>
    <w:basedOn w:val="1"/>
    <w:next w:val="3"/>
    <w:qFormat/>
    <w:uiPriority w:val="0"/>
    <w:pPr>
      <w:ind w:firstLine="0" w:firstLineChars="0"/>
      <w:jc w:val="center"/>
      <w:outlineLvl w:val="0"/>
    </w:pPr>
    <w:rPr>
      <w:rFonts w:eastAsia="方正小标宋简体"/>
      <w:bCs/>
      <w:sz w:val="44"/>
      <w:szCs w:val="32"/>
    </w:rPr>
  </w:style>
  <w:style w:type="paragraph" w:customStyle="1" w:styleId="3">
    <w:name w:val="文章附标题"/>
    <w:basedOn w:val="1"/>
    <w:next w:val="4"/>
    <w:qFormat/>
    <w:uiPriority w:val="0"/>
    <w:pPr>
      <w:spacing w:before="104" w:beforeLines="0" w:after="104" w:afterLines="0" w:line="0" w:lineRule="atLeast"/>
      <w:ind w:firstLine="0" w:firstLineChars="0"/>
      <w:jc w:val="center"/>
    </w:pPr>
    <w:rPr>
      <w:rFonts w:ascii="Calibri" w:hAnsi="Calibri" w:eastAsia="宋体" w:cs="Times New Roman"/>
      <w:sz w:val="36"/>
    </w:rPr>
  </w:style>
  <w:style w:type="paragraph" w:styleId="5">
    <w:name w:val="Balloon Text"/>
    <w:basedOn w:val="1"/>
    <w:link w:val="14"/>
    <w:qFormat/>
    <w:uiPriority w:val="0"/>
    <w:rPr>
      <w:sz w:val="18"/>
      <w:szCs w:val="18"/>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1">
    <w:name w:val="Strong"/>
    <w:basedOn w:val="10"/>
    <w:qFormat/>
    <w:uiPriority w:val="0"/>
    <w:rPr>
      <w:b/>
    </w:rPr>
  </w:style>
  <w:style w:type="character" w:styleId="12">
    <w:name w:val="page number"/>
    <w:basedOn w:val="10"/>
    <w:qFormat/>
    <w:uiPriority w:val="0"/>
  </w:style>
  <w:style w:type="character" w:styleId="13">
    <w:name w:val="Hyperlink"/>
    <w:basedOn w:val="10"/>
    <w:qFormat/>
    <w:uiPriority w:val="0"/>
    <w:rPr>
      <w:color w:val="0000FF"/>
      <w:u w:val="single"/>
    </w:rPr>
  </w:style>
  <w:style w:type="character" w:customStyle="1" w:styleId="14">
    <w:name w:val="批注框文本 Char"/>
    <w:basedOn w:val="10"/>
    <w:link w:val="5"/>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3340</Words>
  <Characters>3495</Characters>
  <Lines>46</Lines>
  <Paragraphs>13</Paragraphs>
  <TotalTime>17</TotalTime>
  <ScaleCrop>false</ScaleCrop>
  <LinksUpToDate>false</LinksUpToDate>
  <CharactersWithSpaces>3495</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2021-01-20T22:44:00Z</dcterms:created>
  <dc:creator>Lenovo</dc:creator>
  <cp:lastModifiedBy>lenovo</cp:lastModifiedBy>
  <dcterms:modified xsi:type="dcterms:W3CDTF">2023-02-20T16:51:44Z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6A33AAA4F431434E9D082D14B5732372</vt:lpwstr>
  </property>
</Properties>
</file>