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kinsoku/>
        <w:wordWrap/>
        <w:overflowPunct/>
        <w:topLinePunct w:val="0"/>
        <w:autoSpaceDE/>
        <w:autoSpaceDN/>
        <w:bidi w:val="0"/>
        <w:adjustRightInd w:val="0"/>
        <w:snapToGrid w:val="0"/>
        <w:spacing w:line="580" w:lineRule="exact"/>
        <w:jc w:val="center"/>
        <w:textAlignment w:val="auto"/>
        <w:rPr>
          <w:rFonts w:hint="default" w:ascii="Times New Roman" w:hAnsi="Times New Roman" w:cs="Times New Roman"/>
        </w:rPr>
      </w:pPr>
      <w:bookmarkStart w:id="107" w:name="_GoBack"/>
      <w:bookmarkEnd w:id="107"/>
      <w:r>
        <w:rPr>
          <w:rFonts w:hint="default" w:ascii="Times New Roman" w:hAnsi="Times New Roman" w:eastAsia="方正小标宋简体" w:cs="Times New Roman"/>
          <w:color w:val="000000"/>
          <w:kern w:val="0"/>
          <w:sz w:val="43"/>
          <w:szCs w:val="43"/>
          <w:lang w:val="en-US" w:eastAsia="zh-CN" w:bidi="ar"/>
        </w:rPr>
        <w:t>乳山市人民政府</w:t>
      </w:r>
    </w:p>
    <w:p>
      <w:pPr>
        <w:keepNext w:val="0"/>
        <w:keepLines w:val="0"/>
        <w:pageBreakBefore w:val="0"/>
        <w:widowControl w:val="0"/>
        <w:suppressLineNumbers w:val="0"/>
        <w:kinsoku/>
        <w:wordWrap/>
        <w:overflowPunct/>
        <w:topLinePunct w:val="0"/>
        <w:autoSpaceDE/>
        <w:autoSpaceDN/>
        <w:bidi w:val="0"/>
        <w:adjustRightInd w:val="0"/>
        <w:snapToGrid w:val="0"/>
        <w:spacing w:line="580" w:lineRule="exact"/>
        <w:jc w:val="center"/>
        <w:textAlignment w:val="auto"/>
        <w:rPr>
          <w:rFonts w:hint="default" w:ascii="Times New Roman" w:hAnsi="Times New Roman" w:eastAsia="方正小标宋简体" w:cs="Times New Roman"/>
          <w:color w:val="000000"/>
          <w:kern w:val="0"/>
          <w:sz w:val="43"/>
          <w:szCs w:val="43"/>
          <w:lang w:val="en-US" w:eastAsia="zh-CN" w:bidi="ar"/>
        </w:rPr>
      </w:pPr>
      <w:r>
        <w:rPr>
          <w:rFonts w:hint="default" w:ascii="Times New Roman" w:hAnsi="Times New Roman" w:eastAsia="方正小标宋简体" w:cs="Times New Roman"/>
          <w:color w:val="000000"/>
          <w:kern w:val="0"/>
          <w:sz w:val="43"/>
          <w:szCs w:val="43"/>
          <w:lang w:val="en-US" w:eastAsia="zh-CN" w:bidi="ar"/>
        </w:rPr>
        <w:t>关于印发乳山市国民经济和社会发展第十四个</w:t>
      </w:r>
    </w:p>
    <w:p>
      <w:pPr>
        <w:keepNext w:val="0"/>
        <w:keepLines w:val="0"/>
        <w:pageBreakBefore w:val="0"/>
        <w:widowControl w:val="0"/>
        <w:suppressLineNumbers w:val="0"/>
        <w:kinsoku/>
        <w:wordWrap/>
        <w:overflowPunct/>
        <w:topLinePunct w:val="0"/>
        <w:autoSpaceDE/>
        <w:autoSpaceDN/>
        <w:bidi w:val="0"/>
        <w:adjustRightInd w:val="0"/>
        <w:snapToGrid w:val="0"/>
        <w:spacing w:line="580" w:lineRule="exact"/>
        <w:jc w:val="center"/>
        <w:textAlignment w:val="auto"/>
        <w:rPr>
          <w:rFonts w:hint="default" w:ascii="Times New Roman" w:hAnsi="Times New Roman" w:cs="Times New Roman"/>
        </w:rPr>
      </w:pPr>
      <w:r>
        <w:rPr>
          <w:rFonts w:hint="default" w:ascii="Times New Roman" w:hAnsi="Times New Roman" w:eastAsia="方正小标宋简体" w:cs="Times New Roman"/>
          <w:color w:val="000000"/>
          <w:kern w:val="0"/>
          <w:sz w:val="43"/>
          <w:szCs w:val="43"/>
          <w:lang w:val="en-US" w:eastAsia="zh-CN" w:bidi="ar"/>
        </w:rPr>
        <w:t>五年规划和二</w:t>
      </w:r>
      <w:r>
        <w:rPr>
          <w:rFonts w:hint="default" w:ascii="Times New Roman" w:hAnsi="Times New Roman" w:eastAsia="宋体" w:cs="Times New Roman"/>
          <w:color w:val="000000"/>
          <w:kern w:val="0"/>
          <w:sz w:val="43"/>
          <w:szCs w:val="43"/>
          <w:lang w:val="en-US" w:eastAsia="zh-CN" w:bidi="ar"/>
        </w:rPr>
        <w:t>〇</w:t>
      </w:r>
      <w:r>
        <w:rPr>
          <w:rFonts w:hint="default" w:ascii="Times New Roman" w:hAnsi="Times New Roman" w:eastAsia="方正小标宋简体" w:cs="Times New Roman"/>
          <w:color w:val="000000"/>
          <w:kern w:val="0"/>
          <w:sz w:val="43"/>
          <w:szCs w:val="43"/>
          <w:lang w:val="en-US" w:eastAsia="zh-CN" w:bidi="ar"/>
        </w:rPr>
        <w:t>三五年远景目标纲要的通知</w:t>
      </w:r>
    </w:p>
    <w:p>
      <w:pPr>
        <w:adjustRightInd w:val="0"/>
        <w:snapToGrid w:val="0"/>
        <w:spacing w:line="560" w:lineRule="exact"/>
        <w:jc w:val="center"/>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乳政发〔202</w:t>
      </w: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val="en-US" w:eastAsia="zh-CN"/>
        </w:rPr>
        <w:t>3</w:t>
      </w:r>
      <w:r>
        <w:rPr>
          <w:rFonts w:hint="default" w:ascii="Times New Roman" w:hAnsi="Times New Roman" w:eastAsia="仿宋_GB2312" w:cs="Times New Roman"/>
          <w:kern w:val="0"/>
          <w:sz w:val="32"/>
          <w:szCs w:val="32"/>
        </w:rPr>
        <w:t>号</w:t>
      </w:r>
    </w:p>
    <w:p>
      <w:pPr>
        <w:keepNext w:val="0"/>
        <w:keepLines w:val="0"/>
        <w:pageBreakBefore w:val="0"/>
        <w:widowControl w:val="0"/>
        <w:suppressLineNumbers w:val="0"/>
        <w:kinsoku/>
        <w:wordWrap/>
        <w:overflowPunct/>
        <w:topLinePunct w:val="0"/>
        <w:autoSpaceDE/>
        <w:autoSpaceDN/>
        <w:bidi w:val="0"/>
        <w:adjustRightInd w:val="0"/>
        <w:snapToGrid w:val="0"/>
        <w:spacing w:line="580" w:lineRule="exact"/>
        <w:jc w:val="both"/>
        <w:textAlignment w:val="auto"/>
        <w:rPr>
          <w:rFonts w:hint="default" w:ascii="Times New Roman" w:hAnsi="Times New Roman" w:eastAsia="仿宋_GB2312" w:cs="Times New Roman"/>
          <w:color w:val="000000"/>
          <w:kern w:val="0"/>
          <w:sz w:val="32"/>
          <w:szCs w:val="32"/>
          <w:lang w:val="en-US" w:eastAsia="zh-CN" w:bidi="ar"/>
        </w:rPr>
      </w:pPr>
    </w:p>
    <w:p>
      <w:pPr>
        <w:keepNext w:val="0"/>
        <w:keepLines w:val="0"/>
        <w:pageBreakBefore w:val="0"/>
        <w:widowControl w:val="0"/>
        <w:tabs>
          <w:tab w:val="left" w:pos="7560"/>
          <w:tab w:val="left" w:pos="7770"/>
        </w:tabs>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各镇人民政府，市政府各部门、单位，滨海新区</w:t>
      </w:r>
      <w:r>
        <w:rPr>
          <w:rFonts w:hint="default" w:ascii="Times New Roman" w:hAnsi="Times New Roman" w:eastAsia="仿宋_GB2312" w:cs="Times New Roman"/>
          <w:b w:val="0"/>
          <w:bCs w:val="0"/>
          <w:color w:val="000000"/>
          <w:sz w:val="32"/>
          <w:szCs w:val="32"/>
          <w:lang w:eastAsia="zh-CN"/>
        </w:rPr>
        <w:t>（银滩旅游度假区）</w:t>
      </w:r>
      <w:r>
        <w:rPr>
          <w:rFonts w:hint="default" w:ascii="Times New Roman" w:hAnsi="Times New Roman" w:eastAsia="仿宋_GB2312" w:cs="Times New Roman"/>
          <w:b w:val="0"/>
          <w:bCs w:val="0"/>
          <w:color w:val="000000"/>
          <w:sz w:val="32"/>
          <w:szCs w:val="32"/>
        </w:rPr>
        <w:t>、经济开发区、城区街道办事处，各市属国有企业：</w:t>
      </w:r>
    </w:p>
    <w:p>
      <w:pPr>
        <w:keepNext w:val="0"/>
        <w:keepLines w:val="0"/>
        <w:pageBreakBefore w:val="0"/>
        <w:widowControl w:val="0"/>
        <w:suppressLineNumbers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 xml:space="preserve">《乳山市国民经济和社会发展第十四个五年规划和二〇三五年远景目标纲要》（以下简称《纲要》）已经市第十八届人民代表大会第五次会议审查批准，现印发给你们，请认真贯彻实施。 </w:t>
      </w:r>
    </w:p>
    <w:p>
      <w:pPr>
        <w:keepNext w:val="0"/>
        <w:keepLines w:val="0"/>
        <w:pageBreakBefore w:val="0"/>
        <w:widowControl w:val="0"/>
        <w:tabs>
          <w:tab w:val="left" w:pos="7560"/>
        </w:tabs>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 xml:space="preserve">《纲要》坚持以习近平新时代中国特色社会主义思想为指导，认真贯彻党的十九大和十九届二中、三中、四中、五中全会精神，深入落实习近平总书记对山东工作的重要指示要求，严格按照山东省、威海市决策部署和市委、市政府工作要求，科学把握新发展阶段，坚定贯彻新发展理念，主动融入新发展格局，立足“全力打造母爱文化彰显、绿色包容和谐的新时代美好乳山”的发展定位，突出以提高发展质量效益为中心，系统总结了“十三五”时期的工作，全面阐述了“十四五”期间的发展战略、总体目标、主要任务和重要举措，明确提出了2035年远景目标，反映了全市人民的根本利益和共同愿景，是开启社会主义现代化建设新征程，全面建设新时代美好乳山的行动纲领。  </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各部门、单位要认真学习、深刻领会《纲要》精神，结合本区域、本部门、本单位实际，切实抓好《纲要》的贯彻落实，确保顺利完成“十四五”时期各项目标任务。</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val="0"/>
        <w:snapToGrid w:val="0"/>
        <w:spacing w:line="560" w:lineRule="exact"/>
        <w:ind w:firstLine="5280" w:firstLineChars="165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乳山市人民政府</w:t>
      </w:r>
    </w:p>
    <w:p>
      <w:pPr>
        <w:keepNext w:val="0"/>
        <w:keepLines w:val="0"/>
        <w:pageBreakBefore w:val="0"/>
        <w:widowControl w:val="0"/>
        <w:kinsoku/>
        <w:wordWrap/>
        <w:overflowPunct/>
        <w:topLinePunct w:val="0"/>
        <w:autoSpaceDE/>
        <w:autoSpaceDN/>
        <w:bidi w:val="0"/>
        <w:adjustRightInd w:val="0"/>
        <w:snapToGrid w:val="0"/>
        <w:spacing w:line="560" w:lineRule="exact"/>
        <w:ind w:firstLine="5120" w:firstLineChars="16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 xml:space="preserve">2021年8月30日 </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（此件公开发布）</w:t>
      </w:r>
    </w:p>
    <w:p>
      <w:pPr>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br w:type="page"/>
      </w:r>
    </w:p>
    <w:p>
      <w:pPr>
        <w:widowControl/>
        <w:spacing w:line="360" w:lineRule="auto"/>
        <w:jc w:val="center"/>
        <w:rPr>
          <w:rFonts w:hint="default" w:ascii="Times New Roman" w:hAnsi="Times New Roman" w:eastAsia="华文中宋" w:cs="Times New Roman"/>
          <w:b/>
          <w:bCs/>
          <w:color w:val="000000"/>
          <w:kern w:val="36"/>
          <w:sz w:val="52"/>
          <w:szCs w:val="52"/>
        </w:rPr>
      </w:pPr>
    </w:p>
    <w:p>
      <w:pPr>
        <w:pStyle w:val="2"/>
        <w:rPr>
          <w:rFonts w:hint="default" w:ascii="Times New Roman" w:hAnsi="Times New Roman" w:cs="Times New Roman"/>
        </w:rPr>
      </w:pPr>
    </w:p>
    <w:p>
      <w:pPr>
        <w:widowControl/>
        <w:spacing w:line="360" w:lineRule="auto"/>
        <w:jc w:val="center"/>
        <w:rPr>
          <w:rFonts w:hint="default" w:ascii="Times New Roman" w:hAnsi="Times New Roman" w:eastAsia="华文中宋" w:cs="Times New Roman"/>
          <w:b/>
          <w:bCs/>
          <w:color w:val="000000"/>
          <w:kern w:val="36"/>
          <w:sz w:val="52"/>
          <w:szCs w:val="52"/>
        </w:rPr>
      </w:pPr>
    </w:p>
    <w:p>
      <w:pPr>
        <w:widowControl/>
        <w:spacing w:line="360" w:lineRule="auto"/>
        <w:jc w:val="center"/>
        <w:rPr>
          <w:rFonts w:hint="default" w:ascii="Times New Roman" w:hAnsi="Times New Roman" w:eastAsia="方正小标宋简体" w:cs="Times New Roman"/>
          <w:bCs/>
          <w:color w:val="000000"/>
          <w:w w:val="96"/>
          <w:kern w:val="36"/>
          <w:sz w:val="60"/>
          <w:szCs w:val="60"/>
        </w:rPr>
      </w:pPr>
      <w:r>
        <w:rPr>
          <w:rFonts w:hint="default" w:ascii="Times New Roman" w:hAnsi="Times New Roman" w:eastAsia="方正小标宋简体" w:cs="Times New Roman"/>
          <w:bCs/>
          <w:color w:val="000000"/>
          <w:w w:val="96"/>
          <w:kern w:val="36"/>
          <w:sz w:val="60"/>
          <w:szCs w:val="60"/>
        </w:rPr>
        <w:t>乳山市国民经济和社会发展</w:t>
      </w:r>
    </w:p>
    <w:p>
      <w:pPr>
        <w:widowControl/>
        <w:spacing w:line="360" w:lineRule="auto"/>
        <w:jc w:val="center"/>
        <w:rPr>
          <w:rFonts w:hint="default" w:ascii="Times New Roman" w:hAnsi="Times New Roman" w:eastAsia="方正小标宋简体" w:cs="Times New Roman"/>
          <w:bCs/>
          <w:color w:val="000000"/>
          <w:w w:val="96"/>
          <w:kern w:val="36"/>
          <w:sz w:val="60"/>
          <w:szCs w:val="60"/>
        </w:rPr>
      </w:pPr>
      <w:r>
        <w:rPr>
          <w:rFonts w:hint="default" w:ascii="Times New Roman" w:hAnsi="Times New Roman" w:eastAsia="方正小标宋简体" w:cs="Times New Roman"/>
          <w:bCs/>
          <w:color w:val="000000"/>
          <w:w w:val="96"/>
          <w:kern w:val="36"/>
          <w:sz w:val="60"/>
          <w:szCs w:val="60"/>
        </w:rPr>
        <w:t>第十四个五年规划和二</w:t>
      </w:r>
      <w:r>
        <w:rPr>
          <w:rFonts w:hint="default" w:ascii="Times New Roman" w:hAnsi="Times New Roman" w:eastAsia="华文中宋" w:cs="Times New Roman"/>
          <w:bCs/>
          <w:color w:val="000000"/>
          <w:w w:val="96"/>
          <w:kern w:val="36"/>
          <w:sz w:val="60"/>
          <w:szCs w:val="60"/>
        </w:rPr>
        <w:t>〇</w:t>
      </w:r>
      <w:r>
        <w:rPr>
          <w:rFonts w:hint="default" w:ascii="Times New Roman" w:hAnsi="Times New Roman" w:eastAsia="方正小标宋简体" w:cs="Times New Roman"/>
          <w:bCs/>
          <w:color w:val="000000"/>
          <w:w w:val="96"/>
          <w:kern w:val="36"/>
          <w:sz w:val="60"/>
          <w:szCs w:val="60"/>
        </w:rPr>
        <w:t>三五年</w:t>
      </w:r>
    </w:p>
    <w:p>
      <w:pPr>
        <w:widowControl/>
        <w:spacing w:line="360" w:lineRule="auto"/>
        <w:jc w:val="center"/>
        <w:rPr>
          <w:rFonts w:hint="default" w:ascii="Times New Roman" w:hAnsi="Times New Roman" w:eastAsia="方正小标宋简体" w:cs="Times New Roman"/>
          <w:bCs/>
          <w:color w:val="000000"/>
          <w:w w:val="96"/>
          <w:kern w:val="36"/>
          <w:sz w:val="60"/>
          <w:szCs w:val="60"/>
        </w:rPr>
      </w:pPr>
      <w:r>
        <w:rPr>
          <w:rFonts w:hint="default" w:ascii="Times New Roman" w:hAnsi="Times New Roman" w:eastAsia="方正小标宋简体" w:cs="Times New Roman"/>
          <w:bCs/>
          <w:color w:val="000000"/>
          <w:w w:val="96"/>
          <w:kern w:val="36"/>
          <w:sz w:val="60"/>
          <w:szCs w:val="60"/>
        </w:rPr>
        <w:t>远景目标纲要</w:t>
      </w:r>
    </w:p>
    <w:p>
      <w:pPr>
        <w:pStyle w:val="2"/>
        <w:rPr>
          <w:rFonts w:hint="default" w:ascii="Times New Roman" w:hAnsi="Times New Roman" w:cs="Times New Roman"/>
        </w:rPr>
      </w:pPr>
    </w:p>
    <w:p>
      <w:pPr>
        <w:rPr>
          <w:rFonts w:hint="default" w:ascii="Times New Roman" w:hAnsi="Times New Roman" w:cs="Times New Roman"/>
        </w:rPr>
      </w:pPr>
    </w:p>
    <w:p>
      <w:pPr>
        <w:widowControl/>
        <w:spacing w:line="740" w:lineRule="exact"/>
        <w:jc w:val="center"/>
        <w:rPr>
          <w:rFonts w:hint="default" w:ascii="Times New Roman" w:hAnsi="Times New Roman" w:eastAsia="华文中宋" w:cs="Times New Roman"/>
          <w:b/>
          <w:color w:val="000000"/>
          <w:kern w:val="36"/>
          <w:sz w:val="52"/>
          <w:szCs w:val="52"/>
        </w:rPr>
      </w:pPr>
    </w:p>
    <w:p>
      <w:pPr>
        <w:widowControl/>
        <w:spacing w:line="700" w:lineRule="exact"/>
        <w:jc w:val="center"/>
        <w:rPr>
          <w:rFonts w:hint="default" w:ascii="Times New Roman" w:hAnsi="Times New Roman" w:eastAsia="华文中宋" w:cs="Times New Roman"/>
          <w:b/>
          <w:color w:val="000000"/>
          <w:kern w:val="36"/>
          <w:sz w:val="52"/>
          <w:szCs w:val="52"/>
        </w:rPr>
      </w:pPr>
    </w:p>
    <w:p>
      <w:pPr>
        <w:pStyle w:val="2"/>
        <w:keepNext/>
        <w:keepLines/>
        <w:pageBreakBefore w:val="0"/>
        <w:widowControl w:val="0"/>
        <w:kinsoku/>
        <w:wordWrap/>
        <w:overflowPunct/>
        <w:topLinePunct w:val="0"/>
        <w:autoSpaceDE/>
        <w:autoSpaceDN/>
        <w:bidi w:val="0"/>
        <w:adjustRightInd/>
        <w:snapToGrid/>
        <w:spacing w:before="0" w:after="0" w:line="579" w:lineRule="auto"/>
        <w:textAlignment w:val="auto"/>
        <w:rPr>
          <w:rFonts w:hint="default" w:ascii="Times New Roman" w:hAnsi="Times New Roman" w:eastAsia="华文中宋" w:cs="Times New Roman"/>
          <w:b w:val="0"/>
          <w:color w:val="000000"/>
          <w:kern w:val="36"/>
          <w:sz w:val="52"/>
          <w:szCs w:val="52"/>
        </w:rPr>
      </w:pPr>
    </w:p>
    <w:p>
      <w:pPr>
        <w:rPr>
          <w:rFonts w:hint="default" w:ascii="Times New Roman" w:hAnsi="Times New Roman" w:cs="Times New Roman"/>
        </w:rPr>
      </w:pPr>
    </w:p>
    <w:p>
      <w:pPr>
        <w:widowControl/>
        <w:spacing w:line="560" w:lineRule="exact"/>
        <w:jc w:val="center"/>
        <w:rPr>
          <w:rFonts w:hint="default" w:ascii="Times New Roman" w:hAnsi="Times New Roman" w:eastAsia="华文中宋" w:cs="Times New Roman"/>
          <w:b/>
          <w:color w:val="000000"/>
          <w:kern w:val="36"/>
          <w:sz w:val="52"/>
          <w:szCs w:val="52"/>
        </w:rPr>
      </w:pPr>
    </w:p>
    <w:p>
      <w:pPr>
        <w:widowControl/>
        <w:spacing w:line="560" w:lineRule="exact"/>
        <w:jc w:val="center"/>
        <w:rPr>
          <w:rFonts w:hint="default" w:ascii="Times New Roman" w:hAnsi="Times New Roman" w:eastAsia="楷体_GB2312" w:cs="Times New Roman"/>
          <w:bCs/>
          <w:color w:val="000000"/>
          <w:kern w:val="36"/>
          <w:sz w:val="52"/>
          <w:szCs w:val="52"/>
        </w:rPr>
      </w:pPr>
    </w:p>
    <w:p>
      <w:pPr>
        <w:widowControl/>
        <w:spacing w:line="560" w:lineRule="exact"/>
        <w:jc w:val="center"/>
        <w:rPr>
          <w:rFonts w:hint="default" w:ascii="Times New Roman" w:hAnsi="Times New Roman" w:eastAsia="楷体_GB2312" w:cs="Times New Roman"/>
          <w:b/>
          <w:color w:val="000000"/>
          <w:kern w:val="36"/>
          <w:sz w:val="44"/>
          <w:szCs w:val="44"/>
        </w:rPr>
        <w:sectPr>
          <w:footerReference r:id="rId3" w:type="default"/>
          <w:footerReference r:id="rId4" w:type="even"/>
          <w:pgSz w:w="11906" w:h="16838"/>
          <w:pgMar w:top="2098" w:right="1531" w:bottom="1984" w:left="1531" w:header="851" w:footer="1531" w:gutter="0"/>
          <w:pgNumType w:fmt="decimal"/>
          <w:cols w:space="425" w:num="1"/>
          <w:docGrid w:type="lines" w:linePitch="312" w:charSpace="0"/>
        </w:sectPr>
      </w:pPr>
      <w:r>
        <w:rPr>
          <w:rFonts w:hint="default" w:ascii="Times New Roman" w:hAnsi="Times New Roman" w:eastAsia="楷体_GB2312" w:cs="Times New Roman"/>
          <w:b/>
          <w:color w:val="000000"/>
          <w:kern w:val="36"/>
          <w:sz w:val="44"/>
          <w:szCs w:val="44"/>
        </w:rPr>
        <w:t>2021年</w:t>
      </w:r>
      <w:r>
        <w:rPr>
          <w:rFonts w:hint="default" w:ascii="Times New Roman" w:hAnsi="Times New Roman" w:eastAsia="楷体_GB2312" w:cs="Times New Roman"/>
          <w:b/>
          <w:color w:val="000000"/>
          <w:kern w:val="36"/>
          <w:sz w:val="44"/>
          <w:szCs w:val="44"/>
          <w:lang w:val="en-US" w:eastAsia="zh-CN"/>
        </w:rPr>
        <w:t>8</w:t>
      </w:r>
      <w:r>
        <w:rPr>
          <w:rFonts w:hint="default" w:ascii="Times New Roman" w:hAnsi="Times New Roman" w:eastAsia="楷体_GB2312" w:cs="Times New Roman"/>
          <w:b/>
          <w:color w:val="000000"/>
          <w:kern w:val="36"/>
          <w:sz w:val="44"/>
          <w:szCs w:val="44"/>
        </w:rPr>
        <w:t>月</w:t>
      </w:r>
    </w:p>
    <w:p>
      <w:pPr>
        <w:widowControl/>
        <w:spacing w:line="560" w:lineRule="exact"/>
        <w:jc w:val="center"/>
        <w:rPr>
          <w:rFonts w:hint="default" w:ascii="Times New Roman" w:hAnsi="Times New Roman" w:eastAsia="黑体" w:cs="Times New Roman"/>
          <w:color w:val="000000"/>
          <w:kern w:val="36"/>
          <w:sz w:val="44"/>
          <w:szCs w:val="44"/>
        </w:rPr>
      </w:pPr>
      <w:r>
        <w:rPr>
          <w:rFonts w:hint="default" w:ascii="Times New Roman" w:hAnsi="Times New Roman" w:eastAsia="黑体" w:cs="Times New Roman"/>
          <w:color w:val="000000"/>
          <w:kern w:val="36"/>
          <w:sz w:val="44"/>
          <w:szCs w:val="44"/>
        </w:rPr>
        <w:t>目  录</w:t>
      </w:r>
    </w:p>
    <w:p>
      <w:pPr>
        <w:rPr>
          <w:rFonts w:hint="default" w:ascii="Times New Roman" w:hAnsi="Times New Roman" w:cs="Times New Roman"/>
          <w:color w:val="000000"/>
          <w:sz w:val="28"/>
          <w:szCs w:val="32"/>
        </w:rPr>
      </w:pPr>
    </w:p>
    <w:p>
      <w:pPr>
        <w:pStyle w:val="13"/>
        <w:tabs>
          <w:tab w:val="right" w:leader="dot" w:pos="8834"/>
        </w:tabs>
        <w:rPr>
          <w:rFonts w:hint="default" w:ascii="Times New Roman" w:hAnsi="Times New Roman" w:eastAsia="黑体" w:cs="Times New Roman"/>
          <w:sz w:val="28"/>
          <w:szCs w:val="28"/>
        </w:rPr>
      </w:pPr>
      <w:r>
        <w:rPr>
          <w:rFonts w:hint="default" w:ascii="Times New Roman" w:hAnsi="Times New Roman" w:eastAsia="楷体_GB2312" w:cs="Times New Roman"/>
          <w:color w:val="000000"/>
          <w:kern w:val="36"/>
          <w:sz w:val="28"/>
          <w:szCs w:val="28"/>
        </w:rPr>
        <w:fldChar w:fldCharType="begin"/>
      </w:r>
      <w:r>
        <w:rPr>
          <w:rFonts w:hint="default" w:ascii="Times New Roman" w:hAnsi="Times New Roman" w:eastAsia="楷体_GB2312" w:cs="Times New Roman"/>
          <w:color w:val="000000"/>
          <w:kern w:val="36"/>
          <w:sz w:val="28"/>
          <w:szCs w:val="28"/>
        </w:rPr>
        <w:instrText xml:space="preserve">TOC \o "1-2" \h \u </w:instrText>
      </w:r>
      <w:r>
        <w:rPr>
          <w:rFonts w:hint="default" w:ascii="Times New Roman" w:hAnsi="Times New Roman" w:eastAsia="楷体_GB2312" w:cs="Times New Roman"/>
          <w:color w:val="000000"/>
          <w:kern w:val="36"/>
          <w:sz w:val="28"/>
          <w:szCs w:val="28"/>
        </w:rPr>
        <w:fldChar w:fldCharType="separate"/>
      </w:r>
      <w:r>
        <w:rPr>
          <w:rFonts w:hint="default" w:ascii="Times New Roman" w:hAnsi="Times New Roman" w:eastAsia="黑体" w:cs="Times New Roman"/>
          <w:sz w:val="28"/>
          <w:szCs w:val="28"/>
        </w:rPr>
        <w:fldChar w:fldCharType="begin"/>
      </w:r>
      <w:r>
        <w:rPr>
          <w:rStyle w:val="27"/>
          <w:rFonts w:hint="default" w:ascii="Times New Roman" w:hAnsi="Times New Roman" w:eastAsia="黑体" w:cs="Times New Roman"/>
          <w:sz w:val="28"/>
          <w:szCs w:val="28"/>
        </w:rPr>
        <w:instrText xml:space="preserve"> </w:instrText>
      </w:r>
      <w:r>
        <w:rPr>
          <w:rFonts w:hint="default" w:ascii="Times New Roman" w:hAnsi="Times New Roman" w:eastAsia="黑体" w:cs="Times New Roman"/>
          <w:sz w:val="28"/>
          <w:szCs w:val="28"/>
        </w:rPr>
        <w:instrText xml:space="preserve">HYPERLINK \l "_Toc62919407"</w:instrText>
      </w:r>
      <w:r>
        <w:rPr>
          <w:rStyle w:val="27"/>
          <w:rFonts w:hint="default" w:ascii="Times New Roman" w:hAnsi="Times New Roman" w:eastAsia="黑体" w:cs="Times New Roman"/>
          <w:sz w:val="28"/>
          <w:szCs w:val="28"/>
        </w:rPr>
        <w:instrText xml:space="preserve"> </w:instrText>
      </w:r>
      <w:r>
        <w:rPr>
          <w:rFonts w:hint="default" w:ascii="Times New Roman" w:hAnsi="Times New Roman" w:eastAsia="黑体" w:cs="Times New Roman"/>
          <w:sz w:val="28"/>
          <w:szCs w:val="28"/>
        </w:rPr>
        <w:fldChar w:fldCharType="separate"/>
      </w:r>
      <w:r>
        <w:rPr>
          <w:rStyle w:val="27"/>
          <w:rFonts w:hint="default" w:ascii="Times New Roman" w:hAnsi="Times New Roman" w:eastAsia="黑体" w:cs="Times New Roman"/>
          <w:bCs/>
          <w:spacing w:val="-6"/>
          <w:sz w:val="28"/>
          <w:szCs w:val="28"/>
        </w:rPr>
        <w:t>第一章 开启社会主义现代化新征程 全面建设新时代美好乳山</w:t>
      </w:r>
      <w:r>
        <w:rPr>
          <w:rFonts w:hint="default" w:ascii="Times New Roman" w:hAnsi="Times New Roman" w:eastAsia="黑体" w:cs="Times New Roman"/>
          <w:sz w:val="28"/>
          <w:szCs w:val="28"/>
        </w:rPr>
        <w:tab/>
      </w:r>
      <w:r>
        <w:rPr>
          <w:rFonts w:hint="default" w:ascii="Times New Roman" w:hAnsi="Times New Roman" w:eastAsia="黑体" w:cs="Times New Roman"/>
          <w:sz w:val="28"/>
          <w:szCs w:val="28"/>
        </w:rPr>
        <w:fldChar w:fldCharType="begin"/>
      </w:r>
      <w:r>
        <w:rPr>
          <w:rFonts w:hint="default" w:ascii="Times New Roman" w:hAnsi="Times New Roman" w:eastAsia="黑体" w:cs="Times New Roman"/>
          <w:sz w:val="28"/>
          <w:szCs w:val="28"/>
        </w:rPr>
        <w:instrText xml:space="preserve"> PAGEREF _Toc62919407 \h </w:instrText>
      </w:r>
      <w:r>
        <w:rPr>
          <w:rFonts w:hint="default" w:ascii="Times New Roman" w:hAnsi="Times New Roman" w:eastAsia="黑体" w:cs="Times New Roman"/>
          <w:sz w:val="28"/>
          <w:szCs w:val="28"/>
        </w:rPr>
        <w:fldChar w:fldCharType="separate"/>
      </w:r>
      <w:r>
        <w:rPr>
          <w:rFonts w:hint="default" w:ascii="Times New Roman" w:hAnsi="Times New Roman" w:eastAsia="黑体" w:cs="Times New Roman"/>
          <w:sz w:val="28"/>
          <w:szCs w:val="28"/>
        </w:rPr>
        <w:t>8</w:t>
      </w:r>
      <w:r>
        <w:rPr>
          <w:rFonts w:hint="default" w:ascii="Times New Roman" w:hAnsi="Times New Roman" w:eastAsia="黑体" w:cs="Times New Roman"/>
          <w:sz w:val="28"/>
          <w:szCs w:val="28"/>
        </w:rPr>
        <w:fldChar w:fldCharType="end"/>
      </w:r>
      <w:r>
        <w:rPr>
          <w:rFonts w:hint="default" w:ascii="Times New Roman" w:hAnsi="Times New Roman" w:eastAsia="黑体" w:cs="Times New Roman"/>
          <w:sz w:val="28"/>
          <w:szCs w:val="28"/>
        </w:rPr>
        <w:fldChar w:fldCharType="end"/>
      </w:r>
    </w:p>
    <w:p>
      <w:pPr>
        <w:pStyle w:val="14"/>
        <w:tabs>
          <w:tab w:val="right" w:leader="dot" w:pos="8834"/>
        </w:tabs>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instrText xml:space="preserve">HYPERLINK \l "_Toc62919408"</w:instrText>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fldChar w:fldCharType="separate"/>
      </w:r>
      <w:r>
        <w:rPr>
          <w:rStyle w:val="27"/>
          <w:rFonts w:hint="default" w:ascii="Times New Roman" w:hAnsi="Times New Roman" w:eastAsia="楷体_GB2312" w:cs="Times New Roman"/>
          <w:bCs/>
          <w:sz w:val="28"/>
          <w:szCs w:val="28"/>
        </w:rPr>
        <w:t>第一节 全面建成小康社会取得决定性成就</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_Toc62919408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8</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4"/>
        <w:tabs>
          <w:tab w:val="right" w:leader="dot" w:pos="8834"/>
        </w:tabs>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instrText xml:space="preserve">HYPERLINK \l "_Toc62919409"</w:instrText>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fldChar w:fldCharType="separate"/>
      </w:r>
      <w:r>
        <w:rPr>
          <w:rStyle w:val="27"/>
          <w:rFonts w:hint="default" w:ascii="Times New Roman" w:hAnsi="Times New Roman" w:eastAsia="楷体_GB2312" w:cs="Times New Roman"/>
          <w:bCs/>
          <w:sz w:val="28"/>
          <w:szCs w:val="28"/>
        </w:rPr>
        <w:t>第二节 新发展阶段面临新机遇新挑战</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_Toc62919409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13</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4"/>
        <w:tabs>
          <w:tab w:val="right" w:leader="dot" w:pos="8834"/>
        </w:tabs>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instrText xml:space="preserve">HYPERLINK \l "_Toc62919410"</w:instrText>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fldChar w:fldCharType="separate"/>
      </w:r>
      <w:r>
        <w:rPr>
          <w:rStyle w:val="27"/>
          <w:rFonts w:hint="default" w:ascii="Times New Roman" w:hAnsi="Times New Roman" w:eastAsia="楷体_GB2312" w:cs="Times New Roman"/>
          <w:bCs/>
          <w:sz w:val="28"/>
          <w:szCs w:val="28"/>
        </w:rPr>
        <w:t>第三节 在新时代现代化强省建设中走在前列</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_Toc62919410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15</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4"/>
        <w:tabs>
          <w:tab w:val="right" w:leader="dot" w:pos="8834"/>
        </w:tabs>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instrText xml:space="preserve">HYPERLINK \l "_Toc62919411"</w:instrText>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fldChar w:fldCharType="separate"/>
      </w:r>
      <w:r>
        <w:rPr>
          <w:rStyle w:val="27"/>
          <w:rFonts w:hint="default" w:ascii="Times New Roman" w:hAnsi="Times New Roman" w:eastAsia="楷体_GB2312" w:cs="Times New Roman"/>
          <w:bCs/>
          <w:sz w:val="28"/>
          <w:szCs w:val="28"/>
        </w:rPr>
        <w:t>第四节 “十四五”时期经济社会发展总体要求和主要目标</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_Toc62919411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16</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3"/>
        <w:tabs>
          <w:tab w:val="right" w:leader="dot" w:pos="8834"/>
        </w:tabs>
        <w:rPr>
          <w:rStyle w:val="27"/>
          <w:rFonts w:hint="default" w:ascii="Times New Roman" w:hAnsi="Times New Roman" w:eastAsia="黑体" w:cs="Times New Roman"/>
          <w:bCs/>
          <w:spacing w:val="-6"/>
          <w:sz w:val="28"/>
          <w:szCs w:val="28"/>
        </w:rPr>
      </w:pPr>
      <w:r>
        <w:rPr>
          <w:rFonts w:hint="default" w:ascii="Times New Roman" w:hAnsi="Times New Roman" w:eastAsia="黑体" w:cs="Times New Roman"/>
          <w:bCs/>
          <w:spacing w:val="-6"/>
          <w:sz w:val="28"/>
          <w:szCs w:val="28"/>
        </w:rPr>
        <w:fldChar w:fldCharType="begin"/>
      </w:r>
      <w:r>
        <w:rPr>
          <w:rStyle w:val="27"/>
          <w:rFonts w:hint="default" w:ascii="Times New Roman" w:hAnsi="Times New Roman" w:eastAsia="黑体" w:cs="Times New Roman"/>
          <w:bCs/>
          <w:spacing w:val="-6"/>
          <w:sz w:val="28"/>
          <w:szCs w:val="28"/>
        </w:rPr>
        <w:instrText xml:space="preserve"> HYPERLINK \l "_Toc62919412" </w:instrText>
      </w:r>
      <w:r>
        <w:rPr>
          <w:rFonts w:hint="default" w:ascii="Times New Roman" w:hAnsi="Times New Roman" w:eastAsia="黑体" w:cs="Times New Roman"/>
          <w:bCs/>
          <w:spacing w:val="-6"/>
          <w:sz w:val="28"/>
          <w:szCs w:val="28"/>
        </w:rPr>
        <w:fldChar w:fldCharType="separate"/>
      </w:r>
      <w:r>
        <w:rPr>
          <w:rStyle w:val="27"/>
          <w:rFonts w:hint="default" w:ascii="Times New Roman" w:hAnsi="Times New Roman" w:eastAsia="黑体" w:cs="Times New Roman"/>
          <w:bCs/>
          <w:spacing w:val="-6"/>
          <w:sz w:val="28"/>
          <w:szCs w:val="28"/>
        </w:rPr>
        <w:t>第二章 加快新旧动能转换 构建现代产业体系</w:t>
      </w:r>
      <w:r>
        <w:rPr>
          <w:rStyle w:val="27"/>
          <w:rFonts w:hint="default" w:ascii="Times New Roman" w:hAnsi="Times New Roman" w:eastAsia="黑体" w:cs="Times New Roman"/>
          <w:bCs/>
          <w:spacing w:val="-6"/>
          <w:sz w:val="28"/>
          <w:szCs w:val="28"/>
        </w:rPr>
        <w:tab/>
      </w:r>
      <w:r>
        <w:rPr>
          <w:rFonts w:hint="default" w:ascii="Times New Roman" w:hAnsi="Times New Roman" w:eastAsia="黑体" w:cs="Times New Roman"/>
          <w:bCs/>
          <w:spacing w:val="-6"/>
          <w:sz w:val="28"/>
          <w:szCs w:val="28"/>
        </w:rPr>
        <w:fldChar w:fldCharType="begin"/>
      </w:r>
      <w:r>
        <w:rPr>
          <w:rStyle w:val="27"/>
          <w:rFonts w:hint="default" w:ascii="Times New Roman" w:hAnsi="Times New Roman" w:eastAsia="黑体" w:cs="Times New Roman"/>
          <w:bCs/>
          <w:spacing w:val="-6"/>
          <w:sz w:val="28"/>
          <w:szCs w:val="28"/>
        </w:rPr>
        <w:instrText xml:space="preserve"> PAGEREF _Toc62919412 \h </w:instrText>
      </w:r>
      <w:r>
        <w:rPr>
          <w:rFonts w:hint="default" w:ascii="Times New Roman" w:hAnsi="Times New Roman" w:eastAsia="黑体" w:cs="Times New Roman"/>
          <w:bCs/>
          <w:spacing w:val="-6"/>
          <w:sz w:val="28"/>
          <w:szCs w:val="28"/>
        </w:rPr>
        <w:fldChar w:fldCharType="separate"/>
      </w:r>
      <w:r>
        <w:rPr>
          <w:rStyle w:val="27"/>
          <w:rFonts w:hint="default" w:ascii="Times New Roman" w:hAnsi="Times New Roman" w:eastAsia="黑体" w:cs="Times New Roman"/>
          <w:bCs/>
          <w:spacing w:val="-6"/>
          <w:sz w:val="28"/>
          <w:szCs w:val="28"/>
        </w:rPr>
        <w:t>23</w:t>
      </w:r>
      <w:r>
        <w:rPr>
          <w:rFonts w:hint="default" w:ascii="Times New Roman" w:hAnsi="Times New Roman" w:eastAsia="黑体" w:cs="Times New Roman"/>
          <w:bCs/>
          <w:spacing w:val="-6"/>
          <w:sz w:val="28"/>
          <w:szCs w:val="28"/>
        </w:rPr>
        <w:fldChar w:fldCharType="end"/>
      </w:r>
      <w:r>
        <w:rPr>
          <w:rFonts w:hint="default" w:ascii="Times New Roman" w:hAnsi="Times New Roman" w:eastAsia="黑体" w:cs="Times New Roman"/>
          <w:bCs/>
          <w:spacing w:val="-6"/>
          <w:sz w:val="28"/>
          <w:szCs w:val="28"/>
        </w:rPr>
        <w:fldChar w:fldCharType="end"/>
      </w:r>
    </w:p>
    <w:p>
      <w:pPr>
        <w:pStyle w:val="14"/>
        <w:tabs>
          <w:tab w:val="right" w:leader="dot" w:pos="8834"/>
        </w:tabs>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instrText xml:space="preserve">HYPERLINK \l "_Toc62919413"</w:instrText>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fldChar w:fldCharType="separate"/>
      </w:r>
      <w:r>
        <w:rPr>
          <w:rStyle w:val="27"/>
          <w:rFonts w:hint="default" w:ascii="Times New Roman" w:hAnsi="Times New Roman" w:eastAsia="楷体_GB2312" w:cs="Times New Roman"/>
          <w:sz w:val="28"/>
          <w:szCs w:val="28"/>
        </w:rPr>
        <w:t>第一节 优化产业空间布局</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_Toc62919413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23</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4"/>
        <w:tabs>
          <w:tab w:val="right" w:leader="dot" w:pos="8834"/>
        </w:tabs>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instrText xml:space="preserve">HYPERLINK \l "_Toc62919414"</w:instrText>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fldChar w:fldCharType="separate"/>
      </w:r>
      <w:r>
        <w:rPr>
          <w:rStyle w:val="27"/>
          <w:rFonts w:hint="default" w:ascii="Times New Roman" w:hAnsi="Times New Roman" w:eastAsia="楷体_GB2312" w:cs="Times New Roman"/>
          <w:sz w:val="28"/>
          <w:szCs w:val="28"/>
        </w:rPr>
        <w:t>第二节 构建“3+3”现代产业集群</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_Toc62919414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24</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4"/>
        <w:tabs>
          <w:tab w:val="right" w:leader="dot" w:pos="8834"/>
        </w:tabs>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instrText xml:space="preserve">HYPERLINK \l "_Toc62919415"</w:instrText>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fldChar w:fldCharType="separate"/>
      </w:r>
      <w:r>
        <w:rPr>
          <w:rStyle w:val="27"/>
          <w:rFonts w:hint="default" w:ascii="Times New Roman" w:hAnsi="Times New Roman" w:eastAsia="楷体_GB2312" w:cs="Times New Roman"/>
          <w:sz w:val="28"/>
          <w:szCs w:val="28"/>
        </w:rPr>
        <w:t>第三节 提升现代服务业发展能级</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_Toc62919415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31</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4"/>
        <w:tabs>
          <w:tab w:val="right" w:leader="dot" w:pos="8834"/>
        </w:tabs>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instrText xml:space="preserve">HYPERLINK \l "_Toc62919416"</w:instrText>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fldChar w:fldCharType="separate"/>
      </w:r>
      <w:r>
        <w:rPr>
          <w:rStyle w:val="27"/>
          <w:rFonts w:hint="default" w:ascii="Times New Roman" w:hAnsi="Times New Roman" w:eastAsia="楷体_GB2312" w:cs="Times New Roman"/>
          <w:sz w:val="28"/>
          <w:szCs w:val="28"/>
        </w:rPr>
        <w:t>第四节 着力优化产业生态</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_Toc62919416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34</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4"/>
        <w:tabs>
          <w:tab w:val="right" w:leader="dot" w:pos="8834"/>
        </w:tabs>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instrText xml:space="preserve">HYPERLINK \l "_Toc62919417"</w:instrText>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fldChar w:fldCharType="separate"/>
      </w:r>
      <w:r>
        <w:rPr>
          <w:rStyle w:val="27"/>
          <w:rFonts w:hint="default" w:ascii="Times New Roman" w:hAnsi="Times New Roman" w:eastAsia="楷体_GB2312" w:cs="Times New Roman"/>
          <w:sz w:val="28"/>
          <w:szCs w:val="28"/>
        </w:rPr>
        <w:t>第五节 强化创新引领产业发展第一动力</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_Toc62919417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35</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3"/>
        <w:tabs>
          <w:tab w:val="right" w:leader="dot" w:pos="8834"/>
        </w:tabs>
        <w:rPr>
          <w:rStyle w:val="27"/>
          <w:rFonts w:hint="default" w:ascii="Times New Roman" w:hAnsi="Times New Roman" w:eastAsia="黑体" w:cs="Times New Roman"/>
          <w:bCs/>
          <w:spacing w:val="-6"/>
          <w:sz w:val="28"/>
          <w:szCs w:val="28"/>
        </w:rPr>
      </w:pPr>
      <w:r>
        <w:rPr>
          <w:rFonts w:hint="default" w:ascii="Times New Roman" w:hAnsi="Times New Roman" w:eastAsia="黑体" w:cs="Times New Roman"/>
          <w:bCs/>
          <w:spacing w:val="-6"/>
          <w:sz w:val="28"/>
          <w:szCs w:val="28"/>
        </w:rPr>
        <w:fldChar w:fldCharType="begin"/>
      </w:r>
      <w:r>
        <w:rPr>
          <w:rStyle w:val="27"/>
          <w:rFonts w:hint="default" w:ascii="Times New Roman" w:hAnsi="Times New Roman" w:eastAsia="黑体" w:cs="Times New Roman"/>
          <w:bCs/>
          <w:spacing w:val="-6"/>
          <w:sz w:val="28"/>
          <w:szCs w:val="28"/>
        </w:rPr>
        <w:instrText xml:space="preserve"> HYPERLINK \l "_Toc62919418" </w:instrText>
      </w:r>
      <w:r>
        <w:rPr>
          <w:rFonts w:hint="default" w:ascii="Times New Roman" w:hAnsi="Times New Roman" w:eastAsia="黑体" w:cs="Times New Roman"/>
          <w:bCs/>
          <w:spacing w:val="-6"/>
          <w:sz w:val="28"/>
          <w:szCs w:val="28"/>
        </w:rPr>
        <w:fldChar w:fldCharType="separate"/>
      </w:r>
      <w:r>
        <w:rPr>
          <w:rStyle w:val="27"/>
          <w:rFonts w:hint="default" w:ascii="Times New Roman" w:hAnsi="Times New Roman" w:eastAsia="黑体" w:cs="Times New Roman"/>
          <w:bCs/>
          <w:spacing w:val="-6"/>
          <w:sz w:val="28"/>
          <w:szCs w:val="28"/>
        </w:rPr>
        <w:t>第三章 提升新型城镇化质量 着力打造精致城市</w:t>
      </w:r>
      <w:r>
        <w:rPr>
          <w:rStyle w:val="27"/>
          <w:rFonts w:hint="default" w:ascii="Times New Roman" w:hAnsi="Times New Roman" w:eastAsia="黑体" w:cs="Times New Roman"/>
          <w:bCs/>
          <w:spacing w:val="-6"/>
          <w:sz w:val="28"/>
          <w:szCs w:val="28"/>
        </w:rPr>
        <w:tab/>
      </w:r>
      <w:r>
        <w:rPr>
          <w:rFonts w:hint="default" w:ascii="Times New Roman" w:hAnsi="Times New Roman" w:eastAsia="黑体" w:cs="Times New Roman"/>
          <w:bCs/>
          <w:spacing w:val="-6"/>
          <w:sz w:val="28"/>
          <w:szCs w:val="28"/>
        </w:rPr>
        <w:fldChar w:fldCharType="begin"/>
      </w:r>
      <w:r>
        <w:rPr>
          <w:rStyle w:val="27"/>
          <w:rFonts w:hint="default" w:ascii="Times New Roman" w:hAnsi="Times New Roman" w:eastAsia="黑体" w:cs="Times New Roman"/>
          <w:bCs/>
          <w:spacing w:val="-6"/>
          <w:sz w:val="28"/>
          <w:szCs w:val="28"/>
        </w:rPr>
        <w:instrText xml:space="preserve"> PAGEREF _Toc62919418 \h </w:instrText>
      </w:r>
      <w:r>
        <w:rPr>
          <w:rFonts w:hint="default" w:ascii="Times New Roman" w:hAnsi="Times New Roman" w:eastAsia="黑体" w:cs="Times New Roman"/>
          <w:bCs/>
          <w:spacing w:val="-6"/>
          <w:sz w:val="28"/>
          <w:szCs w:val="28"/>
        </w:rPr>
        <w:fldChar w:fldCharType="separate"/>
      </w:r>
      <w:r>
        <w:rPr>
          <w:rStyle w:val="27"/>
          <w:rFonts w:hint="default" w:ascii="Times New Roman" w:hAnsi="Times New Roman" w:eastAsia="黑体" w:cs="Times New Roman"/>
          <w:bCs/>
          <w:spacing w:val="-6"/>
          <w:sz w:val="28"/>
          <w:szCs w:val="28"/>
        </w:rPr>
        <w:t>38</w:t>
      </w:r>
      <w:r>
        <w:rPr>
          <w:rFonts w:hint="default" w:ascii="Times New Roman" w:hAnsi="Times New Roman" w:eastAsia="黑体" w:cs="Times New Roman"/>
          <w:bCs/>
          <w:spacing w:val="-6"/>
          <w:sz w:val="28"/>
          <w:szCs w:val="28"/>
        </w:rPr>
        <w:fldChar w:fldCharType="end"/>
      </w:r>
      <w:r>
        <w:rPr>
          <w:rFonts w:hint="default" w:ascii="Times New Roman" w:hAnsi="Times New Roman" w:eastAsia="黑体" w:cs="Times New Roman"/>
          <w:bCs/>
          <w:spacing w:val="-6"/>
          <w:sz w:val="28"/>
          <w:szCs w:val="28"/>
        </w:rPr>
        <w:fldChar w:fldCharType="end"/>
      </w:r>
    </w:p>
    <w:p>
      <w:pPr>
        <w:pStyle w:val="14"/>
        <w:tabs>
          <w:tab w:val="right" w:leader="dot" w:pos="8834"/>
        </w:tabs>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instrText xml:space="preserve">HYPERLINK \l "_Toc62919419"</w:instrText>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fldChar w:fldCharType="separate"/>
      </w:r>
      <w:r>
        <w:rPr>
          <w:rStyle w:val="27"/>
          <w:rFonts w:hint="default" w:ascii="Times New Roman" w:hAnsi="Times New Roman" w:eastAsia="楷体_GB2312" w:cs="Times New Roman"/>
          <w:sz w:val="28"/>
          <w:szCs w:val="28"/>
        </w:rPr>
        <w:t>第一节 促进三区融合发展</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_Toc62919419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38</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4"/>
        <w:tabs>
          <w:tab w:val="right" w:leader="dot" w:pos="8834"/>
        </w:tabs>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instrText xml:space="preserve">HYPERLINK \l "_Toc62919420"</w:instrText>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fldChar w:fldCharType="separate"/>
      </w:r>
      <w:r>
        <w:rPr>
          <w:rStyle w:val="27"/>
          <w:rFonts w:hint="default" w:ascii="Times New Roman" w:hAnsi="Times New Roman" w:eastAsia="楷体_GB2312" w:cs="Times New Roman"/>
          <w:bCs/>
          <w:kern w:val="0"/>
          <w:sz w:val="28"/>
          <w:szCs w:val="28"/>
        </w:rPr>
        <w:t>第二节 推进精致城市建设</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_Toc62919420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39</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4"/>
        <w:tabs>
          <w:tab w:val="right" w:leader="dot" w:pos="8834"/>
        </w:tabs>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instrText xml:space="preserve">HYPERLINK \l "_Toc62919421"</w:instrText>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fldChar w:fldCharType="separate"/>
      </w:r>
      <w:r>
        <w:rPr>
          <w:rStyle w:val="27"/>
          <w:rFonts w:hint="default" w:ascii="Times New Roman" w:hAnsi="Times New Roman" w:eastAsia="楷体_GB2312" w:cs="Times New Roman"/>
          <w:sz w:val="28"/>
          <w:szCs w:val="28"/>
        </w:rPr>
        <w:t>第三节 提升基础设施水平</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_Toc62919421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41</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4"/>
        <w:tabs>
          <w:tab w:val="right" w:leader="dot" w:pos="8834"/>
        </w:tabs>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instrText xml:space="preserve">HYPERLINK \l "_Toc62919422"</w:instrText>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fldChar w:fldCharType="separate"/>
      </w:r>
      <w:r>
        <w:rPr>
          <w:rStyle w:val="27"/>
          <w:rFonts w:hint="default" w:ascii="Times New Roman" w:hAnsi="Times New Roman" w:eastAsia="楷体_GB2312" w:cs="Times New Roman"/>
          <w:bCs/>
          <w:kern w:val="0"/>
          <w:sz w:val="28"/>
          <w:szCs w:val="28"/>
        </w:rPr>
        <w:t>第四节 加快推进人口市民化进程</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_Toc62919422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47</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3"/>
        <w:tabs>
          <w:tab w:val="right" w:leader="dot" w:pos="8834"/>
        </w:tabs>
        <w:rPr>
          <w:rStyle w:val="27"/>
          <w:rFonts w:hint="default" w:ascii="Times New Roman" w:hAnsi="Times New Roman" w:eastAsia="黑体" w:cs="Times New Roman"/>
          <w:bCs/>
          <w:spacing w:val="-6"/>
          <w:sz w:val="28"/>
          <w:szCs w:val="28"/>
        </w:rPr>
      </w:pPr>
      <w:r>
        <w:rPr>
          <w:rFonts w:hint="default" w:ascii="Times New Roman" w:hAnsi="Times New Roman" w:eastAsia="黑体" w:cs="Times New Roman"/>
          <w:bCs/>
          <w:spacing w:val="-6"/>
          <w:sz w:val="28"/>
          <w:szCs w:val="28"/>
        </w:rPr>
        <w:fldChar w:fldCharType="begin"/>
      </w:r>
      <w:r>
        <w:rPr>
          <w:rStyle w:val="27"/>
          <w:rFonts w:hint="default" w:ascii="Times New Roman" w:hAnsi="Times New Roman" w:eastAsia="黑体" w:cs="Times New Roman"/>
          <w:bCs/>
          <w:spacing w:val="-6"/>
          <w:sz w:val="28"/>
          <w:szCs w:val="28"/>
        </w:rPr>
        <w:instrText xml:space="preserve"> HYPERLINK \l "_Toc62919423" </w:instrText>
      </w:r>
      <w:r>
        <w:rPr>
          <w:rFonts w:hint="default" w:ascii="Times New Roman" w:hAnsi="Times New Roman" w:eastAsia="黑体" w:cs="Times New Roman"/>
          <w:bCs/>
          <w:spacing w:val="-6"/>
          <w:sz w:val="28"/>
          <w:szCs w:val="28"/>
        </w:rPr>
        <w:fldChar w:fldCharType="separate"/>
      </w:r>
      <w:r>
        <w:rPr>
          <w:rStyle w:val="27"/>
          <w:rFonts w:hint="default" w:ascii="Times New Roman" w:hAnsi="Times New Roman" w:eastAsia="黑体" w:cs="Times New Roman"/>
          <w:bCs/>
          <w:spacing w:val="-6"/>
          <w:sz w:val="28"/>
          <w:szCs w:val="28"/>
        </w:rPr>
        <w:t>第四章 优先发展农业农村 全面推进乡村振兴</w:t>
      </w:r>
      <w:r>
        <w:rPr>
          <w:rStyle w:val="27"/>
          <w:rFonts w:hint="default" w:ascii="Times New Roman" w:hAnsi="Times New Roman" w:eastAsia="黑体" w:cs="Times New Roman"/>
          <w:bCs/>
          <w:spacing w:val="-6"/>
          <w:sz w:val="28"/>
          <w:szCs w:val="28"/>
        </w:rPr>
        <w:tab/>
      </w:r>
      <w:r>
        <w:rPr>
          <w:rFonts w:hint="default" w:ascii="Times New Roman" w:hAnsi="Times New Roman" w:eastAsia="黑体" w:cs="Times New Roman"/>
          <w:bCs/>
          <w:spacing w:val="-6"/>
          <w:sz w:val="28"/>
          <w:szCs w:val="28"/>
        </w:rPr>
        <w:fldChar w:fldCharType="begin"/>
      </w:r>
      <w:r>
        <w:rPr>
          <w:rStyle w:val="27"/>
          <w:rFonts w:hint="default" w:ascii="Times New Roman" w:hAnsi="Times New Roman" w:eastAsia="黑体" w:cs="Times New Roman"/>
          <w:bCs/>
          <w:spacing w:val="-6"/>
          <w:sz w:val="28"/>
          <w:szCs w:val="28"/>
        </w:rPr>
        <w:instrText xml:space="preserve"> PAGEREF _Toc62919423 \h </w:instrText>
      </w:r>
      <w:r>
        <w:rPr>
          <w:rFonts w:hint="default" w:ascii="Times New Roman" w:hAnsi="Times New Roman" w:eastAsia="黑体" w:cs="Times New Roman"/>
          <w:bCs/>
          <w:spacing w:val="-6"/>
          <w:sz w:val="28"/>
          <w:szCs w:val="28"/>
        </w:rPr>
        <w:fldChar w:fldCharType="separate"/>
      </w:r>
      <w:r>
        <w:rPr>
          <w:rStyle w:val="27"/>
          <w:rFonts w:hint="default" w:ascii="Times New Roman" w:hAnsi="Times New Roman" w:eastAsia="黑体" w:cs="Times New Roman"/>
          <w:bCs/>
          <w:spacing w:val="-6"/>
          <w:sz w:val="28"/>
          <w:szCs w:val="28"/>
        </w:rPr>
        <w:t>49</w:t>
      </w:r>
      <w:r>
        <w:rPr>
          <w:rFonts w:hint="default" w:ascii="Times New Roman" w:hAnsi="Times New Roman" w:eastAsia="黑体" w:cs="Times New Roman"/>
          <w:bCs/>
          <w:spacing w:val="-6"/>
          <w:sz w:val="28"/>
          <w:szCs w:val="28"/>
        </w:rPr>
        <w:fldChar w:fldCharType="end"/>
      </w:r>
      <w:r>
        <w:rPr>
          <w:rFonts w:hint="default" w:ascii="Times New Roman" w:hAnsi="Times New Roman" w:eastAsia="黑体" w:cs="Times New Roman"/>
          <w:bCs/>
          <w:spacing w:val="-6"/>
          <w:sz w:val="28"/>
          <w:szCs w:val="28"/>
        </w:rPr>
        <w:fldChar w:fldCharType="end"/>
      </w:r>
    </w:p>
    <w:p>
      <w:pPr>
        <w:pStyle w:val="14"/>
        <w:tabs>
          <w:tab w:val="right" w:leader="dot" w:pos="8834"/>
        </w:tabs>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instrText xml:space="preserve">HYPERLINK \l "_Toc62919424"</w:instrText>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fldChar w:fldCharType="separate"/>
      </w:r>
      <w:r>
        <w:rPr>
          <w:rStyle w:val="27"/>
          <w:rFonts w:hint="default" w:ascii="Times New Roman" w:hAnsi="Times New Roman" w:eastAsia="楷体_GB2312" w:cs="Times New Roman"/>
          <w:bCs/>
          <w:sz w:val="28"/>
          <w:szCs w:val="28"/>
        </w:rPr>
        <w:t>第一节 提升农产品综合生产能力</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_Toc62919424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49</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4"/>
        <w:tabs>
          <w:tab w:val="right" w:leader="dot" w:pos="8834"/>
        </w:tabs>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instrText xml:space="preserve">HYPERLINK \l "_Toc62919425"</w:instrText>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fldChar w:fldCharType="separate"/>
      </w:r>
      <w:r>
        <w:rPr>
          <w:rStyle w:val="27"/>
          <w:rFonts w:hint="default" w:ascii="Times New Roman" w:hAnsi="Times New Roman" w:eastAsia="楷体_GB2312" w:cs="Times New Roman"/>
          <w:bCs/>
          <w:sz w:val="28"/>
          <w:szCs w:val="28"/>
        </w:rPr>
        <w:t>第二节 打造现代农业产业体系</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_Toc62919425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50</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4"/>
        <w:tabs>
          <w:tab w:val="right" w:leader="dot" w:pos="8834"/>
        </w:tabs>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instrText xml:space="preserve">HYPERLINK \l "_Toc62919426"</w:instrText>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fldChar w:fldCharType="separate"/>
      </w:r>
      <w:r>
        <w:rPr>
          <w:rStyle w:val="27"/>
          <w:rFonts w:hint="default" w:ascii="Times New Roman" w:hAnsi="Times New Roman" w:eastAsia="楷体_GB2312" w:cs="Times New Roman"/>
          <w:bCs/>
          <w:sz w:val="28"/>
          <w:szCs w:val="28"/>
        </w:rPr>
        <w:t>第三节 实施乡村建设行动</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_Toc62919426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53</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4"/>
        <w:tabs>
          <w:tab w:val="right" w:leader="dot" w:pos="8834"/>
        </w:tabs>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instrText xml:space="preserve">HYPERLINK \l "_Toc62919427"</w:instrText>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fldChar w:fldCharType="separate"/>
      </w:r>
      <w:r>
        <w:rPr>
          <w:rStyle w:val="27"/>
          <w:rFonts w:hint="default" w:ascii="Times New Roman" w:hAnsi="Times New Roman" w:eastAsia="楷体_GB2312" w:cs="Times New Roman"/>
          <w:bCs/>
          <w:sz w:val="28"/>
          <w:szCs w:val="28"/>
        </w:rPr>
        <w:t>第四节 健全城乡融合发展体制机制</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_Toc62919427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54</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3"/>
        <w:tabs>
          <w:tab w:val="right" w:leader="dot" w:pos="8834"/>
        </w:tabs>
        <w:rPr>
          <w:rStyle w:val="27"/>
          <w:rFonts w:hint="default" w:ascii="Times New Roman" w:hAnsi="Times New Roman" w:eastAsia="黑体" w:cs="Times New Roman"/>
          <w:bCs/>
          <w:spacing w:val="-6"/>
          <w:sz w:val="28"/>
          <w:szCs w:val="28"/>
        </w:rPr>
      </w:pPr>
      <w:r>
        <w:rPr>
          <w:rFonts w:hint="default" w:ascii="Times New Roman" w:hAnsi="Times New Roman" w:eastAsia="黑体" w:cs="Times New Roman"/>
          <w:bCs/>
          <w:spacing w:val="-6"/>
          <w:sz w:val="28"/>
          <w:szCs w:val="28"/>
        </w:rPr>
        <w:fldChar w:fldCharType="begin"/>
      </w:r>
      <w:r>
        <w:rPr>
          <w:rStyle w:val="27"/>
          <w:rFonts w:hint="default" w:ascii="Times New Roman" w:hAnsi="Times New Roman" w:eastAsia="黑体" w:cs="Times New Roman"/>
          <w:bCs/>
          <w:spacing w:val="-6"/>
          <w:sz w:val="28"/>
          <w:szCs w:val="28"/>
        </w:rPr>
        <w:instrText xml:space="preserve"> HYPERLINK \l "_Toc62919428" </w:instrText>
      </w:r>
      <w:r>
        <w:rPr>
          <w:rFonts w:hint="default" w:ascii="Times New Roman" w:hAnsi="Times New Roman" w:eastAsia="黑体" w:cs="Times New Roman"/>
          <w:bCs/>
          <w:spacing w:val="-6"/>
          <w:sz w:val="28"/>
          <w:szCs w:val="28"/>
        </w:rPr>
        <w:fldChar w:fldCharType="separate"/>
      </w:r>
      <w:r>
        <w:rPr>
          <w:rStyle w:val="27"/>
          <w:rFonts w:hint="default" w:ascii="Times New Roman" w:hAnsi="Times New Roman" w:eastAsia="黑体" w:cs="Times New Roman"/>
          <w:bCs/>
          <w:spacing w:val="-6"/>
          <w:sz w:val="28"/>
          <w:szCs w:val="28"/>
        </w:rPr>
        <w:t>第五章 统筹陆海联动发展 加快建设海洋强市</w:t>
      </w:r>
      <w:r>
        <w:rPr>
          <w:rStyle w:val="27"/>
          <w:rFonts w:hint="default" w:ascii="Times New Roman" w:hAnsi="Times New Roman" w:eastAsia="黑体" w:cs="Times New Roman"/>
          <w:bCs/>
          <w:spacing w:val="-6"/>
          <w:sz w:val="28"/>
          <w:szCs w:val="28"/>
        </w:rPr>
        <w:tab/>
      </w:r>
      <w:r>
        <w:rPr>
          <w:rFonts w:hint="default" w:ascii="Times New Roman" w:hAnsi="Times New Roman" w:eastAsia="黑体" w:cs="Times New Roman"/>
          <w:bCs/>
          <w:spacing w:val="-6"/>
          <w:sz w:val="28"/>
          <w:szCs w:val="28"/>
        </w:rPr>
        <w:fldChar w:fldCharType="begin"/>
      </w:r>
      <w:r>
        <w:rPr>
          <w:rStyle w:val="27"/>
          <w:rFonts w:hint="default" w:ascii="Times New Roman" w:hAnsi="Times New Roman" w:eastAsia="黑体" w:cs="Times New Roman"/>
          <w:bCs/>
          <w:spacing w:val="-6"/>
          <w:sz w:val="28"/>
          <w:szCs w:val="28"/>
        </w:rPr>
        <w:instrText xml:space="preserve"> PAGEREF _Toc62919428 \h </w:instrText>
      </w:r>
      <w:r>
        <w:rPr>
          <w:rFonts w:hint="default" w:ascii="Times New Roman" w:hAnsi="Times New Roman" w:eastAsia="黑体" w:cs="Times New Roman"/>
          <w:bCs/>
          <w:spacing w:val="-6"/>
          <w:sz w:val="28"/>
          <w:szCs w:val="28"/>
        </w:rPr>
        <w:fldChar w:fldCharType="separate"/>
      </w:r>
      <w:r>
        <w:rPr>
          <w:rStyle w:val="27"/>
          <w:rFonts w:hint="default" w:ascii="Times New Roman" w:hAnsi="Times New Roman" w:eastAsia="黑体" w:cs="Times New Roman"/>
          <w:bCs/>
          <w:spacing w:val="-6"/>
          <w:sz w:val="28"/>
          <w:szCs w:val="28"/>
        </w:rPr>
        <w:t>57</w:t>
      </w:r>
      <w:r>
        <w:rPr>
          <w:rFonts w:hint="default" w:ascii="Times New Roman" w:hAnsi="Times New Roman" w:eastAsia="黑体" w:cs="Times New Roman"/>
          <w:bCs/>
          <w:spacing w:val="-6"/>
          <w:sz w:val="28"/>
          <w:szCs w:val="28"/>
        </w:rPr>
        <w:fldChar w:fldCharType="end"/>
      </w:r>
      <w:r>
        <w:rPr>
          <w:rFonts w:hint="default" w:ascii="Times New Roman" w:hAnsi="Times New Roman" w:eastAsia="黑体" w:cs="Times New Roman"/>
          <w:bCs/>
          <w:spacing w:val="-6"/>
          <w:sz w:val="28"/>
          <w:szCs w:val="28"/>
        </w:rPr>
        <w:fldChar w:fldCharType="end"/>
      </w:r>
    </w:p>
    <w:p>
      <w:pPr>
        <w:pStyle w:val="14"/>
        <w:tabs>
          <w:tab w:val="right" w:leader="dot" w:pos="8834"/>
        </w:tabs>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instrText xml:space="preserve">HYPERLINK \l "_Toc62919429"</w:instrText>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fldChar w:fldCharType="separate"/>
      </w:r>
      <w:r>
        <w:rPr>
          <w:rStyle w:val="27"/>
          <w:rFonts w:hint="default" w:ascii="Times New Roman" w:hAnsi="Times New Roman" w:eastAsia="楷体_GB2312" w:cs="Times New Roman"/>
          <w:bCs/>
          <w:sz w:val="28"/>
          <w:szCs w:val="28"/>
        </w:rPr>
        <w:t>第一节 构建现</w:t>
      </w:r>
      <w:bookmarkStart w:id="0" w:name="_Hlt62919698"/>
      <w:r>
        <w:rPr>
          <w:rStyle w:val="27"/>
          <w:rFonts w:hint="default" w:ascii="Times New Roman" w:hAnsi="Times New Roman" w:eastAsia="楷体_GB2312" w:cs="Times New Roman"/>
          <w:bCs/>
          <w:sz w:val="28"/>
          <w:szCs w:val="28"/>
        </w:rPr>
        <w:t>代</w:t>
      </w:r>
      <w:bookmarkEnd w:id="0"/>
      <w:r>
        <w:rPr>
          <w:rStyle w:val="27"/>
          <w:rFonts w:hint="default" w:ascii="Times New Roman" w:hAnsi="Times New Roman" w:eastAsia="楷体_GB2312" w:cs="Times New Roman"/>
          <w:bCs/>
          <w:sz w:val="28"/>
          <w:szCs w:val="28"/>
        </w:rPr>
        <w:t>海洋产业体系</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_Toc62919429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57</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4"/>
        <w:tabs>
          <w:tab w:val="right" w:leader="dot" w:pos="8834"/>
        </w:tabs>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instrText xml:space="preserve">HYPERLINK \l "_Toc62919430"</w:instrText>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fldChar w:fldCharType="separate"/>
      </w:r>
      <w:r>
        <w:rPr>
          <w:rStyle w:val="27"/>
          <w:rFonts w:hint="default" w:ascii="Times New Roman" w:hAnsi="Times New Roman" w:eastAsia="楷体_GB2312" w:cs="Times New Roman"/>
          <w:bCs/>
          <w:sz w:val="28"/>
          <w:szCs w:val="28"/>
        </w:rPr>
        <w:t>第二节 强化海洋科技创新引领</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_Toc62919430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59</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4"/>
        <w:tabs>
          <w:tab w:val="right" w:leader="dot" w:pos="8834"/>
        </w:tabs>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instrText xml:space="preserve">HYPERLINK \l "_Toc62919431"</w:instrText>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fldChar w:fldCharType="separate"/>
      </w:r>
      <w:r>
        <w:rPr>
          <w:rStyle w:val="27"/>
          <w:rFonts w:hint="default" w:ascii="Times New Roman" w:hAnsi="Times New Roman" w:eastAsia="楷体_GB2312" w:cs="Times New Roman"/>
          <w:bCs/>
          <w:sz w:val="28"/>
          <w:szCs w:val="28"/>
        </w:rPr>
        <w:t>第三节 建设现代化特色贸易港</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_Toc62919431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61</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3"/>
        <w:tabs>
          <w:tab w:val="right" w:leader="dot" w:pos="8834"/>
        </w:tabs>
        <w:rPr>
          <w:rStyle w:val="27"/>
          <w:rFonts w:hint="default" w:ascii="Times New Roman" w:hAnsi="Times New Roman" w:eastAsia="黑体" w:cs="Times New Roman"/>
          <w:bCs/>
          <w:spacing w:val="-6"/>
          <w:sz w:val="28"/>
          <w:szCs w:val="28"/>
        </w:rPr>
      </w:pPr>
      <w:r>
        <w:rPr>
          <w:rFonts w:hint="default" w:ascii="Times New Roman" w:hAnsi="Times New Roman" w:eastAsia="黑体" w:cs="Times New Roman"/>
          <w:bCs/>
          <w:spacing w:val="-6"/>
          <w:sz w:val="28"/>
          <w:szCs w:val="28"/>
        </w:rPr>
        <w:fldChar w:fldCharType="begin"/>
      </w:r>
      <w:r>
        <w:rPr>
          <w:rStyle w:val="27"/>
          <w:rFonts w:hint="default" w:ascii="Times New Roman" w:hAnsi="Times New Roman" w:eastAsia="黑体" w:cs="Times New Roman"/>
          <w:bCs/>
          <w:spacing w:val="-6"/>
          <w:sz w:val="28"/>
          <w:szCs w:val="28"/>
        </w:rPr>
        <w:instrText xml:space="preserve"> HYPERLINK \l "_Toc62919432" </w:instrText>
      </w:r>
      <w:r>
        <w:rPr>
          <w:rFonts w:hint="default" w:ascii="Times New Roman" w:hAnsi="Times New Roman" w:eastAsia="黑体" w:cs="Times New Roman"/>
          <w:bCs/>
          <w:spacing w:val="-6"/>
          <w:sz w:val="28"/>
          <w:szCs w:val="28"/>
        </w:rPr>
        <w:fldChar w:fldCharType="separate"/>
      </w:r>
      <w:r>
        <w:rPr>
          <w:rStyle w:val="27"/>
          <w:rFonts w:hint="default" w:ascii="Times New Roman" w:hAnsi="Times New Roman" w:eastAsia="黑体" w:cs="Times New Roman"/>
          <w:bCs/>
          <w:spacing w:val="-6"/>
          <w:sz w:val="28"/>
          <w:szCs w:val="28"/>
        </w:rPr>
        <w:t>第六章 深化改革扩大开放 积极融入新发展格局</w:t>
      </w:r>
      <w:r>
        <w:rPr>
          <w:rStyle w:val="27"/>
          <w:rFonts w:hint="default" w:ascii="Times New Roman" w:hAnsi="Times New Roman" w:eastAsia="黑体" w:cs="Times New Roman"/>
          <w:bCs/>
          <w:spacing w:val="-6"/>
          <w:sz w:val="28"/>
          <w:szCs w:val="28"/>
        </w:rPr>
        <w:tab/>
      </w:r>
      <w:r>
        <w:rPr>
          <w:rFonts w:hint="default" w:ascii="Times New Roman" w:hAnsi="Times New Roman" w:eastAsia="黑体" w:cs="Times New Roman"/>
          <w:bCs/>
          <w:spacing w:val="-6"/>
          <w:sz w:val="28"/>
          <w:szCs w:val="28"/>
        </w:rPr>
        <w:fldChar w:fldCharType="begin"/>
      </w:r>
      <w:r>
        <w:rPr>
          <w:rStyle w:val="27"/>
          <w:rFonts w:hint="default" w:ascii="Times New Roman" w:hAnsi="Times New Roman" w:eastAsia="黑体" w:cs="Times New Roman"/>
          <w:bCs/>
          <w:spacing w:val="-6"/>
          <w:sz w:val="28"/>
          <w:szCs w:val="28"/>
        </w:rPr>
        <w:instrText xml:space="preserve"> PAGEREF _Toc62919432 \h </w:instrText>
      </w:r>
      <w:r>
        <w:rPr>
          <w:rFonts w:hint="default" w:ascii="Times New Roman" w:hAnsi="Times New Roman" w:eastAsia="黑体" w:cs="Times New Roman"/>
          <w:bCs/>
          <w:spacing w:val="-6"/>
          <w:sz w:val="28"/>
          <w:szCs w:val="28"/>
        </w:rPr>
        <w:fldChar w:fldCharType="separate"/>
      </w:r>
      <w:r>
        <w:rPr>
          <w:rStyle w:val="27"/>
          <w:rFonts w:hint="default" w:ascii="Times New Roman" w:hAnsi="Times New Roman" w:eastAsia="黑体" w:cs="Times New Roman"/>
          <w:bCs/>
          <w:spacing w:val="-6"/>
          <w:sz w:val="28"/>
          <w:szCs w:val="28"/>
        </w:rPr>
        <w:t>65</w:t>
      </w:r>
      <w:r>
        <w:rPr>
          <w:rFonts w:hint="default" w:ascii="Times New Roman" w:hAnsi="Times New Roman" w:eastAsia="黑体" w:cs="Times New Roman"/>
          <w:bCs/>
          <w:spacing w:val="-6"/>
          <w:sz w:val="28"/>
          <w:szCs w:val="28"/>
        </w:rPr>
        <w:fldChar w:fldCharType="end"/>
      </w:r>
      <w:r>
        <w:rPr>
          <w:rFonts w:hint="default" w:ascii="Times New Roman" w:hAnsi="Times New Roman" w:eastAsia="黑体" w:cs="Times New Roman"/>
          <w:bCs/>
          <w:spacing w:val="-6"/>
          <w:sz w:val="28"/>
          <w:szCs w:val="28"/>
        </w:rPr>
        <w:fldChar w:fldCharType="end"/>
      </w:r>
    </w:p>
    <w:p>
      <w:pPr>
        <w:pStyle w:val="14"/>
        <w:tabs>
          <w:tab w:val="right" w:leader="dot" w:pos="8834"/>
        </w:tabs>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instrText xml:space="preserve">HYPERLINK \l "_Toc62919433"</w:instrText>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fldChar w:fldCharType="separate"/>
      </w:r>
      <w:r>
        <w:rPr>
          <w:rStyle w:val="27"/>
          <w:rFonts w:hint="default" w:ascii="Times New Roman" w:hAnsi="Times New Roman" w:eastAsia="楷体_GB2312" w:cs="Times New Roman"/>
          <w:sz w:val="28"/>
          <w:szCs w:val="28"/>
        </w:rPr>
        <w:t>第一节 释放居民消费潜力</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_Toc62919433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65</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4"/>
        <w:tabs>
          <w:tab w:val="right" w:leader="dot" w:pos="8834"/>
        </w:tabs>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instrText xml:space="preserve">HYPERLINK \l "_Toc62919434"</w:instrText>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fldChar w:fldCharType="separate"/>
      </w:r>
      <w:r>
        <w:rPr>
          <w:rStyle w:val="27"/>
          <w:rFonts w:hint="default" w:ascii="Times New Roman" w:hAnsi="Times New Roman" w:eastAsia="楷体_GB2312" w:cs="Times New Roman"/>
          <w:sz w:val="28"/>
          <w:szCs w:val="28"/>
        </w:rPr>
        <w:t>第二节 拓展有效投资空间</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_Toc62919434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66</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4"/>
        <w:tabs>
          <w:tab w:val="right" w:leader="dot" w:pos="8834"/>
        </w:tabs>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instrText xml:space="preserve">HYPERLINK \l "_Toc62919435"</w:instrText>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fldChar w:fldCharType="separate"/>
      </w:r>
      <w:r>
        <w:rPr>
          <w:rStyle w:val="27"/>
          <w:rFonts w:hint="default" w:ascii="Times New Roman" w:hAnsi="Times New Roman" w:eastAsia="楷体_GB2312" w:cs="Times New Roman"/>
          <w:sz w:val="28"/>
          <w:szCs w:val="28"/>
        </w:rPr>
        <w:t>第三节 激发市场主体活力</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_Toc62919435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67</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4"/>
        <w:tabs>
          <w:tab w:val="right" w:leader="dot" w:pos="8834"/>
        </w:tabs>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instrText xml:space="preserve">HYPERLINK \l "_Toc62919436"</w:instrText>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fldChar w:fldCharType="separate"/>
      </w:r>
      <w:r>
        <w:rPr>
          <w:rStyle w:val="27"/>
          <w:rFonts w:hint="default" w:ascii="Times New Roman" w:hAnsi="Times New Roman" w:eastAsia="楷体_GB2312" w:cs="Times New Roman"/>
          <w:sz w:val="28"/>
          <w:szCs w:val="28"/>
        </w:rPr>
        <w:t>第四节 着力优化营商环境</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_Toc62919436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68</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4"/>
        <w:tabs>
          <w:tab w:val="right" w:leader="dot" w:pos="8834"/>
        </w:tabs>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instrText xml:space="preserve">HYPERLINK \l "_Toc62919437"</w:instrText>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fldChar w:fldCharType="separate"/>
      </w:r>
      <w:r>
        <w:rPr>
          <w:rStyle w:val="27"/>
          <w:rFonts w:hint="default" w:ascii="Times New Roman" w:hAnsi="Times New Roman" w:eastAsia="楷体_GB2312" w:cs="Times New Roman"/>
          <w:sz w:val="28"/>
          <w:szCs w:val="28"/>
        </w:rPr>
        <w:t>第五节 深化对内对外开放</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_Toc62919437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69</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3"/>
        <w:tabs>
          <w:tab w:val="right" w:leader="dot" w:pos="8834"/>
        </w:tabs>
        <w:rPr>
          <w:rStyle w:val="27"/>
          <w:rFonts w:hint="default" w:ascii="Times New Roman" w:hAnsi="Times New Roman" w:eastAsia="黑体" w:cs="Times New Roman"/>
          <w:bCs/>
          <w:spacing w:val="-6"/>
          <w:sz w:val="28"/>
          <w:szCs w:val="28"/>
        </w:rPr>
      </w:pPr>
      <w:r>
        <w:rPr>
          <w:rFonts w:hint="default" w:ascii="Times New Roman" w:hAnsi="Times New Roman" w:eastAsia="黑体" w:cs="Times New Roman"/>
          <w:bCs/>
          <w:spacing w:val="-6"/>
          <w:sz w:val="28"/>
          <w:szCs w:val="28"/>
        </w:rPr>
        <w:fldChar w:fldCharType="begin"/>
      </w:r>
      <w:r>
        <w:rPr>
          <w:rStyle w:val="27"/>
          <w:rFonts w:hint="default" w:ascii="Times New Roman" w:hAnsi="Times New Roman" w:eastAsia="黑体" w:cs="Times New Roman"/>
          <w:bCs/>
          <w:spacing w:val="-6"/>
          <w:sz w:val="28"/>
          <w:szCs w:val="28"/>
        </w:rPr>
        <w:instrText xml:space="preserve"> HYPERLINK \l "_Toc62919438" </w:instrText>
      </w:r>
      <w:r>
        <w:rPr>
          <w:rFonts w:hint="default" w:ascii="Times New Roman" w:hAnsi="Times New Roman" w:eastAsia="黑体" w:cs="Times New Roman"/>
          <w:bCs/>
          <w:spacing w:val="-6"/>
          <w:sz w:val="28"/>
          <w:szCs w:val="28"/>
        </w:rPr>
        <w:fldChar w:fldCharType="separate"/>
      </w:r>
      <w:r>
        <w:rPr>
          <w:rStyle w:val="27"/>
          <w:rFonts w:hint="default" w:ascii="Times New Roman" w:hAnsi="Times New Roman" w:eastAsia="黑体" w:cs="Times New Roman"/>
          <w:bCs/>
          <w:spacing w:val="-6"/>
          <w:sz w:val="28"/>
          <w:szCs w:val="28"/>
        </w:rPr>
        <w:t>第七章 构建生态文明体系 促进人与自然和谐共生</w:t>
      </w:r>
      <w:r>
        <w:rPr>
          <w:rStyle w:val="27"/>
          <w:rFonts w:hint="default" w:ascii="Times New Roman" w:hAnsi="Times New Roman" w:eastAsia="黑体" w:cs="Times New Roman"/>
          <w:bCs/>
          <w:spacing w:val="-6"/>
          <w:sz w:val="28"/>
          <w:szCs w:val="28"/>
        </w:rPr>
        <w:tab/>
      </w:r>
      <w:r>
        <w:rPr>
          <w:rFonts w:hint="default" w:ascii="Times New Roman" w:hAnsi="Times New Roman" w:eastAsia="黑体" w:cs="Times New Roman"/>
          <w:bCs/>
          <w:spacing w:val="-6"/>
          <w:sz w:val="28"/>
          <w:szCs w:val="28"/>
        </w:rPr>
        <w:fldChar w:fldCharType="begin"/>
      </w:r>
      <w:r>
        <w:rPr>
          <w:rStyle w:val="27"/>
          <w:rFonts w:hint="default" w:ascii="Times New Roman" w:hAnsi="Times New Roman" w:eastAsia="黑体" w:cs="Times New Roman"/>
          <w:bCs/>
          <w:spacing w:val="-6"/>
          <w:sz w:val="28"/>
          <w:szCs w:val="28"/>
        </w:rPr>
        <w:instrText xml:space="preserve"> PAGEREF _Toc62919438 \h </w:instrText>
      </w:r>
      <w:r>
        <w:rPr>
          <w:rFonts w:hint="default" w:ascii="Times New Roman" w:hAnsi="Times New Roman" w:eastAsia="黑体" w:cs="Times New Roman"/>
          <w:bCs/>
          <w:spacing w:val="-6"/>
          <w:sz w:val="28"/>
          <w:szCs w:val="28"/>
        </w:rPr>
        <w:fldChar w:fldCharType="separate"/>
      </w:r>
      <w:r>
        <w:rPr>
          <w:rStyle w:val="27"/>
          <w:rFonts w:hint="default" w:ascii="Times New Roman" w:hAnsi="Times New Roman" w:eastAsia="黑体" w:cs="Times New Roman"/>
          <w:bCs/>
          <w:spacing w:val="-6"/>
          <w:sz w:val="28"/>
          <w:szCs w:val="28"/>
        </w:rPr>
        <w:t>73</w:t>
      </w:r>
      <w:r>
        <w:rPr>
          <w:rFonts w:hint="default" w:ascii="Times New Roman" w:hAnsi="Times New Roman" w:eastAsia="黑体" w:cs="Times New Roman"/>
          <w:bCs/>
          <w:spacing w:val="-6"/>
          <w:sz w:val="28"/>
          <w:szCs w:val="28"/>
        </w:rPr>
        <w:fldChar w:fldCharType="end"/>
      </w:r>
      <w:r>
        <w:rPr>
          <w:rFonts w:hint="default" w:ascii="Times New Roman" w:hAnsi="Times New Roman" w:eastAsia="黑体" w:cs="Times New Roman"/>
          <w:bCs/>
          <w:spacing w:val="-6"/>
          <w:sz w:val="28"/>
          <w:szCs w:val="28"/>
        </w:rPr>
        <w:fldChar w:fldCharType="end"/>
      </w:r>
    </w:p>
    <w:p>
      <w:pPr>
        <w:pStyle w:val="14"/>
        <w:tabs>
          <w:tab w:val="right" w:leader="dot" w:pos="8834"/>
        </w:tabs>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instrText xml:space="preserve">HYPERLINK \l "_Toc62919439"</w:instrText>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fldChar w:fldCharType="separate"/>
      </w:r>
      <w:r>
        <w:rPr>
          <w:rStyle w:val="27"/>
          <w:rFonts w:hint="default" w:ascii="Times New Roman" w:hAnsi="Times New Roman" w:eastAsia="楷体_GB2312" w:cs="Times New Roman"/>
          <w:bCs/>
          <w:sz w:val="28"/>
          <w:szCs w:val="28"/>
        </w:rPr>
        <w:t>第一节 优化生态安全空间格局</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_Toc62919439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73</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4"/>
        <w:tabs>
          <w:tab w:val="right" w:leader="dot" w:pos="8834"/>
        </w:tabs>
        <w:rPr>
          <w:rFonts w:hint="default" w:ascii="Times New Roman" w:hAnsi="Times New Roman" w:eastAsia="楷体_GB2312" w:cs="Times New Roman"/>
          <w:sz w:val="28"/>
          <w:szCs w:val="28"/>
          <w:lang w:val="en-US" w:eastAsia="zh-CN"/>
        </w:rPr>
      </w:pPr>
      <w:r>
        <w:rPr>
          <w:rFonts w:hint="default" w:ascii="Times New Roman" w:hAnsi="Times New Roman" w:eastAsia="楷体_GB2312" w:cs="Times New Roman"/>
          <w:sz w:val="28"/>
          <w:szCs w:val="28"/>
        </w:rPr>
        <w:fldChar w:fldCharType="begin"/>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instrText xml:space="preserve">HYPERLINK \l "_Toc62919440"</w:instrText>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fldChar w:fldCharType="separate"/>
      </w:r>
      <w:r>
        <w:rPr>
          <w:rStyle w:val="27"/>
          <w:rFonts w:hint="default" w:ascii="Times New Roman" w:hAnsi="Times New Roman" w:eastAsia="楷体_GB2312" w:cs="Times New Roman"/>
          <w:bCs/>
          <w:sz w:val="28"/>
          <w:szCs w:val="28"/>
        </w:rPr>
        <w:t>第二节 全面提高资源利用效率</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lang w:val="en-US" w:eastAsia="zh-CN"/>
        </w:rPr>
        <w:t>6</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lang w:val="en-US" w:eastAsia="zh-CN"/>
        </w:rPr>
        <w:t>9</w:t>
      </w:r>
    </w:p>
    <w:p>
      <w:pPr>
        <w:pStyle w:val="14"/>
        <w:tabs>
          <w:tab w:val="right" w:leader="dot" w:pos="8834"/>
        </w:tabs>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instrText xml:space="preserve">HYPERLINK \l "_Toc62919441"</w:instrText>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fldChar w:fldCharType="separate"/>
      </w:r>
      <w:r>
        <w:rPr>
          <w:rStyle w:val="27"/>
          <w:rFonts w:hint="default" w:ascii="Times New Roman" w:hAnsi="Times New Roman" w:eastAsia="楷体_GB2312" w:cs="Times New Roman"/>
          <w:bCs/>
          <w:sz w:val="28"/>
          <w:szCs w:val="28"/>
        </w:rPr>
        <w:t>第三节 持续改善生态环境质量</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_Toc62919441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76</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4"/>
        <w:tabs>
          <w:tab w:val="right" w:leader="dot" w:pos="8834"/>
        </w:tabs>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instrText xml:space="preserve">HYPERLINK \l "_Toc62919442"</w:instrText>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fldChar w:fldCharType="separate"/>
      </w:r>
      <w:r>
        <w:rPr>
          <w:rStyle w:val="27"/>
          <w:rFonts w:hint="default" w:ascii="Times New Roman" w:hAnsi="Times New Roman" w:eastAsia="楷体_GB2312" w:cs="Times New Roman"/>
          <w:bCs/>
          <w:sz w:val="28"/>
          <w:szCs w:val="28"/>
        </w:rPr>
        <w:t>第四节 完善生态文明制度体系</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_Toc62919442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77</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3"/>
        <w:tabs>
          <w:tab w:val="right" w:leader="dot" w:pos="8834"/>
        </w:tabs>
        <w:rPr>
          <w:rStyle w:val="27"/>
          <w:rFonts w:hint="default" w:ascii="Times New Roman" w:hAnsi="Times New Roman" w:eastAsia="黑体" w:cs="Times New Roman"/>
          <w:bCs/>
          <w:spacing w:val="-6"/>
          <w:sz w:val="28"/>
          <w:szCs w:val="28"/>
        </w:rPr>
      </w:pPr>
      <w:r>
        <w:rPr>
          <w:rFonts w:hint="default" w:ascii="Times New Roman" w:hAnsi="Times New Roman" w:eastAsia="黑体" w:cs="Times New Roman"/>
          <w:bCs/>
          <w:spacing w:val="-6"/>
          <w:sz w:val="28"/>
          <w:szCs w:val="28"/>
        </w:rPr>
        <w:fldChar w:fldCharType="begin"/>
      </w:r>
      <w:r>
        <w:rPr>
          <w:rStyle w:val="27"/>
          <w:rFonts w:hint="default" w:ascii="Times New Roman" w:hAnsi="Times New Roman" w:eastAsia="黑体" w:cs="Times New Roman"/>
          <w:bCs/>
          <w:spacing w:val="-6"/>
          <w:sz w:val="28"/>
          <w:szCs w:val="28"/>
        </w:rPr>
        <w:instrText xml:space="preserve"> HYPERLINK \l "_Toc62919443" </w:instrText>
      </w:r>
      <w:r>
        <w:rPr>
          <w:rFonts w:hint="default" w:ascii="Times New Roman" w:hAnsi="Times New Roman" w:eastAsia="黑体" w:cs="Times New Roman"/>
          <w:bCs/>
          <w:spacing w:val="-6"/>
          <w:sz w:val="28"/>
          <w:szCs w:val="28"/>
        </w:rPr>
        <w:fldChar w:fldCharType="separate"/>
      </w:r>
      <w:r>
        <w:rPr>
          <w:rStyle w:val="27"/>
          <w:rFonts w:hint="default" w:ascii="Times New Roman" w:hAnsi="Times New Roman" w:eastAsia="黑体" w:cs="Times New Roman"/>
          <w:bCs/>
          <w:spacing w:val="-6"/>
          <w:sz w:val="28"/>
          <w:szCs w:val="28"/>
        </w:rPr>
        <w:t>第八章 传承创新优秀文化 提升精致城市软实力</w:t>
      </w:r>
      <w:r>
        <w:rPr>
          <w:rStyle w:val="27"/>
          <w:rFonts w:hint="default" w:ascii="Times New Roman" w:hAnsi="Times New Roman" w:eastAsia="黑体" w:cs="Times New Roman"/>
          <w:bCs/>
          <w:spacing w:val="-6"/>
          <w:sz w:val="28"/>
          <w:szCs w:val="28"/>
        </w:rPr>
        <w:tab/>
      </w:r>
      <w:r>
        <w:rPr>
          <w:rFonts w:hint="default" w:ascii="Times New Roman" w:hAnsi="Times New Roman" w:eastAsia="黑体" w:cs="Times New Roman"/>
          <w:bCs/>
          <w:spacing w:val="-6"/>
          <w:sz w:val="28"/>
          <w:szCs w:val="28"/>
        </w:rPr>
        <w:fldChar w:fldCharType="begin"/>
      </w:r>
      <w:r>
        <w:rPr>
          <w:rStyle w:val="27"/>
          <w:rFonts w:hint="default" w:ascii="Times New Roman" w:hAnsi="Times New Roman" w:eastAsia="黑体" w:cs="Times New Roman"/>
          <w:bCs/>
          <w:spacing w:val="-6"/>
          <w:sz w:val="28"/>
          <w:szCs w:val="28"/>
        </w:rPr>
        <w:instrText xml:space="preserve"> PAGEREF _Toc62919443 \h </w:instrText>
      </w:r>
      <w:r>
        <w:rPr>
          <w:rFonts w:hint="default" w:ascii="Times New Roman" w:hAnsi="Times New Roman" w:eastAsia="黑体" w:cs="Times New Roman"/>
          <w:bCs/>
          <w:spacing w:val="-6"/>
          <w:sz w:val="28"/>
          <w:szCs w:val="28"/>
        </w:rPr>
        <w:fldChar w:fldCharType="separate"/>
      </w:r>
      <w:r>
        <w:rPr>
          <w:rStyle w:val="27"/>
          <w:rFonts w:hint="default" w:ascii="Times New Roman" w:hAnsi="Times New Roman" w:eastAsia="黑体" w:cs="Times New Roman"/>
          <w:bCs/>
          <w:spacing w:val="-6"/>
          <w:sz w:val="28"/>
          <w:szCs w:val="28"/>
        </w:rPr>
        <w:t>79</w:t>
      </w:r>
      <w:r>
        <w:rPr>
          <w:rFonts w:hint="default" w:ascii="Times New Roman" w:hAnsi="Times New Roman" w:eastAsia="黑体" w:cs="Times New Roman"/>
          <w:bCs/>
          <w:spacing w:val="-6"/>
          <w:sz w:val="28"/>
          <w:szCs w:val="28"/>
        </w:rPr>
        <w:fldChar w:fldCharType="end"/>
      </w:r>
      <w:r>
        <w:rPr>
          <w:rFonts w:hint="default" w:ascii="Times New Roman" w:hAnsi="Times New Roman" w:eastAsia="黑体" w:cs="Times New Roman"/>
          <w:bCs/>
          <w:spacing w:val="-6"/>
          <w:sz w:val="28"/>
          <w:szCs w:val="28"/>
        </w:rPr>
        <w:fldChar w:fldCharType="end"/>
      </w:r>
    </w:p>
    <w:p>
      <w:pPr>
        <w:pStyle w:val="14"/>
        <w:tabs>
          <w:tab w:val="right" w:leader="dot" w:pos="8834"/>
        </w:tabs>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instrText xml:space="preserve">HYPERLINK \l "_Toc62919444"</w:instrText>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fldChar w:fldCharType="separate"/>
      </w:r>
      <w:r>
        <w:rPr>
          <w:rStyle w:val="27"/>
          <w:rFonts w:hint="default" w:ascii="Times New Roman" w:hAnsi="Times New Roman" w:eastAsia="楷体_GB2312" w:cs="Times New Roman"/>
          <w:bCs/>
          <w:sz w:val="28"/>
          <w:szCs w:val="28"/>
        </w:rPr>
        <w:t>第一节 塑造新时代文明新风尚</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_Toc62919444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79</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4"/>
        <w:tabs>
          <w:tab w:val="right" w:leader="dot" w:pos="8834"/>
        </w:tabs>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instrText xml:space="preserve">HYPERLINK \l "_Toc62919445"</w:instrText>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fldChar w:fldCharType="separate"/>
      </w:r>
      <w:r>
        <w:rPr>
          <w:rStyle w:val="27"/>
          <w:rFonts w:hint="default" w:ascii="Times New Roman" w:hAnsi="Times New Roman" w:eastAsia="楷体_GB2312" w:cs="Times New Roman"/>
          <w:bCs/>
          <w:sz w:val="28"/>
          <w:szCs w:val="28"/>
        </w:rPr>
        <w:t>第二节 大力发展文化事业</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_Toc62919445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81</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4"/>
        <w:tabs>
          <w:tab w:val="right" w:leader="dot" w:pos="8834"/>
        </w:tabs>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instrText xml:space="preserve">HYPERLINK \l "_Toc62919446"</w:instrText>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fldChar w:fldCharType="separate"/>
      </w:r>
      <w:r>
        <w:rPr>
          <w:rStyle w:val="27"/>
          <w:rFonts w:hint="default" w:ascii="Times New Roman" w:hAnsi="Times New Roman" w:eastAsia="楷体_GB2312" w:cs="Times New Roman"/>
          <w:bCs/>
          <w:sz w:val="28"/>
          <w:szCs w:val="28"/>
        </w:rPr>
        <w:t>第三节 做大做强文化产业</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_Toc62919446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83</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3"/>
        <w:tabs>
          <w:tab w:val="right" w:leader="dot" w:pos="8834"/>
        </w:tabs>
        <w:rPr>
          <w:rStyle w:val="27"/>
          <w:rFonts w:hint="default" w:ascii="Times New Roman" w:hAnsi="Times New Roman" w:eastAsia="黑体" w:cs="Times New Roman"/>
          <w:bCs/>
          <w:spacing w:val="-6"/>
          <w:sz w:val="28"/>
          <w:szCs w:val="28"/>
        </w:rPr>
      </w:pPr>
      <w:r>
        <w:rPr>
          <w:rFonts w:hint="default" w:ascii="Times New Roman" w:hAnsi="Times New Roman" w:eastAsia="黑体" w:cs="Times New Roman"/>
          <w:bCs/>
          <w:spacing w:val="-6"/>
          <w:sz w:val="28"/>
          <w:szCs w:val="28"/>
        </w:rPr>
        <w:fldChar w:fldCharType="begin"/>
      </w:r>
      <w:r>
        <w:rPr>
          <w:rStyle w:val="27"/>
          <w:rFonts w:hint="default" w:ascii="Times New Roman" w:hAnsi="Times New Roman" w:eastAsia="黑体" w:cs="Times New Roman"/>
          <w:bCs/>
          <w:spacing w:val="-6"/>
          <w:sz w:val="28"/>
          <w:szCs w:val="28"/>
        </w:rPr>
        <w:instrText xml:space="preserve"> HYPERLINK \l "_Toc62919447" </w:instrText>
      </w:r>
      <w:r>
        <w:rPr>
          <w:rFonts w:hint="default" w:ascii="Times New Roman" w:hAnsi="Times New Roman" w:eastAsia="黑体" w:cs="Times New Roman"/>
          <w:bCs/>
          <w:spacing w:val="-6"/>
          <w:sz w:val="28"/>
          <w:szCs w:val="28"/>
        </w:rPr>
        <w:fldChar w:fldCharType="separate"/>
      </w:r>
      <w:r>
        <w:rPr>
          <w:rStyle w:val="27"/>
          <w:rFonts w:hint="default" w:ascii="Times New Roman" w:hAnsi="Times New Roman" w:eastAsia="黑体" w:cs="Times New Roman"/>
          <w:bCs/>
          <w:spacing w:val="-6"/>
          <w:sz w:val="28"/>
          <w:szCs w:val="28"/>
        </w:rPr>
        <w:t>第九章 统筹社会事业发展 开创幸福乳山新局面</w:t>
      </w:r>
      <w:r>
        <w:rPr>
          <w:rStyle w:val="27"/>
          <w:rFonts w:hint="default" w:ascii="Times New Roman" w:hAnsi="Times New Roman" w:eastAsia="黑体" w:cs="Times New Roman"/>
          <w:bCs/>
          <w:spacing w:val="-6"/>
          <w:sz w:val="28"/>
          <w:szCs w:val="28"/>
        </w:rPr>
        <w:tab/>
      </w:r>
      <w:r>
        <w:rPr>
          <w:rFonts w:hint="default" w:ascii="Times New Roman" w:hAnsi="Times New Roman" w:eastAsia="黑体" w:cs="Times New Roman"/>
          <w:bCs/>
          <w:spacing w:val="-6"/>
          <w:sz w:val="28"/>
          <w:szCs w:val="28"/>
        </w:rPr>
        <w:fldChar w:fldCharType="begin"/>
      </w:r>
      <w:r>
        <w:rPr>
          <w:rStyle w:val="27"/>
          <w:rFonts w:hint="default" w:ascii="Times New Roman" w:hAnsi="Times New Roman" w:eastAsia="黑体" w:cs="Times New Roman"/>
          <w:bCs/>
          <w:spacing w:val="-6"/>
          <w:sz w:val="28"/>
          <w:szCs w:val="28"/>
        </w:rPr>
        <w:instrText xml:space="preserve"> PAGEREF _Toc62919447 \h </w:instrText>
      </w:r>
      <w:r>
        <w:rPr>
          <w:rFonts w:hint="default" w:ascii="Times New Roman" w:hAnsi="Times New Roman" w:eastAsia="黑体" w:cs="Times New Roman"/>
          <w:bCs/>
          <w:spacing w:val="-6"/>
          <w:sz w:val="28"/>
          <w:szCs w:val="28"/>
        </w:rPr>
        <w:fldChar w:fldCharType="separate"/>
      </w:r>
      <w:r>
        <w:rPr>
          <w:rStyle w:val="27"/>
          <w:rFonts w:hint="default" w:ascii="Times New Roman" w:hAnsi="Times New Roman" w:eastAsia="黑体" w:cs="Times New Roman"/>
          <w:bCs/>
          <w:spacing w:val="-6"/>
          <w:sz w:val="28"/>
          <w:szCs w:val="28"/>
        </w:rPr>
        <w:t>86</w:t>
      </w:r>
      <w:r>
        <w:rPr>
          <w:rFonts w:hint="default" w:ascii="Times New Roman" w:hAnsi="Times New Roman" w:eastAsia="黑体" w:cs="Times New Roman"/>
          <w:bCs/>
          <w:spacing w:val="-6"/>
          <w:sz w:val="28"/>
          <w:szCs w:val="28"/>
        </w:rPr>
        <w:fldChar w:fldCharType="end"/>
      </w:r>
      <w:r>
        <w:rPr>
          <w:rFonts w:hint="default" w:ascii="Times New Roman" w:hAnsi="Times New Roman" w:eastAsia="黑体" w:cs="Times New Roman"/>
          <w:bCs/>
          <w:spacing w:val="-6"/>
          <w:sz w:val="28"/>
          <w:szCs w:val="28"/>
        </w:rPr>
        <w:fldChar w:fldCharType="end"/>
      </w:r>
    </w:p>
    <w:p>
      <w:pPr>
        <w:pStyle w:val="14"/>
        <w:tabs>
          <w:tab w:val="right" w:leader="dot" w:pos="8834"/>
        </w:tabs>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instrText xml:space="preserve">HYPERLINK \l "_Toc62919448"</w:instrText>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fldChar w:fldCharType="separate"/>
      </w:r>
      <w:r>
        <w:rPr>
          <w:rStyle w:val="27"/>
          <w:rFonts w:hint="default" w:ascii="Times New Roman" w:hAnsi="Times New Roman" w:eastAsia="楷体_GB2312" w:cs="Times New Roman"/>
          <w:bCs/>
          <w:sz w:val="28"/>
          <w:szCs w:val="28"/>
        </w:rPr>
        <w:t>第一节 加快发展优质现代教育</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_Toc62919448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86</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4"/>
        <w:tabs>
          <w:tab w:val="right" w:leader="dot" w:pos="8834"/>
        </w:tabs>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instrText xml:space="preserve">HYPERLINK \l "_Toc62919449"</w:instrText>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fldChar w:fldCharType="separate"/>
      </w:r>
      <w:r>
        <w:rPr>
          <w:rStyle w:val="27"/>
          <w:rFonts w:hint="default" w:ascii="Times New Roman" w:hAnsi="Times New Roman" w:eastAsia="楷体_GB2312" w:cs="Times New Roman"/>
          <w:bCs/>
          <w:sz w:val="28"/>
          <w:szCs w:val="28"/>
        </w:rPr>
        <w:t>第二节 提高就业质量和收入水平</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_Toc62919449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88</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4"/>
        <w:tabs>
          <w:tab w:val="right" w:leader="dot" w:pos="8834"/>
        </w:tabs>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instrText xml:space="preserve">HYPERLINK \l "_Toc62919450"</w:instrText>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fldChar w:fldCharType="separate"/>
      </w:r>
      <w:r>
        <w:rPr>
          <w:rStyle w:val="27"/>
          <w:rFonts w:hint="default" w:ascii="Times New Roman" w:hAnsi="Times New Roman" w:eastAsia="楷体_GB2312" w:cs="Times New Roman"/>
          <w:bCs/>
          <w:sz w:val="28"/>
          <w:szCs w:val="28"/>
        </w:rPr>
        <w:t>第三节 全面推进健康乳山建设</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_Toc62919450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89</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4"/>
        <w:tabs>
          <w:tab w:val="right" w:leader="dot" w:pos="8834"/>
        </w:tabs>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instrText xml:space="preserve">HYPERLINK \l "_Toc62919451"</w:instrText>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fldChar w:fldCharType="separate"/>
      </w:r>
      <w:r>
        <w:rPr>
          <w:rStyle w:val="27"/>
          <w:rFonts w:hint="default" w:ascii="Times New Roman" w:hAnsi="Times New Roman" w:eastAsia="楷体_GB2312" w:cs="Times New Roman"/>
          <w:bCs/>
          <w:sz w:val="28"/>
          <w:szCs w:val="28"/>
        </w:rPr>
        <w:t>第四节 健全完善社会保障体系</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_Toc62919451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91</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4"/>
        <w:tabs>
          <w:tab w:val="right" w:leader="dot" w:pos="8834"/>
        </w:tabs>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instrText xml:space="preserve">HYPERLINK \l "_Toc62919452"</w:instrText>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fldChar w:fldCharType="separate"/>
      </w:r>
      <w:r>
        <w:rPr>
          <w:rStyle w:val="27"/>
          <w:rFonts w:hint="default" w:ascii="Times New Roman" w:hAnsi="Times New Roman" w:eastAsia="楷体_GB2312" w:cs="Times New Roman"/>
          <w:bCs/>
          <w:sz w:val="28"/>
          <w:szCs w:val="28"/>
        </w:rPr>
        <w:t>第五节 统筹推进其他社会事业</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_Toc62919452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93</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3"/>
        <w:tabs>
          <w:tab w:val="right" w:leader="dot" w:pos="8834"/>
        </w:tabs>
        <w:rPr>
          <w:rStyle w:val="27"/>
          <w:rFonts w:hint="default" w:ascii="Times New Roman" w:hAnsi="Times New Roman" w:eastAsia="黑体" w:cs="Times New Roman"/>
          <w:bCs/>
          <w:spacing w:val="-6"/>
          <w:sz w:val="28"/>
          <w:szCs w:val="28"/>
        </w:rPr>
      </w:pPr>
      <w:r>
        <w:rPr>
          <w:rFonts w:hint="default" w:ascii="Times New Roman" w:hAnsi="Times New Roman" w:eastAsia="黑体" w:cs="Times New Roman"/>
          <w:bCs/>
          <w:spacing w:val="-6"/>
          <w:sz w:val="28"/>
          <w:szCs w:val="28"/>
        </w:rPr>
        <w:fldChar w:fldCharType="begin"/>
      </w:r>
      <w:r>
        <w:rPr>
          <w:rStyle w:val="27"/>
          <w:rFonts w:hint="default" w:ascii="Times New Roman" w:hAnsi="Times New Roman" w:eastAsia="黑体" w:cs="Times New Roman"/>
          <w:bCs/>
          <w:spacing w:val="-6"/>
          <w:sz w:val="28"/>
          <w:szCs w:val="28"/>
        </w:rPr>
        <w:instrText xml:space="preserve"> HYPERLINK \l "_Toc62919453" </w:instrText>
      </w:r>
      <w:r>
        <w:rPr>
          <w:rFonts w:hint="default" w:ascii="Times New Roman" w:hAnsi="Times New Roman" w:eastAsia="黑体" w:cs="Times New Roman"/>
          <w:bCs/>
          <w:spacing w:val="-6"/>
          <w:sz w:val="28"/>
          <w:szCs w:val="28"/>
        </w:rPr>
        <w:fldChar w:fldCharType="separate"/>
      </w:r>
      <w:r>
        <w:rPr>
          <w:rStyle w:val="27"/>
          <w:rFonts w:hint="default" w:ascii="Times New Roman" w:hAnsi="Times New Roman" w:eastAsia="黑体" w:cs="Times New Roman"/>
          <w:bCs/>
          <w:spacing w:val="-6"/>
          <w:sz w:val="28"/>
          <w:szCs w:val="28"/>
        </w:rPr>
        <w:t>第十章 统筹发展和安全 推进治理能力现代化</w:t>
      </w:r>
      <w:r>
        <w:rPr>
          <w:rStyle w:val="27"/>
          <w:rFonts w:hint="default" w:ascii="Times New Roman" w:hAnsi="Times New Roman" w:eastAsia="黑体" w:cs="Times New Roman"/>
          <w:bCs/>
          <w:spacing w:val="-6"/>
          <w:sz w:val="28"/>
          <w:szCs w:val="28"/>
        </w:rPr>
        <w:tab/>
      </w:r>
      <w:r>
        <w:rPr>
          <w:rFonts w:hint="default" w:ascii="Times New Roman" w:hAnsi="Times New Roman" w:eastAsia="黑体" w:cs="Times New Roman"/>
          <w:bCs/>
          <w:spacing w:val="-6"/>
          <w:sz w:val="28"/>
          <w:szCs w:val="28"/>
        </w:rPr>
        <w:fldChar w:fldCharType="begin"/>
      </w:r>
      <w:r>
        <w:rPr>
          <w:rStyle w:val="27"/>
          <w:rFonts w:hint="default" w:ascii="Times New Roman" w:hAnsi="Times New Roman" w:eastAsia="黑体" w:cs="Times New Roman"/>
          <w:bCs/>
          <w:spacing w:val="-6"/>
          <w:sz w:val="28"/>
          <w:szCs w:val="28"/>
        </w:rPr>
        <w:instrText xml:space="preserve"> PAGEREF _Toc62919453 \h </w:instrText>
      </w:r>
      <w:r>
        <w:rPr>
          <w:rFonts w:hint="default" w:ascii="Times New Roman" w:hAnsi="Times New Roman" w:eastAsia="黑体" w:cs="Times New Roman"/>
          <w:bCs/>
          <w:spacing w:val="-6"/>
          <w:sz w:val="28"/>
          <w:szCs w:val="28"/>
        </w:rPr>
        <w:fldChar w:fldCharType="separate"/>
      </w:r>
      <w:r>
        <w:rPr>
          <w:rStyle w:val="27"/>
          <w:rFonts w:hint="default" w:ascii="Times New Roman" w:hAnsi="Times New Roman" w:eastAsia="黑体" w:cs="Times New Roman"/>
          <w:bCs/>
          <w:spacing w:val="-6"/>
          <w:sz w:val="28"/>
          <w:szCs w:val="28"/>
        </w:rPr>
        <w:t>94</w:t>
      </w:r>
      <w:r>
        <w:rPr>
          <w:rFonts w:hint="default" w:ascii="Times New Roman" w:hAnsi="Times New Roman" w:eastAsia="黑体" w:cs="Times New Roman"/>
          <w:bCs/>
          <w:spacing w:val="-6"/>
          <w:sz w:val="28"/>
          <w:szCs w:val="28"/>
        </w:rPr>
        <w:fldChar w:fldCharType="end"/>
      </w:r>
      <w:r>
        <w:rPr>
          <w:rFonts w:hint="default" w:ascii="Times New Roman" w:hAnsi="Times New Roman" w:eastAsia="黑体" w:cs="Times New Roman"/>
          <w:bCs/>
          <w:spacing w:val="-6"/>
          <w:sz w:val="28"/>
          <w:szCs w:val="28"/>
        </w:rPr>
        <w:fldChar w:fldCharType="end"/>
      </w:r>
    </w:p>
    <w:p>
      <w:pPr>
        <w:pStyle w:val="14"/>
        <w:tabs>
          <w:tab w:val="right" w:leader="dot" w:pos="8834"/>
        </w:tabs>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instrText xml:space="preserve">HYPERLINK \l "_Toc62919454"</w:instrText>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fldChar w:fldCharType="separate"/>
      </w:r>
      <w:r>
        <w:rPr>
          <w:rStyle w:val="27"/>
          <w:rFonts w:hint="default" w:ascii="Times New Roman" w:hAnsi="Times New Roman" w:eastAsia="楷体_GB2312" w:cs="Times New Roman"/>
          <w:bCs/>
          <w:sz w:val="28"/>
          <w:szCs w:val="28"/>
        </w:rPr>
        <w:t>第一节 防范化解重点领域风险</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_Toc62919454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94</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4"/>
        <w:tabs>
          <w:tab w:val="right" w:leader="dot" w:pos="8834"/>
        </w:tabs>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instrText xml:space="preserve">HYPERLINK \l "_Toc62919455"</w:instrText>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fldChar w:fldCharType="separate"/>
      </w:r>
      <w:r>
        <w:rPr>
          <w:rStyle w:val="27"/>
          <w:rFonts w:hint="default" w:ascii="Times New Roman" w:hAnsi="Times New Roman" w:eastAsia="楷体_GB2312" w:cs="Times New Roman"/>
          <w:bCs/>
          <w:sz w:val="28"/>
          <w:szCs w:val="28"/>
        </w:rPr>
        <w:t>第二节 扎实推进平安乳山建设</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_Toc62919455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95</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4"/>
        <w:tabs>
          <w:tab w:val="right" w:leader="dot" w:pos="8834"/>
        </w:tabs>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instrText xml:space="preserve">HYPERLINK \l "_Toc62919456"</w:instrText>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fldChar w:fldCharType="separate"/>
      </w:r>
      <w:r>
        <w:rPr>
          <w:rStyle w:val="27"/>
          <w:rFonts w:hint="default" w:ascii="Times New Roman" w:hAnsi="Times New Roman" w:eastAsia="楷体_GB2312" w:cs="Times New Roman"/>
          <w:sz w:val="28"/>
          <w:szCs w:val="28"/>
        </w:rPr>
        <w:t>第三节 加快推进社会信用体系建设</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_Toc62919456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97</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4"/>
        <w:tabs>
          <w:tab w:val="right" w:leader="dot" w:pos="8834"/>
        </w:tabs>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instrText xml:space="preserve">HYPERLINK \l "_Toc62919457"</w:instrText>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fldChar w:fldCharType="separate"/>
      </w:r>
      <w:r>
        <w:rPr>
          <w:rStyle w:val="27"/>
          <w:rFonts w:hint="default" w:ascii="Times New Roman" w:hAnsi="Times New Roman" w:eastAsia="楷体_GB2312" w:cs="Times New Roman"/>
          <w:bCs/>
          <w:sz w:val="28"/>
          <w:szCs w:val="28"/>
        </w:rPr>
        <w:t>第四节 完善创新社会治理模式</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_Toc62919457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98</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3"/>
        <w:tabs>
          <w:tab w:val="right" w:leader="dot" w:pos="8834"/>
        </w:tabs>
        <w:rPr>
          <w:rStyle w:val="27"/>
          <w:rFonts w:hint="default" w:ascii="Times New Roman" w:hAnsi="Times New Roman" w:eastAsia="黑体" w:cs="Times New Roman"/>
          <w:bCs/>
          <w:spacing w:val="-6"/>
          <w:sz w:val="28"/>
          <w:szCs w:val="28"/>
        </w:rPr>
      </w:pPr>
      <w:r>
        <w:rPr>
          <w:rFonts w:hint="default" w:ascii="Times New Roman" w:hAnsi="Times New Roman" w:eastAsia="黑体" w:cs="Times New Roman"/>
          <w:bCs/>
          <w:spacing w:val="-6"/>
          <w:sz w:val="28"/>
          <w:szCs w:val="28"/>
        </w:rPr>
        <w:fldChar w:fldCharType="begin"/>
      </w:r>
      <w:r>
        <w:rPr>
          <w:rStyle w:val="27"/>
          <w:rFonts w:hint="default" w:ascii="Times New Roman" w:hAnsi="Times New Roman" w:eastAsia="黑体" w:cs="Times New Roman"/>
          <w:bCs/>
          <w:spacing w:val="-6"/>
          <w:sz w:val="28"/>
          <w:szCs w:val="28"/>
        </w:rPr>
        <w:instrText xml:space="preserve"> HYPERLINK \l "_Toc62919458" </w:instrText>
      </w:r>
      <w:r>
        <w:rPr>
          <w:rFonts w:hint="default" w:ascii="Times New Roman" w:hAnsi="Times New Roman" w:eastAsia="黑体" w:cs="Times New Roman"/>
          <w:bCs/>
          <w:spacing w:val="-6"/>
          <w:sz w:val="28"/>
          <w:szCs w:val="28"/>
        </w:rPr>
        <w:fldChar w:fldCharType="separate"/>
      </w:r>
      <w:r>
        <w:rPr>
          <w:rStyle w:val="27"/>
          <w:rFonts w:hint="default" w:ascii="Times New Roman" w:hAnsi="Times New Roman" w:eastAsia="黑体" w:cs="Times New Roman"/>
          <w:bCs/>
          <w:spacing w:val="-6"/>
          <w:sz w:val="28"/>
          <w:szCs w:val="28"/>
        </w:rPr>
        <w:t>第十一章 强化规划实施保障 增强规划落地支撑</w:t>
      </w:r>
      <w:r>
        <w:rPr>
          <w:rStyle w:val="27"/>
          <w:rFonts w:hint="default" w:ascii="Times New Roman" w:hAnsi="Times New Roman" w:eastAsia="黑体" w:cs="Times New Roman"/>
          <w:bCs/>
          <w:spacing w:val="-6"/>
          <w:sz w:val="28"/>
          <w:szCs w:val="28"/>
        </w:rPr>
        <w:tab/>
      </w:r>
      <w:r>
        <w:rPr>
          <w:rFonts w:hint="default" w:ascii="Times New Roman" w:hAnsi="Times New Roman" w:eastAsia="黑体" w:cs="Times New Roman"/>
          <w:bCs/>
          <w:spacing w:val="-6"/>
          <w:sz w:val="28"/>
          <w:szCs w:val="28"/>
        </w:rPr>
        <w:fldChar w:fldCharType="begin"/>
      </w:r>
      <w:r>
        <w:rPr>
          <w:rStyle w:val="27"/>
          <w:rFonts w:hint="default" w:ascii="Times New Roman" w:hAnsi="Times New Roman" w:eastAsia="黑体" w:cs="Times New Roman"/>
          <w:bCs/>
          <w:spacing w:val="-6"/>
          <w:sz w:val="28"/>
          <w:szCs w:val="28"/>
        </w:rPr>
        <w:instrText xml:space="preserve"> PAGEREF _Toc62919458 \h </w:instrText>
      </w:r>
      <w:r>
        <w:rPr>
          <w:rFonts w:hint="default" w:ascii="Times New Roman" w:hAnsi="Times New Roman" w:eastAsia="黑体" w:cs="Times New Roman"/>
          <w:bCs/>
          <w:spacing w:val="-6"/>
          <w:sz w:val="28"/>
          <w:szCs w:val="28"/>
        </w:rPr>
        <w:fldChar w:fldCharType="separate"/>
      </w:r>
      <w:r>
        <w:rPr>
          <w:rStyle w:val="27"/>
          <w:rFonts w:hint="default" w:ascii="Times New Roman" w:hAnsi="Times New Roman" w:eastAsia="黑体" w:cs="Times New Roman"/>
          <w:bCs/>
          <w:spacing w:val="-6"/>
          <w:sz w:val="28"/>
          <w:szCs w:val="28"/>
        </w:rPr>
        <w:t>101</w:t>
      </w:r>
      <w:r>
        <w:rPr>
          <w:rFonts w:hint="default" w:ascii="Times New Roman" w:hAnsi="Times New Roman" w:eastAsia="黑体" w:cs="Times New Roman"/>
          <w:bCs/>
          <w:spacing w:val="-6"/>
          <w:sz w:val="28"/>
          <w:szCs w:val="28"/>
        </w:rPr>
        <w:fldChar w:fldCharType="end"/>
      </w:r>
      <w:r>
        <w:rPr>
          <w:rFonts w:hint="default" w:ascii="Times New Roman" w:hAnsi="Times New Roman" w:eastAsia="黑体" w:cs="Times New Roman"/>
          <w:bCs/>
          <w:spacing w:val="-6"/>
          <w:sz w:val="28"/>
          <w:szCs w:val="28"/>
        </w:rPr>
        <w:fldChar w:fldCharType="end"/>
      </w:r>
    </w:p>
    <w:p>
      <w:pPr>
        <w:pStyle w:val="14"/>
        <w:tabs>
          <w:tab w:val="right" w:leader="dot" w:pos="8834"/>
        </w:tabs>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instrText xml:space="preserve">HYPERLINK \l "_Toc62919459"</w:instrText>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fldChar w:fldCharType="separate"/>
      </w:r>
      <w:r>
        <w:rPr>
          <w:rStyle w:val="27"/>
          <w:rFonts w:hint="default" w:ascii="Times New Roman" w:hAnsi="Times New Roman" w:eastAsia="楷体_GB2312" w:cs="Times New Roman"/>
          <w:sz w:val="28"/>
          <w:szCs w:val="28"/>
        </w:rPr>
        <w:t>第一节 发挥党的领导核心作用</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_Toc62919459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101</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4"/>
        <w:tabs>
          <w:tab w:val="right" w:leader="dot" w:pos="8834"/>
        </w:tabs>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instrText xml:space="preserve">HYPERLINK \l "_Toc62919460"</w:instrText>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fldChar w:fldCharType="separate"/>
      </w:r>
      <w:r>
        <w:rPr>
          <w:rStyle w:val="27"/>
          <w:rFonts w:hint="default" w:ascii="Times New Roman" w:hAnsi="Times New Roman" w:eastAsia="楷体_GB2312" w:cs="Times New Roman"/>
          <w:sz w:val="28"/>
          <w:szCs w:val="28"/>
        </w:rPr>
        <w:t>第二节 建立规划实施保障机制</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_Toc62919460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102</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4"/>
        <w:tabs>
          <w:tab w:val="right" w:leader="dot" w:pos="8834"/>
        </w:tabs>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fldChar w:fldCharType="begin"/>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instrText xml:space="preserve">HYPERLINK \l "_Toc62919461"</w:instrText>
      </w:r>
      <w:r>
        <w:rPr>
          <w:rStyle w:val="27"/>
          <w:rFonts w:hint="default" w:ascii="Times New Roman" w:hAnsi="Times New Roman" w:eastAsia="楷体_GB2312" w:cs="Times New Roman"/>
          <w:sz w:val="28"/>
          <w:szCs w:val="28"/>
        </w:rPr>
        <w:instrText xml:space="preserve"> </w:instrText>
      </w:r>
      <w:r>
        <w:rPr>
          <w:rFonts w:hint="default" w:ascii="Times New Roman" w:hAnsi="Times New Roman" w:eastAsia="楷体_GB2312" w:cs="Times New Roman"/>
          <w:sz w:val="28"/>
          <w:szCs w:val="28"/>
        </w:rPr>
        <w:fldChar w:fldCharType="separate"/>
      </w:r>
      <w:r>
        <w:rPr>
          <w:rStyle w:val="27"/>
          <w:rFonts w:hint="default" w:ascii="Times New Roman" w:hAnsi="Times New Roman" w:eastAsia="楷体_GB2312" w:cs="Times New Roman"/>
          <w:sz w:val="28"/>
          <w:szCs w:val="28"/>
        </w:rPr>
        <w:t>第三节 强化规划实施监督评估</w:t>
      </w:r>
      <w:r>
        <w:rPr>
          <w:rFonts w:hint="default" w:ascii="Times New Roman" w:hAnsi="Times New Roman" w:eastAsia="楷体_GB2312" w:cs="Times New Roman"/>
          <w:sz w:val="28"/>
          <w:szCs w:val="28"/>
        </w:rPr>
        <w:tab/>
      </w:r>
      <w:r>
        <w:rPr>
          <w:rFonts w:hint="default" w:ascii="Times New Roman" w:hAnsi="Times New Roman" w:eastAsia="楷体_GB2312" w:cs="Times New Roman"/>
          <w:sz w:val="28"/>
          <w:szCs w:val="28"/>
        </w:rPr>
        <w:fldChar w:fldCharType="begin"/>
      </w:r>
      <w:r>
        <w:rPr>
          <w:rFonts w:hint="default" w:ascii="Times New Roman" w:hAnsi="Times New Roman" w:eastAsia="楷体_GB2312" w:cs="Times New Roman"/>
          <w:sz w:val="28"/>
          <w:szCs w:val="28"/>
        </w:rPr>
        <w:instrText xml:space="preserve"> PAGEREF _Toc62919461 \h </w:instrText>
      </w:r>
      <w:r>
        <w:rPr>
          <w:rFonts w:hint="default" w:ascii="Times New Roman" w:hAnsi="Times New Roman" w:eastAsia="楷体_GB2312" w:cs="Times New Roman"/>
          <w:sz w:val="28"/>
          <w:szCs w:val="28"/>
        </w:rPr>
        <w:fldChar w:fldCharType="separate"/>
      </w:r>
      <w:r>
        <w:rPr>
          <w:rFonts w:hint="default" w:ascii="Times New Roman" w:hAnsi="Times New Roman" w:eastAsia="楷体_GB2312" w:cs="Times New Roman"/>
          <w:sz w:val="28"/>
          <w:szCs w:val="28"/>
        </w:rPr>
        <w:t>103</w:t>
      </w:r>
      <w:r>
        <w:rPr>
          <w:rFonts w:hint="default" w:ascii="Times New Roman" w:hAnsi="Times New Roman" w:eastAsia="楷体_GB2312" w:cs="Times New Roman"/>
          <w:sz w:val="28"/>
          <w:szCs w:val="28"/>
        </w:rPr>
        <w:fldChar w:fldCharType="end"/>
      </w:r>
      <w:r>
        <w:rPr>
          <w:rFonts w:hint="default" w:ascii="Times New Roman" w:hAnsi="Times New Roman" w:eastAsia="楷体_GB2312" w:cs="Times New Roman"/>
          <w:sz w:val="28"/>
          <w:szCs w:val="28"/>
        </w:rPr>
        <w:fldChar w:fldCharType="end"/>
      </w:r>
    </w:p>
    <w:p>
      <w:pPr>
        <w:pStyle w:val="14"/>
        <w:tabs>
          <w:tab w:val="right" w:leader="dot" w:pos="8296"/>
        </w:tabs>
        <w:spacing w:line="600" w:lineRule="exact"/>
        <w:rPr>
          <w:rFonts w:hint="default" w:ascii="Times New Roman" w:hAnsi="Times New Roman" w:eastAsia="仿宋_GB2312" w:cs="Times New Roman"/>
          <w:color w:val="000000"/>
          <w:kern w:val="36"/>
          <w:sz w:val="32"/>
          <w:szCs w:val="32"/>
        </w:rPr>
        <w:sectPr>
          <w:footerReference r:id="rId5" w:type="default"/>
          <w:pgSz w:w="11906" w:h="16838"/>
          <w:pgMar w:top="2098" w:right="1531" w:bottom="1984" w:left="1531" w:header="851" w:footer="1531" w:gutter="0"/>
          <w:pgNumType w:fmt="decimal" w:start="4"/>
          <w:cols w:space="720" w:num="1"/>
          <w:docGrid w:type="lines" w:linePitch="312" w:charSpace="0"/>
        </w:sectPr>
      </w:pPr>
      <w:r>
        <w:rPr>
          <w:rFonts w:hint="default" w:ascii="Times New Roman" w:hAnsi="Times New Roman" w:eastAsia="楷体_GB2312" w:cs="Times New Roman"/>
          <w:color w:val="000000"/>
          <w:kern w:val="36"/>
          <w:sz w:val="28"/>
          <w:szCs w:val="28"/>
        </w:rPr>
        <w:fldChar w:fldCharType="end"/>
      </w:r>
    </w:p>
    <w:p>
      <w:pPr>
        <w:spacing w:line="560" w:lineRule="exact"/>
        <w:ind w:firstLine="640" w:firstLineChars="200"/>
        <w:rPr>
          <w:rFonts w:hint="default" w:ascii="Times New Roman" w:hAnsi="Times New Roman" w:eastAsia="仿宋_GB2312" w:cs="Times New Roman"/>
          <w:color w:val="000000"/>
          <w:kern w:val="36"/>
          <w:sz w:val="32"/>
          <w:szCs w:val="32"/>
        </w:rPr>
      </w:pPr>
      <w:r>
        <w:rPr>
          <w:rFonts w:hint="default" w:ascii="Times New Roman" w:hAnsi="Times New Roman" w:eastAsia="仿宋_GB2312" w:cs="Times New Roman"/>
          <w:color w:val="000000"/>
          <w:kern w:val="36"/>
          <w:sz w:val="32"/>
          <w:szCs w:val="32"/>
        </w:rPr>
        <w:t>“十四五”时期是我国全面建成小康社会、实现第一个百年奋斗目标之后，乘势而上开启全面建设社会主义现代化国家新征程、向第二个百年奋斗目标进军的第一个五年。科学谋划和推进“十四五”时期的发展，对于我市妥善应对国内外发展环境变化，有效化解发展面临的风险挑战、增强发展的活力和竞争力、巩固提升全面建成小康社会成果、加快新时代现代化强市建设，具有重大而深远的意义。乳山市国民经济和社会发展第十四个五年规划和二</w:t>
      </w:r>
      <w:r>
        <w:rPr>
          <w:rFonts w:hint="default" w:ascii="Times New Roman" w:hAnsi="Times New Roman" w:eastAsia="微软雅黑" w:cs="Times New Roman"/>
          <w:color w:val="000000"/>
          <w:kern w:val="36"/>
          <w:sz w:val="32"/>
          <w:szCs w:val="32"/>
        </w:rPr>
        <w:t>〇</w:t>
      </w:r>
      <w:r>
        <w:rPr>
          <w:rFonts w:hint="default" w:ascii="Times New Roman" w:hAnsi="Times New Roman" w:eastAsia="仿宋_GB2312" w:cs="Times New Roman"/>
          <w:color w:val="000000"/>
          <w:kern w:val="36"/>
          <w:sz w:val="32"/>
          <w:szCs w:val="32"/>
        </w:rPr>
        <w:t>三五年远景目标纲要，以习近平新时代中国特色社会主义思想为指导，贯彻十九届五中全会部署，按照《中共中央关于制定国民经济和社会发展第十四个五年规划和二</w:t>
      </w:r>
      <w:r>
        <w:rPr>
          <w:rFonts w:hint="default" w:ascii="Times New Roman" w:hAnsi="Times New Roman" w:eastAsia="微软雅黑" w:cs="Times New Roman"/>
          <w:color w:val="000000"/>
          <w:kern w:val="36"/>
          <w:sz w:val="32"/>
          <w:szCs w:val="32"/>
        </w:rPr>
        <w:t>〇</w:t>
      </w:r>
      <w:r>
        <w:rPr>
          <w:rFonts w:hint="default" w:ascii="Times New Roman" w:hAnsi="Times New Roman" w:eastAsia="仿宋_GB2312" w:cs="Times New Roman"/>
          <w:color w:val="000000"/>
          <w:kern w:val="36"/>
          <w:sz w:val="32"/>
          <w:szCs w:val="32"/>
        </w:rPr>
        <w:t>三五年远景目标的建议》确定的方针政策，根据山东省委省政府以及威海市委市政府相关要求编制。本规划纲要主要阐明乳山未来五年经济社会发展目标、主要任务和重大举措，是全面依法履行政府职责、引导市场主体行为、制订实施各类规划和相关政策的重要依据，是全市人民共同的行动纲领。</w:t>
      </w:r>
    </w:p>
    <w:p>
      <w:pPr>
        <w:spacing w:before="156" w:beforeLines="50" w:after="156" w:afterLines="50" w:line="560" w:lineRule="exact"/>
        <w:jc w:val="center"/>
        <w:outlineLvl w:val="0"/>
        <w:rPr>
          <w:rFonts w:hint="default" w:ascii="Times New Roman" w:hAnsi="Times New Roman" w:eastAsia="黑体" w:cs="Times New Roman"/>
          <w:bCs/>
          <w:color w:val="000000"/>
          <w:spacing w:val="-6"/>
          <w:sz w:val="34"/>
          <w:szCs w:val="34"/>
        </w:rPr>
      </w:pPr>
      <w:bookmarkStart w:id="1" w:name="_Toc54561596"/>
      <w:r>
        <w:rPr>
          <w:rFonts w:hint="default" w:ascii="Times New Roman" w:hAnsi="Times New Roman" w:eastAsia="仿宋_GB2312" w:cs="Times New Roman"/>
          <w:color w:val="000000"/>
          <w:kern w:val="36"/>
          <w:sz w:val="32"/>
          <w:szCs w:val="32"/>
        </w:rPr>
        <w:br w:type="page"/>
      </w:r>
      <w:bookmarkStart w:id="2" w:name="_Toc62919407"/>
      <w:r>
        <w:rPr>
          <w:rFonts w:hint="default" w:ascii="Times New Roman" w:hAnsi="Times New Roman" w:eastAsia="黑体" w:cs="Times New Roman"/>
          <w:bCs/>
          <w:color w:val="000000"/>
          <w:spacing w:val="-6"/>
          <w:sz w:val="34"/>
          <w:szCs w:val="34"/>
        </w:rPr>
        <w:t>第一章 开启社会主义现代化新征程 全面建设新时代美好乳山</w:t>
      </w:r>
      <w:bookmarkEnd w:id="1"/>
      <w:bookmarkEnd w:id="2"/>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十四五”时期，是我市实现高质量发展的关键时期，必须准确认识国内外环境深刻变化，辩证看待新发展阶段的新机遇新挑战，切实增强机遇意识、风险意识、争先意识，勇于开顶风船，善于转危为机，努力实现更高质量、更有效率、更加公平、更可持续、更为安全的发展，开启社会主义现代化建设新征程，全面建设新时代美好乳山。</w:t>
      </w:r>
    </w:p>
    <w:p>
      <w:pPr>
        <w:pStyle w:val="3"/>
        <w:spacing w:before="156" w:beforeLines="50" w:after="156" w:afterLines="50" w:line="560" w:lineRule="exact"/>
        <w:ind w:firstLine="0" w:firstLineChars="0"/>
        <w:jc w:val="center"/>
        <w:rPr>
          <w:rFonts w:hint="default" w:ascii="Times New Roman" w:hAnsi="Times New Roman" w:eastAsia="黑体" w:cs="Times New Roman"/>
          <w:b w:val="0"/>
          <w:bCs/>
          <w:color w:val="000000"/>
        </w:rPr>
      </w:pPr>
      <w:bookmarkStart w:id="3" w:name="_Toc54561597"/>
      <w:bookmarkStart w:id="4" w:name="_Toc62919408"/>
      <w:r>
        <w:rPr>
          <w:rFonts w:hint="default" w:ascii="Times New Roman" w:hAnsi="Times New Roman" w:eastAsia="黑体" w:cs="Times New Roman"/>
          <w:b w:val="0"/>
          <w:bCs/>
          <w:color w:val="000000"/>
        </w:rPr>
        <w:t>第一节</w:t>
      </w:r>
      <w:r>
        <w:rPr>
          <w:rFonts w:hint="default" w:ascii="Times New Roman" w:hAnsi="Times New Roman" w:eastAsia="黑体" w:cs="Times New Roman"/>
          <w:b w:val="0"/>
          <w:bCs/>
          <w:color w:val="auto"/>
        </w:rPr>
        <w:t xml:space="preserve"> </w:t>
      </w:r>
      <w:bookmarkEnd w:id="3"/>
      <w:r>
        <w:rPr>
          <w:rFonts w:hint="default" w:ascii="Times New Roman" w:hAnsi="Times New Roman" w:eastAsia="黑体" w:cs="Times New Roman"/>
          <w:b w:val="0"/>
          <w:bCs/>
          <w:color w:val="auto"/>
        </w:rPr>
        <w:t>全面建成小康社会取得决定性成就</w:t>
      </w:r>
      <w:bookmarkEnd w:id="4"/>
    </w:p>
    <w:p>
      <w:pPr>
        <w:spacing w:line="560" w:lineRule="exact"/>
        <w:ind w:firstLine="640" w:firstLineChars="200"/>
        <w:rPr>
          <w:rFonts w:hint="default" w:ascii="Times New Roman" w:hAnsi="Times New Roman" w:eastAsia="仿宋_GB2312" w:cs="Times New Roman"/>
          <w:color w:val="000000"/>
          <w:kern w:val="36"/>
          <w:sz w:val="32"/>
          <w:szCs w:val="32"/>
        </w:rPr>
      </w:pPr>
      <w:r>
        <w:rPr>
          <w:rFonts w:hint="default" w:ascii="Times New Roman" w:hAnsi="Times New Roman" w:eastAsia="仿宋_GB2312" w:cs="Times New Roman"/>
          <w:color w:val="000000"/>
          <w:kern w:val="36"/>
          <w:sz w:val="32"/>
          <w:szCs w:val="32"/>
        </w:rPr>
        <w:t>“十三五”时期，面对复杂多变的外部环境和经济下行压力，市委、市政府始终坚持“党建是重要引领，发展是第一要务，稳定压倒一切”的理念，团结带领全市人民，科学施策，精准发力，攻坚克难，开拓进取，统筹稳增长、促改革、调结构、惠民生，全市经济社会发展取得突出成就，为“十四五”乃至更长时期发展奠定了坚实基础。</w:t>
      </w:r>
    </w:p>
    <w:p>
      <w:pPr>
        <w:pStyle w:val="48"/>
        <w:spacing w:line="560" w:lineRule="exact"/>
        <w:ind w:firstLine="640" w:firstLineChars="200"/>
        <w:jc w:val="both"/>
        <w:rPr>
          <w:rFonts w:hint="default" w:ascii="Times New Roman" w:hAnsi="Times New Roman" w:eastAsia="仿宋_GB2312" w:cs="Times New Roman"/>
          <w:kern w:val="36"/>
          <w:sz w:val="32"/>
          <w:szCs w:val="32"/>
        </w:rPr>
      </w:pPr>
      <w:r>
        <w:rPr>
          <w:rFonts w:hint="default" w:ascii="Times New Roman" w:hAnsi="Times New Roman" w:eastAsia="楷体_GB2312" w:cs="Times New Roman"/>
          <w:bCs/>
          <w:kern w:val="36"/>
          <w:sz w:val="32"/>
          <w:szCs w:val="32"/>
        </w:rPr>
        <w:t>——综合经济实力显著增强。</w:t>
      </w:r>
      <w:r>
        <w:rPr>
          <w:rFonts w:hint="default" w:ascii="Times New Roman" w:hAnsi="Times New Roman" w:eastAsia="仿宋_GB2312" w:cs="Times New Roman"/>
          <w:kern w:val="36"/>
          <w:sz w:val="32"/>
          <w:szCs w:val="32"/>
        </w:rPr>
        <w:t>始终把加快发展作为第一要务，经济增长的质量和效益显著提升。2020年底，全市生产总值达到280.4亿元，年均增长4.1%；一般公共预算收入27.9亿元，税收占比达到62.5%；规上工业增加值年均增长5.5%；社会消费品零售总额年均增长7.7%；实际</w:t>
      </w:r>
      <w:r>
        <w:rPr>
          <w:rFonts w:hint="default" w:ascii="Times New Roman" w:hAnsi="Times New Roman" w:eastAsia="仿宋_GB2312" w:cs="Times New Roman"/>
          <w:kern w:val="36"/>
          <w:sz w:val="32"/>
          <w:szCs w:val="32"/>
          <w:lang w:eastAsia="zh-CN"/>
        </w:rPr>
        <w:t>到账</w:t>
      </w:r>
      <w:r>
        <w:rPr>
          <w:rFonts w:hint="default" w:ascii="Times New Roman" w:hAnsi="Times New Roman" w:eastAsia="仿宋_GB2312" w:cs="Times New Roman"/>
          <w:kern w:val="36"/>
          <w:sz w:val="32"/>
          <w:szCs w:val="32"/>
        </w:rPr>
        <w:t>外资2892万美元，五年累计</w:t>
      </w:r>
      <w:r>
        <w:rPr>
          <w:rFonts w:hint="default" w:ascii="Times New Roman" w:hAnsi="Times New Roman" w:eastAsia="仿宋_GB2312" w:cs="Times New Roman"/>
          <w:kern w:val="36"/>
          <w:sz w:val="32"/>
          <w:szCs w:val="32"/>
          <w:lang w:eastAsia="zh-CN"/>
        </w:rPr>
        <w:t>到账</w:t>
      </w:r>
      <w:r>
        <w:rPr>
          <w:rFonts w:hint="default" w:ascii="Times New Roman" w:hAnsi="Times New Roman" w:eastAsia="仿宋_GB2312" w:cs="Times New Roman"/>
          <w:kern w:val="36"/>
          <w:sz w:val="32"/>
          <w:szCs w:val="32"/>
        </w:rPr>
        <w:t>外资近3亿美元；完成外贸进出口63.4亿元，五年累计完成300余亿元。总的来看，主要经济指标发展的平衡性、包容性进一步增强，全市经济保持了稳中向好、长期向好的基本趋势。</w:t>
      </w:r>
    </w:p>
    <w:p>
      <w:pPr>
        <w:spacing w:line="560" w:lineRule="exact"/>
        <w:ind w:firstLine="640" w:firstLineChars="200"/>
        <w:rPr>
          <w:rFonts w:hint="default" w:ascii="Times New Roman" w:hAnsi="Times New Roman" w:eastAsia="仿宋_GB2312" w:cs="Times New Roman"/>
          <w:color w:val="000000"/>
          <w:kern w:val="36"/>
          <w:sz w:val="32"/>
          <w:szCs w:val="32"/>
        </w:rPr>
      </w:pPr>
      <w:r>
        <w:rPr>
          <w:rFonts w:hint="default" w:ascii="Times New Roman" w:hAnsi="Times New Roman" w:eastAsia="楷体_GB2312" w:cs="Times New Roman"/>
          <w:bCs/>
          <w:color w:val="000000"/>
          <w:kern w:val="36"/>
          <w:sz w:val="32"/>
          <w:szCs w:val="32"/>
        </w:rPr>
        <w:t>——新旧动能转换成效明显。</w:t>
      </w:r>
      <w:r>
        <w:rPr>
          <w:rFonts w:hint="default" w:ascii="Times New Roman" w:hAnsi="Times New Roman" w:eastAsia="仿宋_GB2312" w:cs="Times New Roman"/>
          <w:color w:val="000000"/>
          <w:kern w:val="36"/>
          <w:sz w:val="32"/>
          <w:szCs w:val="32"/>
        </w:rPr>
        <w:t>不断深化“产业强市、工业带动、突破发展服务业”战略，实施新旧动能转换重大工程，开展三年产业结构突破和威海市域资源助力乳山行动，“3+3+N”现代产业体系逐步成型。服务业占GDP的比重达到47.6%</w:t>
      </w:r>
      <w:r>
        <w:rPr>
          <w:rFonts w:hint="default" w:ascii="Times New Roman" w:hAnsi="Times New Roman" w:eastAsia="仿宋_GB2312" w:cs="Times New Roman"/>
          <w:color w:val="000000"/>
          <w:kern w:val="36"/>
          <w:sz w:val="32"/>
          <w:szCs w:val="32"/>
          <w:lang w:val="en-US" w:eastAsia="zh-CN"/>
        </w:rPr>
        <w:t>,</w:t>
      </w:r>
      <w:r>
        <w:rPr>
          <w:rFonts w:hint="default" w:ascii="Times New Roman" w:hAnsi="Times New Roman" w:eastAsia="仿宋_GB2312" w:cs="Times New Roman"/>
          <w:color w:val="000000"/>
          <w:kern w:val="36"/>
          <w:sz w:val="32"/>
          <w:szCs w:val="32"/>
        </w:rPr>
        <w:t>较2015年提高7.6个百分点，实现由“二三一”向“三二一”的历史性转变。农业供给侧结构性改革扎实推进，形成牡蛎、苹果、大姜、茶叶、蓝莓、葡萄等特色产业；传统工业转型升级，形成装备制造、食品与生物科技、纺织服装等主导产业；现代服务业加快发展，电子商务、现代物流、商务咨询等领域新业态、新模式加速崛起。海洋牧场建设稳步推进，海洋经济实现高质量发展，初步形成产业类型比较齐全、结构比较合理、技术装备水平比较先进的海洋产业体系。</w:t>
      </w:r>
    </w:p>
    <w:p>
      <w:pPr>
        <w:spacing w:line="560" w:lineRule="exact"/>
        <w:ind w:firstLine="640" w:firstLineChars="200"/>
        <w:rPr>
          <w:rFonts w:hint="default" w:ascii="Times New Roman" w:hAnsi="Times New Roman" w:eastAsia="仿宋_GB2312" w:cs="Times New Roman"/>
          <w:color w:val="000000"/>
          <w:kern w:val="36"/>
          <w:sz w:val="32"/>
          <w:szCs w:val="32"/>
        </w:rPr>
      </w:pPr>
      <w:r>
        <w:rPr>
          <w:rFonts w:hint="default" w:ascii="Times New Roman" w:hAnsi="Times New Roman" w:eastAsia="楷体_GB2312" w:cs="Times New Roman"/>
          <w:bCs/>
          <w:color w:val="000000"/>
          <w:kern w:val="36"/>
          <w:sz w:val="32"/>
          <w:szCs w:val="32"/>
        </w:rPr>
        <w:t>——城乡融合发展加快推进。</w:t>
      </w:r>
      <w:r>
        <w:rPr>
          <w:rFonts w:hint="default" w:ascii="Times New Roman" w:hAnsi="Times New Roman" w:eastAsia="仿宋_GB2312" w:cs="Times New Roman"/>
          <w:color w:val="000000"/>
          <w:kern w:val="36"/>
          <w:sz w:val="32"/>
          <w:szCs w:val="32"/>
        </w:rPr>
        <w:t>加快推进以人为核心的新型城镇化建设，全力打造精致城市，“十三五”期间被确定为山东省I型小城市试点。莱荣高铁、乳山口大桥顺利开工建设，文莱高速、西部环山路建成通车，“四纵五横”的路网运输通道主框架更加成熟，通用机场列入省规划，综合</w:t>
      </w:r>
      <w:r>
        <w:rPr>
          <w:rFonts w:hint="default" w:ascii="Times New Roman" w:hAnsi="Times New Roman" w:eastAsia="仿宋_GB2312" w:cs="Times New Roman"/>
          <w:bCs/>
          <w:color w:val="000000"/>
          <w:kern w:val="36"/>
          <w:sz w:val="32"/>
          <w:szCs w:val="32"/>
        </w:rPr>
        <w:t>立体大交通格局初步形成</w:t>
      </w:r>
      <w:r>
        <w:rPr>
          <w:rFonts w:hint="default" w:ascii="Times New Roman" w:hAnsi="Times New Roman" w:eastAsia="仿宋_GB2312" w:cs="Times New Roman"/>
          <w:color w:val="000000"/>
          <w:kern w:val="36"/>
          <w:sz w:val="32"/>
          <w:szCs w:val="32"/>
        </w:rPr>
        <w:t>。实施了乳山河地下水库、龙角山水库抬田增容及水库引调水工程，获批全国节水型社会建设达标县，全域水利格局逐渐形成。推进城乡环卫一体化，实现镇村垃圾集中无害化处理全覆盖，推动城镇污水管网向周边村庄延伸覆盖，获评全省城乡环卫一体化全覆盖市。城市功能更加完善，加快海绵城市和地下综合管廊建设，拓宽改造城市主要路网，联通区域供水管网，智慧城市建设跻身中国城市信息化50强。大力实施乡村振兴战略，高标准推进农村“七改”工程，累计完成农村改厕11万户、农村危房改造1175户，棚户区改造13.9万平方米，老旧小区改造281.7万平方米，实现燃气管网镇镇通。</w:t>
      </w:r>
    </w:p>
    <w:p>
      <w:pPr>
        <w:spacing w:line="560" w:lineRule="exact"/>
        <w:ind w:firstLine="640" w:firstLineChars="200"/>
        <w:rPr>
          <w:rFonts w:hint="default" w:ascii="Times New Roman" w:hAnsi="Times New Roman" w:eastAsia="仿宋_GB2312" w:cs="Times New Roman"/>
          <w:color w:val="000000"/>
          <w:kern w:val="36"/>
          <w:sz w:val="32"/>
          <w:szCs w:val="32"/>
        </w:rPr>
      </w:pPr>
      <w:r>
        <w:rPr>
          <w:rFonts w:hint="default" w:ascii="Times New Roman" w:hAnsi="Times New Roman" w:eastAsia="楷体_GB2312" w:cs="Times New Roman"/>
          <w:bCs/>
          <w:color w:val="000000"/>
          <w:kern w:val="36"/>
          <w:sz w:val="32"/>
          <w:szCs w:val="32"/>
        </w:rPr>
        <w:t>——改革开放取得重大进展。</w:t>
      </w:r>
      <w:r>
        <w:rPr>
          <w:rFonts w:hint="default" w:ascii="Times New Roman" w:hAnsi="Times New Roman" w:eastAsia="仿宋_GB2312" w:cs="Times New Roman"/>
          <w:color w:val="000000"/>
          <w:kern w:val="36"/>
          <w:sz w:val="32"/>
          <w:szCs w:val="32"/>
        </w:rPr>
        <w:t>深化“放管服”改革，持续优化营商环境，全面落实“一次办好”，在全省率先推行“自主备案、信用承诺”新模式，市场活力进一步增强，五年新增登记市场主体16.5万户。在全省率先开展“鲁担</w:t>
      </w:r>
      <w:r>
        <w:rPr>
          <w:rFonts w:hint="default" w:ascii="Times New Roman" w:hAnsi="Times New Roman" w:eastAsia="微软雅黑" w:cs="Times New Roman"/>
          <w:color w:val="000000"/>
          <w:kern w:val="36"/>
          <w:sz w:val="32"/>
          <w:szCs w:val="32"/>
        </w:rPr>
        <w:t>·</w:t>
      </w:r>
      <w:r>
        <w:rPr>
          <w:rFonts w:hint="default" w:ascii="Times New Roman" w:hAnsi="Times New Roman" w:eastAsia="仿宋_GB2312" w:cs="Times New Roman"/>
          <w:color w:val="000000"/>
          <w:kern w:val="36"/>
          <w:sz w:val="32"/>
          <w:szCs w:val="32"/>
        </w:rPr>
        <w:t>惠农贷”农业信贷担保试点，推行牡蛎风灾指数保险，设立1亿元企业应急互助基金和“助保贷”风险补偿基金。深化执法体制改革、农村综合性改革，成功创建全国农村集体“三资”管理示范县，成为全国12个农村综合性改革试点试验县之一。持续扩大对外开放，积极融入“一带一路”建设，乳山港获批国家一类开放口岸，经济开发区荣获山东省服务贸易特色出口基地。</w:t>
      </w:r>
    </w:p>
    <w:p>
      <w:pPr>
        <w:spacing w:line="560" w:lineRule="exact"/>
        <w:ind w:firstLine="640" w:firstLineChars="200"/>
        <w:rPr>
          <w:rFonts w:hint="default" w:ascii="Times New Roman" w:hAnsi="Times New Roman" w:eastAsia="仿宋_GB2312" w:cs="Times New Roman"/>
          <w:color w:val="000000"/>
          <w:kern w:val="36"/>
          <w:sz w:val="32"/>
          <w:szCs w:val="32"/>
        </w:rPr>
      </w:pPr>
      <w:r>
        <w:rPr>
          <w:rFonts w:hint="default" w:ascii="Times New Roman" w:hAnsi="Times New Roman" w:eastAsia="楷体_GB2312" w:cs="Times New Roman"/>
          <w:bCs/>
          <w:color w:val="000000"/>
          <w:kern w:val="36"/>
          <w:sz w:val="32"/>
          <w:szCs w:val="32"/>
        </w:rPr>
        <w:t>——生态环境质量持续改善。</w:t>
      </w:r>
      <w:r>
        <w:rPr>
          <w:rFonts w:hint="default" w:ascii="Times New Roman" w:hAnsi="Times New Roman" w:eastAsia="仿宋_GB2312" w:cs="Times New Roman"/>
          <w:color w:val="000000"/>
          <w:kern w:val="36"/>
          <w:sz w:val="32"/>
          <w:szCs w:val="32"/>
        </w:rPr>
        <w:t>牢固树立“绿水青山就是金山银山”理念，以国家环保督察和海洋督察为契机，扎实开展疏河、治污、造林等整治行动，累计清理治理“散乱污”企业196家，治理河道119公里，绿化造林10.3万亩。全力推进化工产业转型升级、户外广告治理、砂石资源整治、煤炭消费压减、海洋垃圾治理，落实“河长制”“湖长制”“湾长制”，启动了海岸带生态修复工程，实施黄垒河、乳山河、炉上河、城南河综合治理，建成投用了潮汐湖湿地公园、污泥处置中心。空气质量达到国家二级标准，PM2.5浓度、大气综合指数在全省名列前茅；万元GDP能源消耗比2015年下降16%；2020年全市二氧化硫、氮氧化物、化学需氧量、氨氮四项主要污染物排放量分别比2015年下降11.88%、11.93%、11.41%、10.47%。</w:t>
      </w:r>
    </w:p>
    <w:p>
      <w:pPr>
        <w:pStyle w:val="9"/>
        <w:widowControl/>
        <w:spacing w:line="560" w:lineRule="exact"/>
        <w:ind w:firstLine="640" w:firstLineChars="200"/>
        <w:rPr>
          <w:rFonts w:hint="default" w:ascii="Times New Roman" w:hAnsi="Times New Roman" w:eastAsia="仿宋_GB2312" w:cs="Times New Roman"/>
          <w:color w:val="000000"/>
          <w:kern w:val="36"/>
          <w:sz w:val="32"/>
          <w:szCs w:val="32"/>
        </w:rPr>
      </w:pPr>
      <w:bookmarkStart w:id="5" w:name="_Toc54561598"/>
      <w:r>
        <w:rPr>
          <w:rFonts w:hint="default" w:ascii="Times New Roman" w:hAnsi="Times New Roman" w:eastAsia="楷体_GB2312" w:cs="Times New Roman"/>
          <w:bCs/>
          <w:color w:val="000000"/>
          <w:kern w:val="36"/>
          <w:sz w:val="32"/>
          <w:szCs w:val="32"/>
        </w:rPr>
        <w:t>——民生保障水平大幅提升。</w:t>
      </w:r>
      <w:r>
        <w:rPr>
          <w:rFonts w:hint="default" w:ascii="Times New Roman" w:hAnsi="Times New Roman" w:eastAsia="仿宋_GB2312" w:cs="Times New Roman"/>
          <w:bCs/>
          <w:color w:val="000000"/>
          <w:kern w:val="36"/>
          <w:sz w:val="32"/>
          <w:szCs w:val="32"/>
        </w:rPr>
        <w:t>全市建档立卡贫困人口全部脱贫，城镇和农村居民人均可支配收入年均分别增长6.8%和7.5%</w:t>
      </w:r>
      <w:r>
        <w:rPr>
          <w:rFonts w:hint="default" w:ascii="Times New Roman" w:hAnsi="Times New Roman" w:eastAsia="仿宋_GB2312" w:cs="Times New Roman"/>
          <w:color w:val="000000"/>
          <w:kern w:val="36"/>
          <w:sz w:val="32"/>
          <w:szCs w:val="32"/>
        </w:rPr>
        <w:t>。就业创业工作成效显著，“十三五”期间累计城镇新增就业</w:t>
      </w:r>
      <w:r>
        <w:rPr>
          <w:rFonts w:hint="default" w:ascii="Times New Roman" w:hAnsi="Times New Roman" w:cs="Times New Roman"/>
          <w:color w:val="000000"/>
          <w:kern w:val="36"/>
          <w:sz w:val="32"/>
          <w:szCs w:val="32"/>
        </w:rPr>
        <w:t>2.5</w:t>
      </w:r>
      <w:r>
        <w:rPr>
          <w:rFonts w:hint="default" w:ascii="Times New Roman" w:hAnsi="Times New Roman" w:eastAsia="仿宋_GB2312" w:cs="Times New Roman"/>
          <w:color w:val="000000"/>
          <w:kern w:val="36"/>
          <w:sz w:val="32"/>
          <w:szCs w:val="32"/>
        </w:rPr>
        <w:t>万人，</w:t>
      </w:r>
      <w:r>
        <w:rPr>
          <w:rFonts w:hint="default" w:ascii="Times New Roman" w:hAnsi="Times New Roman" w:eastAsia="仿宋_GB2312" w:cs="Times New Roman"/>
          <w:color w:val="000000"/>
          <w:kern w:val="10"/>
          <w:sz w:val="32"/>
        </w:rPr>
        <w:t>农村劳动力转移就业0.9万人</w:t>
      </w:r>
      <w:r>
        <w:rPr>
          <w:rFonts w:hint="default" w:ascii="Times New Roman" w:hAnsi="Times New Roman" w:eastAsia="仿宋_GB2312" w:cs="Times New Roman"/>
          <w:color w:val="000000"/>
          <w:kern w:val="10"/>
          <w:sz w:val="32"/>
          <w:lang w:eastAsia="zh-CN"/>
        </w:rPr>
        <w:t>。</w:t>
      </w:r>
      <w:r>
        <w:rPr>
          <w:rFonts w:hint="default" w:ascii="Times New Roman" w:hAnsi="Times New Roman" w:eastAsia="仿宋_GB2312" w:cs="Times New Roman"/>
          <w:color w:val="000000"/>
          <w:kern w:val="36"/>
          <w:sz w:val="32"/>
          <w:szCs w:val="32"/>
        </w:rPr>
        <w:t>社会保障体系不断完善，城乡居民参保率达到99.8%，</w:t>
      </w:r>
      <w:r>
        <w:rPr>
          <w:rFonts w:hint="default" w:ascii="Times New Roman" w:hAnsi="Times New Roman" w:eastAsia="仿宋_GB2312" w:cs="Times New Roman"/>
          <w:color w:val="000000"/>
          <w:sz w:val="32"/>
          <w:szCs w:val="32"/>
        </w:rPr>
        <w:t>全市各类养老机构达到24家，千名老年人拥有养老床位41张</w:t>
      </w:r>
      <w:r>
        <w:rPr>
          <w:rFonts w:hint="default" w:ascii="Times New Roman" w:hAnsi="Times New Roman" w:eastAsia="仿宋_GB2312" w:cs="Times New Roman"/>
          <w:color w:val="000000"/>
          <w:kern w:val="36"/>
          <w:sz w:val="32"/>
          <w:szCs w:val="32"/>
        </w:rPr>
        <w:t>。办好人民满意教育，高质量通过“全国义务教育优质均衡发展市”省级复评验收。推进县级公立医疗机构布局调整，成功创建全国紧密型县域医共体建设试点县、山东省首批健康城市试点市、山东省健康促进示范市。推动文化惠民共建共享，文化基础设施不断完善。先后成功创建全国卫生城市、全国文化先进市、山东省文化强省先进县、山东省双拥模范城。</w:t>
      </w:r>
    </w:p>
    <w:p>
      <w:pPr>
        <w:widowControl/>
        <w:spacing w:line="560" w:lineRule="exact"/>
        <w:ind w:firstLine="640" w:firstLineChars="200"/>
        <w:rPr>
          <w:rFonts w:hint="default" w:ascii="Times New Roman" w:hAnsi="Times New Roman" w:eastAsia="仿宋_GB2312" w:cs="Times New Roman"/>
          <w:color w:val="000000"/>
          <w:kern w:val="36"/>
          <w:sz w:val="32"/>
          <w:szCs w:val="32"/>
        </w:rPr>
      </w:pPr>
      <w:r>
        <w:rPr>
          <w:rFonts w:hint="default" w:ascii="Times New Roman" w:hAnsi="Times New Roman" w:eastAsia="楷体_GB2312" w:cs="Times New Roman"/>
          <w:bCs/>
          <w:color w:val="000000"/>
          <w:kern w:val="36"/>
          <w:sz w:val="32"/>
          <w:szCs w:val="32"/>
        </w:rPr>
        <w:t>——社会治理内生动力不断增强。</w:t>
      </w:r>
      <w:r>
        <w:rPr>
          <w:rFonts w:hint="default" w:ascii="Times New Roman" w:hAnsi="Times New Roman" w:eastAsia="仿宋_GB2312" w:cs="Times New Roman"/>
          <w:color w:val="000000"/>
          <w:kern w:val="36"/>
          <w:sz w:val="32"/>
          <w:szCs w:val="32"/>
        </w:rPr>
        <w:t>创树“六治一网”社会治理模式乳山品牌，综合发挥“六治一网”作用防范化解矛盾风险，深入开展“七无”联创活动，夯实基层平安建设底座。打造信用激励软环境，把“信治”上升为市域社会治理的重要方式，大力实施信用“五进”工程，城市综合信用指数位居全国前列。聚焦文明新风培育，开展学习道德模范、倡导文明祭祀、文明出行等新时代文明实践活动。打造“即时送暖·爱心接力”文明实践品牌，将温暖第一时间送到群众身边。先后荣获全国平安建设先进市、全国文明城市、全省社会治安综合治理先进市、全省普法依法治理工作先进市、全省移风易俗工作先进市等荣誉称号。</w:t>
      </w:r>
    </w:p>
    <w:p>
      <w:pPr>
        <w:widowControl/>
        <w:spacing w:line="560" w:lineRule="exact"/>
        <w:ind w:firstLine="640" w:firstLineChars="200"/>
        <w:rPr>
          <w:rFonts w:hint="default" w:ascii="Times New Roman" w:hAnsi="Times New Roman" w:eastAsia="仿宋_GB2312" w:cs="Times New Roman"/>
          <w:color w:val="000000"/>
          <w:kern w:val="36"/>
          <w:sz w:val="32"/>
          <w:szCs w:val="32"/>
        </w:rPr>
      </w:pPr>
      <w:r>
        <w:rPr>
          <w:rFonts w:hint="default" w:ascii="Times New Roman" w:hAnsi="Times New Roman" w:eastAsia="楷体_GB2312" w:cs="Times New Roman"/>
          <w:bCs/>
          <w:color w:val="000000"/>
          <w:kern w:val="36"/>
          <w:sz w:val="32"/>
          <w:szCs w:val="32"/>
        </w:rPr>
        <w:t>——全面从严治党不断向纵深发展。</w:t>
      </w:r>
      <w:r>
        <w:rPr>
          <w:rFonts w:hint="default" w:ascii="Times New Roman" w:hAnsi="Times New Roman" w:eastAsia="仿宋_GB2312" w:cs="Times New Roman"/>
          <w:color w:val="000000"/>
          <w:kern w:val="36"/>
          <w:sz w:val="32"/>
          <w:szCs w:val="32"/>
        </w:rPr>
        <w:t>坚持先行先试，“双十星”评定管理经验做法荣获了2017年度威海组织工作创新奖。基层党组织标准化建设达标率达87%，34个党支部被评为威海“红色引擎”党建工作示范点，“标准化+过硬支部”相关经验做法荣获了2018-2019年度威海组织工作创新奖。建立“三个一”工作落实机制，推行“五步督查工作法”，建立健全干部落实力纪实评价机制。在威海市率先开展“电视说政”“电视问政”。坚持一体推进纪律检查体制改革、国家监察体制改革和纪检监察机构改革，全面开展政治巡察，推动派驻监督全覆盖，高标准建设了廉政警示教育基地，营造了风清气正良好氛围。</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40" w:firstLineChars="200"/>
        <w:textAlignment w:val="auto"/>
        <w:rPr>
          <w:rFonts w:hint="default" w:ascii="Times New Roman" w:hAnsi="Times New Roman" w:cs="Times New Roman"/>
        </w:rPr>
      </w:pPr>
      <w:r>
        <w:rPr>
          <w:rFonts w:hint="default" w:ascii="Times New Roman" w:hAnsi="Times New Roman" w:eastAsia="仿宋_GB2312" w:cs="Times New Roman"/>
          <w:color w:val="000000"/>
          <w:kern w:val="36"/>
          <w:sz w:val="32"/>
          <w:szCs w:val="32"/>
        </w:rPr>
        <w:t>尽管“十三五”时期我市经济社会发展成效显著，但是依然面临诸多困难和挑战，一些深层次矛盾和结构性问题仍未得到根本解决，突出表现在：传统产业转型步伐较慢，新兴产业支撑力不强，产业发展的质量效益有待进一步提升；城乡之间发展不平衡，产城融合发展滞后，城镇集聚功能不够强，人口城镇化率偏低；本级财政基础薄弱，融资平台不健全，资金筹措方式单一，财政支出的硬缺口较多；综合交通体系还不完善，高铁、机场、客运港口等重大基础设施支撑不足；对外开放水平有待提高，利用外资大项目不多，城市国际化程度不高，营商环境需要进一步优化，等等。</w:t>
      </w:r>
    </w:p>
    <w:p>
      <w:pPr>
        <w:pStyle w:val="3"/>
        <w:keepNext w:val="0"/>
        <w:keepLines w:val="0"/>
        <w:pageBreakBefore w:val="0"/>
        <w:widowControl w:val="0"/>
        <w:kinsoku/>
        <w:wordWrap/>
        <w:overflowPunct/>
        <w:topLinePunct w:val="0"/>
        <w:autoSpaceDE/>
        <w:autoSpaceDN/>
        <w:bidi w:val="0"/>
        <w:adjustRightInd/>
        <w:snapToGrid/>
        <w:spacing w:before="157" w:beforeLines="50" w:after="157" w:afterLines="50" w:line="580" w:lineRule="exact"/>
        <w:ind w:firstLine="0" w:firstLineChars="0"/>
        <w:jc w:val="center"/>
        <w:textAlignment w:val="auto"/>
        <w:rPr>
          <w:rFonts w:hint="default" w:ascii="Times New Roman" w:hAnsi="Times New Roman" w:eastAsia="黑体" w:cs="Times New Roman"/>
          <w:b w:val="0"/>
          <w:bCs/>
          <w:color w:val="auto"/>
        </w:rPr>
      </w:pPr>
      <w:bookmarkStart w:id="6" w:name="_Toc62919409"/>
      <w:r>
        <w:rPr>
          <w:rFonts w:hint="default" w:ascii="Times New Roman" w:hAnsi="Times New Roman" w:eastAsia="黑体" w:cs="Times New Roman"/>
          <w:b w:val="0"/>
          <w:bCs/>
          <w:color w:val="000000"/>
        </w:rPr>
        <w:t xml:space="preserve">第二节 </w:t>
      </w:r>
      <w:bookmarkEnd w:id="5"/>
      <w:r>
        <w:rPr>
          <w:rFonts w:hint="default" w:ascii="Times New Roman" w:hAnsi="Times New Roman" w:eastAsia="黑体" w:cs="Times New Roman"/>
          <w:b w:val="0"/>
          <w:bCs/>
          <w:color w:val="auto"/>
        </w:rPr>
        <w:t>新发展阶段面临新机遇新挑战</w:t>
      </w:r>
      <w:bookmarkEnd w:id="6"/>
    </w:p>
    <w:p>
      <w:pPr>
        <w:keepNext w:val="0"/>
        <w:keepLines w:val="0"/>
        <w:pageBreakBefore w:val="0"/>
        <w:widowControl w:val="0"/>
        <w:kinsoku/>
        <w:wordWrap/>
        <w:overflowPunct/>
        <w:topLinePunct w:val="0"/>
        <w:autoSpaceDE/>
        <w:autoSpaceDN/>
        <w:bidi w:val="0"/>
        <w:adjustRightInd/>
        <w:snapToGrid/>
        <w:spacing w:before="157" w:beforeLines="50" w:after="157" w:afterLines="50" w:line="580" w:lineRule="exact"/>
        <w:ind w:firstLine="640" w:firstLineChars="200"/>
        <w:textAlignment w:val="auto"/>
        <w:rPr>
          <w:rFonts w:hint="default" w:ascii="Times New Roman" w:hAnsi="Times New Roman" w:eastAsia="仿宋_GB2312" w:cs="Times New Roman"/>
          <w:color w:val="000000"/>
          <w:kern w:val="36"/>
          <w:sz w:val="32"/>
          <w:szCs w:val="32"/>
        </w:rPr>
      </w:pPr>
      <w:r>
        <w:rPr>
          <w:rFonts w:hint="default" w:ascii="Times New Roman" w:hAnsi="Times New Roman" w:eastAsia="仿宋_GB2312" w:cs="Times New Roman"/>
          <w:color w:val="000000"/>
          <w:kern w:val="36"/>
          <w:sz w:val="32"/>
          <w:szCs w:val="32"/>
        </w:rPr>
        <w:t>国内外环境深刻变化，既带来一系列新机遇，也带来一系列新挑战，必须科学分析形势、把握发展大势，坚持用全面、辩证、长远的眼光看待当前的困难、风险、挑战，努力在危机中育新机、于变局中开新局。</w:t>
      </w:r>
    </w:p>
    <w:p>
      <w:pPr>
        <w:spacing w:line="560" w:lineRule="exact"/>
        <w:ind w:firstLine="640" w:firstLineChars="200"/>
        <w:rPr>
          <w:rFonts w:hint="default" w:ascii="Times New Roman" w:hAnsi="Times New Roman" w:eastAsia="仿宋_GB2312" w:cs="Times New Roman"/>
          <w:color w:val="000000"/>
          <w:kern w:val="36"/>
          <w:sz w:val="32"/>
          <w:szCs w:val="32"/>
        </w:rPr>
      </w:pPr>
      <w:r>
        <w:rPr>
          <w:rFonts w:hint="default" w:ascii="Times New Roman" w:hAnsi="Times New Roman" w:eastAsia="楷体_GB2312" w:cs="Times New Roman"/>
          <w:color w:val="000000"/>
          <w:kern w:val="36"/>
          <w:sz w:val="32"/>
          <w:szCs w:val="32"/>
        </w:rPr>
        <w:t>从国际看，</w:t>
      </w:r>
      <w:r>
        <w:rPr>
          <w:rFonts w:hint="default" w:ascii="Times New Roman" w:hAnsi="Times New Roman" w:eastAsia="楷体_GB2312" w:cs="Times New Roman"/>
          <w:color w:val="auto"/>
          <w:kern w:val="36"/>
          <w:sz w:val="32"/>
          <w:szCs w:val="32"/>
        </w:rPr>
        <w:t>当今世界正经历百年未有之大变局。</w:t>
      </w:r>
      <w:r>
        <w:rPr>
          <w:rFonts w:hint="default" w:ascii="Times New Roman" w:hAnsi="Times New Roman" w:eastAsia="仿宋_GB2312" w:cs="Times New Roman"/>
          <w:color w:val="000000"/>
          <w:kern w:val="36"/>
          <w:sz w:val="32"/>
          <w:szCs w:val="32"/>
        </w:rPr>
        <w:t>党的十九大以来，习近平总书记多次指出，当今世界正经历百年未有之大变局。当前，新冠肺炎疫情全球大流行使这个大变局加速变化，保护主义、单边主义上升，世界经济低迷，全球产业链供应链因非经济因素而面临冲击，国际经济、科技、文化、安全、政治等格局都在发生深刻调整，世界进入动荡变革期。今后一个时期，我国将面对更多逆风逆水的外部环境，这对乳山在更大范围、更高层次、更广领域参与国际竞争提出了新挑战。</w:t>
      </w:r>
    </w:p>
    <w:p>
      <w:pPr>
        <w:spacing w:line="560" w:lineRule="exact"/>
        <w:ind w:firstLine="640" w:firstLineChars="200"/>
        <w:rPr>
          <w:rFonts w:hint="default" w:ascii="Times New Roman" w:hAnsi="Times New Roman" w:eastAsia="仿宋_GB2312" w:cs="Times New Roman"/>
          <w:color w:val="000000"/>
          <w:kern w:val="36"/>
          <w:sz w:val="32"/>
          <w:szCs w:val="32"/>
        </w:rPr>
      </w:pPr>
      <w:r>
        <w:rPr>
          <w:rFonts w:hint="default" w:ascii="Times New Roman" w:hAnsi="Times New Roman" w:eastAsia="楷体_GB2312" w:cs="Times New Roman"/>
          <w:color w:val="000000"/>
          <w:kern w:val="36"/>
          <w:sz w:val="32"/>
          <w:szCs w:val="32"/>
        </w:rPr>
        <w:t>从国内看，</w:t>
      </w:r>
      <w:r>
        <w:rPr>
          <w:rFonts w:hint="default" w:ascii="Times New Roman" w:hAnsi="Times New Roman" w:eastAsia="楷体_GB2312" w:cs="Times New Roman"/>
          <w:color w:val="auto"/>
          <w:kern w:val="36"/>
          <w:sz w:val="32"/>
          <w:szCs w:val="32"/>
        </w:rPr>
        <w:t>我国已转入高质量发展新阶段。</w:t>
      </w:r>
      <w:r>
        <w:rPr>
          <w:rFonts w:hint="default" w:ascii="Times New Roman" w:hAnsi="Times New Roman" w:eastAsia="仿宋_GB2312" w:cs="Times New Roman"/>
          <w:color w:val="auto"/>
          <w:kern w:val="36"/>
          <w:sz w:val="32"/>
          <w:szCs w:val="32"/>
        </w:rPr>
        <w:t>我国继续发展具有多方面优势和条件，</w:t>
      </w:r>
      <w:r>
        <w:rPr>
          <w:rFonts w:hint="default" w:ascii="Times New Roman" w:hAnsi="Times New Roman" w:eastAsia="仿宋_GB2312" w:cs="Times New Roman"/>
          <w:color w:val="000000"/>
          <w:kern w:val="36"/>
          <w:sz w:val="32"/>
          <w:szCs w:val="32"/>
        </w:rPr>
        <w:t>制度优势显著，治理效能提升，经济长期向好，物质基础雄厚，人力资源丰富，市场空间广阔，发展韧性强大，社会大局稳定。同时，我国发展不平衡不充分问题仍然突出，创新能力不适应高质量发展要求，农业基础还不稳固，城乡区域发展和收入分配差距较大，生态环保任重道远，民生保障存在短板，社会治理还有弱项。面对新形势新变化，党中央提出“加快形成以国内大循环为主体、国内国际双循环相互促进的新发展格局”的战略部署，这对乳山加快动能转换、更好联通国内国际市场、实现高质量发展提出了新要求。</w:t>
      </w:r>
    </w:p>
    <w:p>
      <w:pPr>
        <w:spacing w:line="560" w:lineRule="exact"/>
        <w:ind w:firstLine="640" w:firstLineChars="200"/>
        <w:rPr>
          <w:rFonts w:hint="default" w:ascii="Times New Roman" w:hAnsi="Times New Roman" w:eastAsia="仿宋_GB2312" w:cs="Times New Roman"/>
          <w:color w:val="000000"/>
          <w:kern w:val="36"/>
          <w:sz w:val="32"/>
          <w:szCs w:val="32"/>
        </w:rPr>
      </w:pPr>
      <w:r>
        <w:rPr>
          <w:rFonts w:hint="default" w:ascii="Times New Roman" w:hAnsi="Times New Roman" w:eastAsia="楷体_GB2312" w:cs="Times New Roman"/>
          <w:color w:val="000000"/>
          <w:kern w:val="36"/>
          <w:sz w:val="32"/>
          <w:szCs w:val="32"/>
        </w:rPr>
        <w:t>从省内看，发展有利条件正在积厚成势。</w:t>
      </w:r>
      <w:r>
        <w:rPr>
          <w:rFonts w:hint="default" w:ascii="Times New Roman" w:hAnsi="Times New Roman" w:eastAsia="仿宋_GB2312" w:cs="Times New Roman"/>
          <w:color w:val="000000"/>
          <w:kern w:val="36"/>
          <w:sz w:val="32"/>
          <w:szCs w:val="32"/>
        </w:rPr>
        <w:t>新旧动能转换、乡村振兴、海洋强省、三大攻坚战、军民融合、对外开放新高地建设、区域协调发展、重大基础设施建设等八大发展战略深入实施，重点领域改革不断深化，“一群两心三圈”区域协调发展新格局加快构建，积极对接京津冀、长三角和中原经济区发展，深化与沿黄省份交流合作，这为乳山深度融入省内外区域合作提供了新机遇。</w:t>
      </w:r>
    </w:p>
    <w:p>
      <w:pPr>
        <w:spacing w:line="560" w:lineRule="exact"/>
        <w:ind w:firstLine="640" w:firstLineChars="200"/>
        <w:rPr>
          <w:rFonts w:hint="default" w:ascii="Times New Roman" w:hAnsi="Times New Roman" w:eastAsia="仿宋_GB2312" w:cs="Times New Roman"/>
          <w:color w:val="000000"/>
          <w:kern w:val="36"/>
          <w:sz w:val="32"/>
          <w:szCs w:val="32"/>
        </w:rPr>
      </w:pPr>
      <w:r>
        <w:rPr>
          <w:rFonts w:hint="default" w:ascii="Times New Roman" w:hAnsi="Times New Roman" w:eastAsia="楷体_GB2312" w:cs="Times New Roman"/>
          <w:color w:val="000000"/>
          <w:kern w:val="36"/>
          <w:sz w:val="32"/>
          <w:szCs w:val="32"/>
        </w:rPr>
        <w:t>从威海市看，发展动力和活力持续增强。</w:t>
      </w:r>
      <w:r>
        <w:rPr>
          <w:rFonts w:hint="default" w:ascii="Times New Roman" w:hAnsi="Times New Roman" w:eastAsia="仿宋_GB2312" w:cs="Times New Roman"/>
          <w:color w:val="000000"/>
          <w:kern w:val="36"/>
          <w:sz w:val="32"/>
          <w:szCs w:val="32"/>
        </w:rPr>
        <w:t>“四新”经济引领动能加速转换、高质量发展的“创新因子”加速累积、深化中日韩地方经济合作潜力巨大、外贸提质升级步伐加快、精致城市建设全面起势、融入胶东经济圈一体化发展步伐加速，这为乳山借势借力发展提供了机遇和动力。</w:t>
      </w:r>
    </w:p>
    <w:p>
      <w:pPr>
        <w:spacing w:line="560" w:lineRule="exact"/>
        <w:ind w:firstLine="640" w:firstLineChars="200"/>
        <w:rPr>
          <w:rFonts w:hint="default" w:ascii="Times New Roman" w:hAnsi="Times New Roman" w:eastAsia="仿宋_GB2312" w:cs="Times New Roman"/>
          <w:color w:val="000000"/>
          <w:kern w:val="36"/>
          <w:sz w:val="32"/>
          <w:szCs w:val="32"/>
        </w:rPr>
      </w:pPr>
      <w:r>
        <w:rPr>
          <w:rFonts w:hint="default" w:ascii="Times New Roman" w:hAnsi="Times New Roman" w:eastAsia="仿宋_GB2312" w:cs="Times New Roman"/>
          <w:color w:val="000000"/>
          <w:kern w:val="36"/>
          <w:sz w:val="32"/>
          <w:szCs w:val="32"/>
        </w:rPr>
        <w:t>面对国际国内经济大变革的新形势，乳山市经济社会发展既面临难得的历史机遇，也面临诸多风险和挑战，但机遇大于挑战。综合判断，未来五年，是</w:t>
      </w:r>
      <w:r>
        <w:rPr>
          <w:rFonts w:hint="default" w:ascii="Times New Roman" w:hAnsi="Times New Roman" w:eastAsia="仿宋_GB2312" w:cs="Times New Roman"/>
          <w:bCs/>
          <w:color w:val="000000"/>
          <w:kern w:val="36"/>
          <w:sz w:val="32"/>
          <w:szCs w:val="32"/>
        </w:rPr>
        <w:t>乳山产业转型发展的机遇期、创新动力培育的关键期、城乡融合发展的攻坚期和扩大对外开放的突破期，总体上是推动乳山经济社会发展再上新台阶的重要战略机遇期。</w:t>
      </w:r>
      <w:r>
        <w:rPr>
          <w:rFonts w:hint="default" w:ascii="Times New Roman" w:hAnsi="Times New Roman" w:eastAsia="仿宋_GB2312" w:cs="Times New Roman"/>
          <w:color w:val="000000"/>
          <w:kern w:val="36"/>
          <w:sz w:val="32"/>
          <w:szCs w:val="32"/>
        </w:rPr>
        <w:t>要准确把握战略机遇期内涵的深刻变化，积极有效应对各种风险和挑战，增强忧患意识、责任意识、大局意识、开放意识，着力在优化结构、增强动力、化解矛盾、补齐短板上取得突破性进展，不断开拓乳山发展新局面。</w:t>
      </w:r>
    </w:p>
    <w:p>
      <w:pPr>
        <w:pStyle w:val="3"/>
        <w:spacing w:before="156" w:beforeLines="50" w:after="156" w:afterLines="50" w:line="560" w:lineRule="exact"/>
        <w:ind w:firstLine="0" w:firstLineChars="0"/>
        <w:jc w:val="center"/>
        <w:rPr>
          <w:rFonts w:hint="default" w:ascii="Times New Roman" w:hAnsi="Times New Roman" w:eastAsia="黑体" w:cs="Times New Roman"/>
          <w:b w:val="0"/>
          <w:bCs/>
          <w:color w:val="FF0000"/>
        </w:rPr>
      </w:pPr>
      <w:bookmarkStart w:id="7" w:name="_Toc62919410"/>
      <w:r>
        <w:rPr>
          <w:rFonts w:hint="default" w:ascii="Times New Roman" w:hAnsi="Times New Roman" w:eastAsia="黑体" w:cs="Times New Roman"/>
          <w:b w:val="0"/>
          <w:bCs/>
          <w:color w:val="000000"/>
        </w:rPr>
        <w:t xml:space="preserve">第三节 </w:t>
      </w:r>
      <w:bookmarkStart w:id="8" w:name="_Hlk62914919"/>
      <w:r>
        <w:rPr>
          <w:rFonts w:hint="default" w:ascii="Times New Roman" w:hAnsi="Times New Roman" w:eastAsia="黑体" w:cs="Times New Roman"/>
          <w:b w:val="0"/>
          <w:bCs/>
          <w:color w:val="auto"/>
        </w:rPr>
        <w:t>在新时代现代化强省建设中走在前列</w:t>
      </w:r>
      <w:bookmarkEnd w:id="7"/>
      <w:bookmarkEnd w:id="8"/>
    </w:p>
    <w:p>
      <w:pPr>
        <w:spacing w:line="560" w:lineRule="exact"/>
        <w:ind w:firstLine="640" w:firstLineChars="200"/>
        <w:rPr>
          <w:rFonts w:hint="default" w:ascii="Times New Roman" w:hAnsi="Times New Roman" w:eastAsia="黑体" w:cs="Times New Roman"/>
          <w:b/>
          <w:bCs/>
          <w:color w:val="000000"/>
        </w:rPr>
      </w:pPr>
      <w:r>
        <w:rPr>
          <w:rFonts w:hint="default" w:ascii="Times New Roman" w:hAnsi="Times New Roman" w:eastAsia="仿宋_GB2312" w:cs="Times New Roman"/>
          <w:color w:val="000000"/>
          <w:kern w:val="36"/>
          <w:sz w:val="32"/>
          <w:szCs w:val="32"/>
        </w:rPr>
        <w:t>到2035年，现代化强市基本建成。经济高质量发展迈上新台阶，经济实力、科技实力、综合竞争力大幅跃升，科技创新成为高质量发展的核心动力；经济发展的新动能强劲有力，基本实现新型工业化、信息化、城镇化、农业现代化，形成特色鲜明、优势突出的现代经济体系；初步形成开放型经济发展新高地，参与日韩合作、胶东经济圈一体化发展更加深入，城市功能规划、经济合作、人文交流、公共服务体系国际化水平明显提升；城乡融合发展水平显著提高，城市建设内外兼修，乡村振兴全面推进，精致城市与美丽乡村相得益彰，基础设施条件得到根本改善；促进高质量发展的制度体系更加完善，法治政府、法治社会全面建成，基本实现治理体系和治理能力现代化；文化软实力全面增强，公民素质和社会文明程度显著提高，优秀传统文化广泛弘扬；绿色生产生活方式广泛形成，生态环境根本好转，生态文明制度体系健全完善，实现人与自然和谐共生；城乡区域发展差距和居民生活水平差距显著缩小，人民生活更加美好，共建共享发展格局基本形成。</w:t>
      </w:r>
      <w:bookmarkStart w:id="9" w:name="_Toc54561599"/>
      <w:bookmarkStart w:id="10" w:name="_Toc62919411"/>
    </w:p>
    <w:p>
      <w:pPr>
        <w:pStyle w:val="3"/>
        <w:spacing w:before="156" w:beforeLines="50" w:after="156" w:afterLines="50" w:line="560" w:lineRule="exact"/>
        <w:ind w:firstLine="0" w:firstLineChars="0"/>
        <w:jc w:val="center"/>
        <w:rPr>
          <w:rFonts w:hint="default" w:ascii="Times New Roman" w:hAnsi="Times New Roman" w:eastAsia="黑体" w:cs="Times New Roman"/>
          <w:b w:val="0"/>
          <w:bCs/>
          <w:color w:val="auto"/>
        </w:rPr>
      </w:pPr>
      <w:r>
        <w:rPr>
          <w:rFonts w:hint="default" w:ascii="Times New Roman" w:hAnsi="Times New Roman" w:eastAsia="黑体" w:cs="Times New Roman"/>
          <w:b w:val="0"/>
          <w:bCs/>
          <w:color w:val="000000"/>
        </w:rPr>
        <w:t xml:space="preserve">第四节 </w:t>
      </w:r>
      <w:r>
        <w:rPr>
          <w:rFonts w:hint="default" w:ascii="Times New Roman" w:hAnsi="Times New Roman" w:eastAsia="黑体" w:cs="Times New Roman"/>
          <w:b w:val="0"/>
          <w:bCs/>
          <w:color w:val="auto"/>
        </w:rPr>
        <w:t>“十四五”时期</w:t>
      </w:r>
      <w:bookmarkEnd w:id="9"/>
      <w:r>
        <w:rPr>
          <w:rFonts w:hint="default" w:ascii="Times New Roman" w:hAnsi="Times New Roman" w:eastAsia="黑体" w:cs="Times New Roman"/>
          <w:b w:val="0"/>
          <w:bCs/>
          <w:color w:val="auto"/>
        </w:rPr>
        <w:t>经济社会发展总体要求和主要目标</w:t>
      </w:r>
      <w:bookmarkEnd w:id="10"/>
    </w:p>
    <w:p>
      <w:pPr>
        <w:spacing w:line="560" w:lineRule="exact"/>
        <w:ind w:firstLine="640" w:firstLineChars="200"/>
        <w:outlineLvl w:val="2"/>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一、指导思想</w:t>
      </w:r>
    </w:p>
    <w:p>
      <w:pPr>
        <w:spacing w:line="560" w:lineRule="exact"/>
        <w:ind w:firstLine="552"/>
        <w:rPr>
          <w:rFonts w:hint="default" w:ascii="Times New Roman" w:hAnsi="Times New Roman" w:eastAsia="仿宋_GB2312" w:cs="Times New Roman"/>
          <w:color w:val="000000"/>
          <w:kern w:val="36"/>
          <w:sz w:val="32"/>
          <w:szCs w:val="32"/>
        </w:rPr>
      </w:pPr>
      <w:r>
        <w:rPr>
          <w:rFonts w:hint="default" w:ascii="Times New Roman" w:hAnsi="Times New Roman" w:eastAsia="仿宋_GB2312" w:cs="Times New Roman"/>
          <w:color w:val="000000"/>
          <w:kern w:val="36"/>
          <w:sz w:val="32"/>
          <w:szCs w:val="32"/>
        </w:rPr>
        <w:t>高举中国特色社会主义伟大旗帜，深入贯彻党的十九大和十九届二中、三中、四中、五中全会精神，坚持以</w:t>
      </w:r>
      <w:r>
        <w:rPr>
          <w:rFonts w:hint="default" w:ascii="Times New Roman" w:hAnsi="Times New Roman" w:eastAsia="仿宋_GB2312" w:cs="Times New Roman"/>
          <w:bCs/>
          <w:color w:val="000000"/>
          <w:kern w:val="36"/>
          <w:sz w:val="32"/>
          <w:szCs w:val="32"/>
        </w:rPr>
        <w:t>马克思列宁主义、毛泽东思想、邓小平理论、“三个代表”重要思想、科学发展观、</w:t>
      </w:r>
      <w:r>
        <w:rPr>
          <w:rFonts w:hint="default" w:ascii="Times New Roman" w:hAnsi="Times New Roman" w:eastAsia="仿宋_GB2312" w:cs="Times New Roman"/>
          <w:color w:val="000000"/>
          <w:kern w:val="36"/>
          <w:sz w:val="32"/>
          <w:szCs w:val="32"/>
        </w:rPr>
        <w:t>习近平新时代中国特色社会主义思想为指导，全面贯彻党的基本理论、基本路线、基本方略，认真落实习近平总书记对山东工作的重要指示要求，紧紧围绕统筹推进“五位一体”总体布局和协调推进“四个全面”战略布局，坚定不移贯彻新发展理念，坚持稳中求进工作总基调，以推动高质量发展为主题，以深化供给侧结构性改革为主线，以改革创新为根本动力，以满足人民日益增长的美好生活需要为根本目的，统筹发展和安全，主动融入新发展格局，以全面建设现代化美好乳山为总领，着力在产业提升、双招双引、精致城市、乡村振兴、</w:t>
      </w:r>
      <w:r>
        <w:rPr>
          <w:rFonts w:hint="default" w:ascii="Times New Roman" w:hAnsi="Times New Roman" w:eastAsia="仿宋_GB2312" w:cs="Times New Roman"/>
          <w:color w:val="auto"/>
          <w:kern w:val="36"/>
          <w:sz w:val="32"/>
          <w:szCs w:val="32"/>
        </w:rPr>
        <w:t>海洋强市、基础设施、</w:t>
      </w:r>
      <w:r>
        <w:rPr>
          <w:rFonts w:hint="default" w:ascii="Times New Roman" w:hAnsi="Times New Roman" w:eastAsia="仿宋_GB2312" w:cs="Times New Roman"/>
          <w:color w:val="000000"/>
          <w:kern w:val="36"/>
          <w:sz w:val="32"/>
          <w:szCs w:val="32"/>
        </w:rPr>
        <w:t>社会治理等方面攻坚突破，实现更高质量、更有效率、更加公平、更可持续、更为安全的发展，力争全面缩小与威海其他区市差距，实现一年</w:t>
      </w:r>
      <w:r>
        <w:rPr>
          <w:rFonts w:hint="default" w:ascii="Times New Roman" w:hAnsi="Times New Roman" w:eastAsia="仿宋_GB2312" w:cs="Times New Roman"/>
          <w:color w:val="000000"/>
          <w:spacing w:val="6"/>
          <w:kern w:val="36"/>
          <w:sz w:val="32"/>
          <w:szCs w:val="32"/>
        </w:rPr>
        <w:t>有变化、三年有突破、五年大变样，奋</w:t>
      </w:r>
      <w:r>
        <w:rPr>
          <w:rFonts w:hint="default" w:ascii="Times New Roman" w:hAnsi="Times New Roman" w:eastAsia="仿宋_GB2312" w:cs="Times New Roman"/>
          <w:color w:val="000000"/>
          <w:kern w:val="36"/>
          <w:sz w:val="32"/>
          <w:szCs w:val="32"/>
        </w:rPr>
        <w:t>力开创“母爱圣地</w:t>
      </w:r>
      <w:r>
        <w:rPr>
          <w:rFonts w:hint="default" w:ascii="Times New Roman" w:hAnsi="Times New Roman" w:eastAsia="仿宋_GB2312" w:cs="Times New Roman"/>
          <w:b/>
          <w:bCs/>
          <w:color w:val="000000"/>
          <w:kern w:val="36"/>
          <w:sz w:val="32"/>
          <w:szCs w:val="32"/>
        </w:rPr>
        <w:t>·</w:t>
      </w:r>
      <w:r>
        <w:rPr>
          <w:rFonts w:hint="default" w:ascii="Times New Roman" w:hAnsi="Times New Roman" w:eastAsia="仿宋_GB2312" w:cs="Times New Roman"/>
          <w:color w:val="000000"/>
          <w:kern w:val="36"/>
          <w:sz w:val="32"/>
          <w:szCs w:val="32"/>
        </w:rPr>
        <w:t>美好乳山”崭新局面。</w:t>
      </w:r>
    </w:p>
    <w:p>
      <w:pPr>
        <w:spacing w:line="560" w:lineRule="exact"/>
        <w:ind w:firstLine="640" w:firstLineChars="200"/>
        <w:outlineLvl w:val="2"/>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二、基本原则</w:t>
      </w:r>
    </w:p>
    <w:p>
      <w:pPr>
        <w:spacing w:line="560" w:lineRule="exact"/>
        <w:ind w:firstLine="640" w:firstLineChars="200"/>
        <w:rPr>
          <w:rFonts w:hint="default" w:ascii="Times New Roman" w:hAnsi="Times New Roman" w:eastAsia="仿宋_GB2312" w:cs="Times New Roman"/>
          <w:color w:val="000000"/>
          <w:kern w:val="36"/>
          <w:sz w:val="32"/>
          <w:szCs w:val="32"/>
        </w:rPr>
      </w:pPr>
      <w:r>
        <w:rPr>
          <w:rFonts w:hint="default" w:ascii="Times New Roman" w:hAnsi="Times New Roman" w:eastAsia="楷体_GB2312" w:cs="Times New Roman"/>
          <w:bCs/>
          <w:color w:val="000000"/>
          <w:kern w:val="36"/>
          <w:sz w:val="32"/>
          <w:szCs w:val="32"/>
        </w:rPr>
        <w:t>坚持党的全面领导。</w:t>
      </w:r>
      <w:r>
        <w:rPr>
          <w:rFonts w:hint="default" w:ascii="Times New Roman" w:hAnsi="Times New Roman" w:eastAsia="仿宋_GB2312" w:cs="Times New Roman"/>
          <w:color w:val="000000"/>
          <w:kern w:val="36"/>
          <w:sz w:val="32"/>
          <w:szCs w:val="32"/>
        </w:rPr>
        <w:t>把“党建是重要引领”作为“十四五”期间各项工作的总遵循，坚持党把方向、谋大局、定政策、促改革，切实加强党对经济社会发展的全面领导，为实现高质量发展提供根本保证。</w:t>
      </w:r>
    </w:p>
    <w:p>
      <w:pPr>
        <w:spacing w:line="560" w:lineRule="exact"/>
        <w:ind w:firstLine="640" w:firstLineChars="200"/>
        <w:rPr>
          <w:rFonts w:hint="default" w:ascii="Times New Roman" w:hAnsi="Times New Roman" w:eastAsia="仿宋_GB2312" w:cs="Times New Roman"/>
          <w:color w:val="000000"/>
          <w:kern w:val="36"/>
          <w:sz w:val="32"/>
          <w:szCs w:val="32"/>
        </w:rPr>
      </w:pPr>
      <w:r>
        <w:rPr>
          <w:rFonts w:hint="default" w:ascii="Times New Roman" w:hAnsi="Times New Roman" w:eastAsia="楷体_GB2312" w:cs="Times New Roman"/>
          <w:bCs/>
          <w:color w:val="000000"/>
          <w:kern w:val="36"/>
          <w:sz w:val="32"/>
          <w:szCs w:val="32"/>
        </w:rPr>
        <w:t>坚持以人民为中心。</w:t>
      </w:r>
      <w:r>
        <w:rPr>
          <w:rFonts w:hint="default" w:ascii="Times New Roman" w:hAnsi="Times New Roman" w:eastAsia="仿宋_GB2312" w:cs="Times New Roman"/>
          <w:color w:val="000000"/>
          <w:kern w:val="36"/>
          <w:sz w:val="32"/>
          <w:szCs w:val="32"/>
        </w:rPr>
        <w:t>牢固树立以人民为中心的发展理念，把人民对美好生活的向往作为奋斗目标，切实保障和改善民生，促进社会公平，不断提升人民群众的获得感、幸福感、安全感。</w:t>
      </w:r>
    </w:p>
    <w:p>
      <w:pPr>
        <w:spacing w:line="560" w:lineRule="exact"/>
        <w:ind w:firstLine="640" w:firstLineChars="200"/>
        <w:rPr>
          <w:rFonts w:hint="default" w:ascii="Times New Roman" w:hAnsi="Times New Roman" w:eastAsia="仿宋_GB2312" w:cs="Times New Roman"/>
          <w:color w:val="000000"/>
          <w:kern w:val="36"/>
          <w:sz w:val="32"/>
          <w:szCs w:val="32"/>
        </w:rPr>
      </w:pPr>
      <w:r>
        <w:rPr>
          <w:rFonts w:hint="default" w:ascii="Times New Roman" w:hAnsi="Times New Roman" w:eastAsia="楷体_GB2312" w:cs="Times New Roman"/>
          <w:bCs/>
          <w:color w:val="000000"/>
          <w:kern w:val="36"/>
          <w:sz w:val="32"/>
          <w:szCs w:val="32"/>
        </w:rPr>
        <w:t>坚持新发展理念。</w:t>
      </w:r>
      <w:r>
        <w:rPr>
          <w:rFonts w:hint="default" w:ascii="Times New Roman" w:hAnsi="Times New Roman" w:eastAsia="仿宋_GB2312" w:cs="Times New Roman"/>
          <w:color w:val="000000"/>
          <w:kern w:val="36"/>
          <w:sz w:val="32"/>
          <w:szCs w:val="32"/>
        </w:rPr>
        <w:t>坚持“发展是第一要务”，把新发展理念贯穿发展全过程和各领域，坚定不移推动新旧动能转换，加快质量变革、效率变革、动力变革。</w:t>
      </w:r>
    </w:p>
    <w:p>
      <w:pPr>
        <w:spacing w:line="560" w:lineRule="exact"/>
        <w:ind w:firstLine="640" w:firstLineChars="200"/>
        <w:rPr>
          <w:rFonts w:hint="default" w:ascii="Times New Roman" w:hAnsi="Times New Roman" w:eastAsia="仿宋_GB2312" w:cs="Times New Roman"/>
          <w:color w:val="000000"/>
          <w:kern w:val="36"/>
          <w:sz w:val="32"/>
          <w:szCs w:val="32"/>
        </w:rPr>
      </w:pPr>
      <w:r>
        <w:rPr>
          <w:rFonts w:hint="default" w:ascii="Times New Roman" w:hAnsi="Times New Roman" w:eastAsia="楷体_GB2312" w:cs="Times New Roman"/>
          <w:bCs/>
          <w:color w:val="000000"/>
          <w:kern w:val="36"/>
          <w:sz w:val="32"/>
          <w:szCs w:val="32"/>
        </w:rPr>
        <w:t>坚持主动融入新发展格局。</w:t>
      </w:r>
      <w:r>
        <w:rPr>
          <w:rFonts w:hint="default" w:ascii="Times New Roman" w:hAnsi="Times New Roman" w:eastAsia="仿宋_GB2312" w:cs="Times New Roman"/>
          <w:color w:val="000000"/>
          <w:kern w:val="36"/>
          <w:sz w:val="32"/>
          <w:szCs w:val="32"/>
        </w:rPr>
        <w:t>把握扩大内需战略的新特点新要求，着力增强供给体系与国内需求的适配性、市场体系与区域发展的协同性，全面融入双循环相互促进的新发展格局。</w:t>
      </w:r>
    </w:p>
    <w:p>
      <w:pPr>
        <w:spacing w:line="560" w:lineRule="exact"/>
        <w:ind w:firstLine="640" w:firstLineChars="200"/>
        <w:rPr>
          <w:rFonts w:hint="default" w:ascii="Times New Roman" w:hAnsi="Times New Roman" w:eastAsia="仿宋_GB2312" w:cs="Times New Roman"/>
          <w:color w:val="000000"/>
          <w:kern w:val="36"/>
          <w:sz w:val="32"/>
          <w:szCs w:val="32"/>
        </w:rPr>
      </w:pPr>
      <w:r>
        <w:rPr>
          <w:rFonts w:hint="default" w:ascii="Times New Roman" w:hAnsi="Times New Roman" w:eastAsia="楷体_GB2312" w:cs="Times New Roman"/>
          <w:bCs/>
          <w:color w:val="000000"/>
          <w:kern w:val="36"/>
          <w:sz w:val="32"/>
          <w:szCs w:val="32"/>
        </w:rPr>
        <w:t>坚持全面深化改革开放。</w:t>
      </w:r>
      <w:r>
        <w:rPr>
          <w:rFonts w:hint="default" w:ascii="Times New Roman" w:hAnsi="Times New Roman" w:eastAsia="仿宋_GB2312" w:cs="Times New Roman"/>
          <w:color w:val="000000"/>
          <w:kern w:val="36"/>
          <w:sz w:val="32"/>
          <w:szCs w:val="32"/>
        </w:rPr>
        <w:t>抓好用好改革开放“关键一招”，强化有利于提高资源配置效率、有利于调动各方面积极性的重大改革开放举措，持续增强发展动力和活力。</w:t>
      </w:r>
    </w:p>
    <w:p>
      <w:pPr>
        <w:spacing w:line="560" w:lineRule="exact"/>
        <w:ind w:firstLine="640" w:firstLineChars="200"/>
        <w:rPr>
          <w:rFonts w:hint="default" w:ascii="Times New Roman" w:hAnsi="Times New Roman" w:eastAsia="仿宋_GB2312" w:cs="Times New Roman"/>
          <w:color w:val="000000"/>
          <w:kern w:val="36"/>
          <w:sz w:val="32"/>
          <w:szCs w:val="32"/>
        </w:rPr>
      </w:pPr>
      <w:r>
        <w:rPr>
          <w:rFonts w:hint="default" w:ascii="Times New Roman" w:hAnsi="Times New Roman" w:eastAsia="楷体_GB2312" w:cs="Times New Roman"/>
          <w:bCs/>
          <w:color w:val="000000"/>
          <w:kern w:val="36"/>
          <w:sz w:val="32"/>
          <w:szCs w:val="32"/>
        </w:rPr>
        <w:t>坚持系统观念。</w:t>
      </w:r>
      <w:r>
        <w:rPr>
          <w:rFonts w:hint="default" w:ascii="Times New Roman" w:hAnsi="Times New Roman" w:eastAsia="仿宋_GB2312" w:cs="Times New Roman"/>
          <w:color w:val="000000"/>
          <w:kern w:val="36"/>
          <w:sz w:val="32"/>
          <w:szCs w:val="32"/>
        </w:rPr>
        <w:t>加强前瞻性思考、全局性谋划、战略性布局、整体性推进，按照“全市一盘棋”的整体思路，着力固根基、扬优势、补短板、强弱项，实现发展质量、结构、规模、速度、效益、安全相统一。</w:t>
      </w:r>
    </w:p>
    <w:p>
      <w:pPr>
        <w:spacing w:line="560" w:lineRule="exact"/>
        <w:ind w:firstLine="640" w:firstLineChars="200"/>
        <w:outlineLvl w:val="2"/>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三、战略思路</w:t>
      </w:r>
    </w:p>
    <w:p>
      <w:pPr>
        <w:spacing w:line="560" w:lineRule="exact"/>
        <w:ind w:firstLine="640" w:firstLineChars="200"/>
        <w:rPr>
          <w:rFonts w:hint="default" w:ascii="Times New Roman" w:hAnsi="Times New Roman" w:eastAsia="仿宋_GB2312" w:cs="Times New Roman"/>
          <w:color w:val="000000"/>
          <w:kern w:val="36"/>
          <w:sz w:val="32"/>
          <w:szCs w:val="32"/>
        </w:rPr>
      </w:pPr>
      <w:r>
        <w:rPr>
          <w:rFonts w:hint="default" w:ascii="Times New Roman" w:hAnsi="Times New Roman" w:eastAsia="楷体_GB2312" w:cs="Times New Roman"/>
          <w:bCs/>
          <w:color w:val="000000"/>
          <w:kern w:val="36"/>
          <w:sz w:val="32"/>
          <w:szCs w:val="32"/>
        </w:rPr>
        <w:t>实施产业立市战略。</w:t>
      </w:r>
      <w:r>
        <w:rPr>
          <w:rFonts w:hint="default" w:ascii="Times New Roman" w:hAnsi="Times New Roman" w:eastAsia="仿宋_GB2312" w:cs="Times New Roman"/>
          <w:color w:val="000000"/>
          <w:kern w:val="36"/>
          <w:sz w:val="32"/>
          <w:szCs w:val="32"/>
        </w:rPr>
        <w:t>坚持把产业作为立市之本、发展之基，“调旧”和“育新”协同发力，以新技术、新产品、新业态、新模式为引领，以</w:t>
      </w:r>
      <w:r>
        <w:rPr>
          <w:rFonts w:hint="default" w:ascii="Times New Roman" w:hAnsi="Times New Roman" w:eastAsia="仿宋_GB2312" w:cs="Times New Roman"/>
          <w:bCs/>
          <w:color w:val="000000"/>
          <w:sz w:val="32"/>
          <w:szCs w:val="32"/>
        </w:rPr>
        <w:t>高端化、智能化、绿色化</w:t>
      </w:r>
      <w:r>
        <w:rPr>
          <w:rFonts w:hint="default" w:ascii="Times New Roman" w:hAnsi="Times New Roman" w:eastAsia="仿宋_GB2312" w:cs="Times New Roman"/>
          <w:color w:val="000000"/>
          <w:kern w:val="36"/>
          <w:sz w:val="32"/>
          <w:szCs w:val="32"/>
        </w:rPr>
        <w:t>为方向，着力构建支撑高质量发展的现代产业体系。</w:t>
      </w:r>
    </w:p>
    <w:p>
      <w:pPr>
        <w:spacing w:line="560" w:lineRule="exact"/>
        <w:ind w:firstLine="640" w:firstLineChars="200"/>
        <w:rPr>
          <w:rFonts w:hint="default" w:ascii="Times New Roman" w:hAnsi="Times New Roman" w:eastAsia="仿宋_GB2312" w:cs="Times New Roman"/>
          <w:color w:val="000000"/>
          <w:kern w:val="36"/>
          <w:sz w:val="32"/>
          <w:szCs w:val="32"/>
        </w:rPr>
      </w:pPr>
      <w:r>
        <w:rPr>
          <w:rFonts w:hint="default" w:ascii="Times New Roman" w:hAnsi="Times New Roman" w:eastAsia="楷体_GB2312" w:cs="Times New Roman"/>
          <w:bCs/>
          <w:color w:val="000000"/>
          <w:kern w:val="36"/>
          <w:sz w:val="32"/>
          <w:szCs w:val="32"/>
        </w:rPr>
        <w:t>实施精致建市战略。</w:t>
      </w:r>
      <w:r>
        <w:rPr>
          <w:rFonts w:hint="default" w:ascii="Times New Roman" w:hAnsi="Times New Roman" w:eastAsia="仿宋_GB2312" w:cs="Times New Roman"/>
          <w:color w:val="000000"/>
          <w:kern w:val="36"/>
          <w:sz w:val="32"/>
          <w:szCs w:val="32"/>
        </w:rPr>
        <w:t>打造“母爱圣地</w:t>
      </w:r>
      <w:r>
        <w:rPr>
          <w:rFonts w:hint="default" w:ascii="Times New Roman" w:hAnsi="Times New Roman" w:eastAsia="仿宋_GB2312" w:cs="Times New Roman"/>
          <w:b/>
          <w:bCs/>
          <w:color w:val="000000"/>
          <w:kern w:val="36"/>
          <w:sz w:val="32"/>
          <w:szCs w:val="32"/>
        </w:rPr>
        <w:t>·</w:t>
      </w:r>
      <w:r>
        <w:rPr>
          <w:rFonts w:hint="default" w:ascii="Times New Roman" w:hAnsi="Times New Roman" w:eastAsia="仿宋_GB2312" w:cs="Times New Roman"/>
          <w:color w:val="000000"/>
          <w:kern w:val="36"/>
          <w:sz w:val="32"/>
          <w:szCs w:val="32"/>
        </w:rPr>
        <w:t>美好乳山”精致城市名片，提升城市品质内涵，强化公共服务设施提标扩面，促进基础配套设施提级扩能，塑造城市特色风貌，彰显乳山特色。</w:t>
      </w:r>
    </w:p>
    <w:p>
      <w:pPr>
        <w:spacing w:line="560" w:lineRule="exact"/>
        <w:ind w:firstLine="640" w:firstLineChars="200"/>
        <w:rPr>
          <w:rFonts w:hint="default" w:ascii="Times New Roman" w:hAnsi="Times New Roman" w:eastAsia="仿宋_GB2312" w:cs="Times New Roman"/>
          <w:color w:val="000000"/>
          <w:kern w:val="36"/>
          <w:sz w:val="32"/>
          <w:szCs w:val="32"/>
        </w:rPr>
      </w:pPr>
      <w:r>
        <w:rPr>
          <w:rFonts w:hint="default" w:ascii="Times New Roman" w:hAnsi="Times New Roman" w:eastAsia="楷体_GB2312" w:cs="Times New Roman"/>
          <w:bCs/>
          <w:color w:val="000000"/>
          <w:kern w:val="36"/>
          <w:sz w:val="32"/>
          <w:szCs w:val="32"/>
        </w:rPr>
        <w:t>实施人才强市战略。</w:t>
      </w:r>
      <w:r>
        <w:rPr>
          <w:rFonts w:hint="default" w:ascii="Times New Roman" w:hAnsi="Times New Roman" w:eastAsia="仿宋_GB2312" w:cs="Times New Roman"/>
          <w:color w:val="000000"/>
          <w:kern w:val="36"/>
          <w:sz w:val="32"/>
          <w:szCs w:val="32"/>
        </w:rPr>
        <w:t>坚持把人才作为支撑发展的第一资源，大力集聚各方人才，着力营造人尽其才的良好环境，激发人才活力，发挥好人才作用，把乳山打造成为人才发展的高地、人才创业的热土，为经济社会更好发展提供强有力的人才支撑。</w:t>
      </w:r>
    </w:p>
    <w:p>
      <w:pPr>
        <w:spacing w:line="560" w:lineRule="exact"/>
        <w:ind w:firstLine="640" w:firstLineChars="200"/>
        <w:rPr>
          <w:rFonts w:hint="default" w:ascii="Times New Roman" w:hAnsi="Times New Roman" w:eastAsia="仿宋_GB2312" w:cs="Times New Roman"/>
          <w:color w:val="000000"/>
          <w:kern w:val="36"/>
          <w:sz w:val="32"/>
          <w:szCs w:val="32"/>
        </w:rPr>
      </w:pPr>
      <w:r>
        <w:rPr>
          <w:rFonts w:hint="default" w:ascii="Times New Roman" w:hAnsi="Times New Roman" w:eastAsia="楷体_GB2312" w:cs="Times New Roman"/>
          <w:bCs/>
          <w:color w:val="000000"/>
          <w:kern w:val="36"/>
          <w:sz w:val="32"/>
          <w:szCs w:val="32"/>
        </w:rPr>
        <w:t>实施开放活市战略。</w:t>
      </w:r>
      <w:r>
        <w:rPr>
          <w:rFonts w:hint="default" w:ascii="Times New Roman" w:hAnsi="Times New Roman" w:eastAsia="仿宋_GB2312" w:cs="Times New Roman"/>
          <w:color w:val="000000"/>
          <w:kern w:val="36"/>
          <w:sz w:val="32"/>
          <w:szCs w:val="32"/>
        </w:rPr>
        <w:t>综合发挥区位、经济、文化等优势，主动融入国家、省、市开放布局，全方位拓展开放发展潜力空间，用足用好国内、国际两个市场，畅通内外循环，打造充满活力的对外开放高地。</w:t>
      </w:r>
    </w:p>
    <w:p>
      <w:pPr>
        <w:spacing w:line="560" w:lineRule="exact"/>
        <w:ind w:firstLine="640" w:firstLineChars="200"/>
        <w:rPr>
          <w:rFonts w:hint="default" w:ascii="Times New Roman" w:hAnsi="Times New Roman" w:eastAsia="仿宋_GB2312" w:cs="Times New Roman"/>
          <w:color w:val="000000"/>
          <w:kern w:val="36"/>
          <w:sz w:val="32"/>
          <w:szCs w:val="32"/>
        </w:rPr>
      </w:pPr>
      <w:r>
        <w:rPr>
          <w:rFonts w:hint="default" w:ascii="Times New Roman" w:hAnsi="Times New Roman" w:eastAsia="楷体_GB2312" w:cs="Times New Roman"/>
          <w:bCs/>
          <w:color w:val="000000"/>
          <w:kern w:val="36"/>
          <w:sz w:val="32"/>
          <w:szCs w:val="32"/>
        </w:rPr>
        <w:t>实施富民兴市战略。</w:t>
      </w:r>
      <w:r>
        <w:rPr>
          <w:rFonts w:hint="default" w:ascii="Times New Roman" w:hAnsi="Times New Roman" w:eastAsia="仿宋_GB2312" w:cs="Times New Roman"/>
          <w:color w:val="000000"/>
          <w:kern w:val="36"/>
          <w:sz w:val="32"/>
          <w:szCs w:val="32"/>
        </w:rPr>
        <w:t>大力发展富民产业，推动业态融合，以产业富民推动百姓增收，完善促民富、惠民生投入机制、运行机制和管理机制，将公共服务不断向农村延伸，努力提升人民群众幸福指数。</w:t>
      </w:r>
    </w:p>
    <w:p>
      <w:pPr>
        <w:spacing w:line="560" w:lineRule="exact"/>
        <w:ind w:firstLine="640" w:firstLineChars="200"/>
        <w:outlineLvl w:val="2"/>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四、发展定位</w:t>
      </w:r>
    </w:p>
    <w:p>
      <w:pPr>
        <w:spacing w:line="560" w:lineRule="exact"/>
        <w:ind w:firstLine="640" w:firstLineChars="200"/>
        <w:rPr>
          <w:rFonts w:hint="default" w:ascii="Times New Roman" w:hAnsi="Times New Roman" w:eastAsia="仿宋_GB2312" w:cs="Times New Roman"/>
          <w:color w:val="000000"/>
          <w:kern w:val="36"/>
          <w:sz w:val="32"/>
          <w:szCs w:val="32"/>
        </w:rPr>
      </w:pPr>
      <w:r>
        <w:rPr>
          <w:rFonts w:hint="default" w:ascii="Times New Roman" w:hAnsi="Times New Roman" w:eastAsia="仿宋_GB2312" w:cs="Times New Roman"/>
          <w:color w:val="000000"/>
          <w:kern w:val="36"/>
          <w:sz w:val="32"/>
          <w:szCs w:val="32"/>
        </w:rPr>
        <w:t>“十四五”时期，全力打造母爱文化彰显、绿色包容和谐的新时代美好乳山。围绕区域协调、城市建设、产业发展，着力将乳山建设成为胶东经济圈一体化发展的先行区、幸福威海精致城市次中心、现代产业集聚发展新高地。</w:t>
      </w:r>
    </w:p>
    <w:p>
      <w:pPr>
        <w:spacing w:line="560" w:lineRule="exact"/>
        <w:ind w:firstLine="640" w:firstLineChars="200"/>
        <w:rPr>
          <w:rFonts w:hint="default" w:ascii="Times New Roman" w:hAnsi="Times New Roman" w:eastAsia="仿宋_GB2312" w:cs="Times New Roman"/>
          <w:color w:val="000000"/>
          <w:kern w:val="36"/>
          <w:sz w:val="32"/>
          <w:szCs w:val="32"/>
        </w:rPr>
      </w:pPr>
      <w:r>
        <w:rPr>
          <w:rFonts w:hint="default" w:ascii="Times New Roman" w:hAnsi="Times New Roman" w:eastAsia="楷体_GB2312" w:cs="Times New Roman"/>
          <w:bCs/>
          <w:color w:val="000000"/>
          <w:kern w:val="36"/>
          <w:sz w:val="32"/>
          <w:szCs w:val="32"/>
        </w:rPr>
        <w:t>——胶东经济圈一体化发展先行区。</w:t>
      </w:r>
      <w:r>
        <w:rPr>
          <w:rFonts w:hint="default" w:ascii="Times New Roman" w:hAnsi="Times New Roman" w:eastAsia="仿宋_GB2312" w:cs="Times New Roman"/>
          <w:color w:val="000000"/>
          <w:kern w:val="36"/>
          <w:sz w:val="32"/>
          <w:szCs w:val="32"/>
        </w:rPr>
        <w:t>抓住胶东经济圈一体化发展的历史机遇，充分发挥乳山区位、资源等优势，着力加强与青烟威等中心城市在产业转移、基础设施、公共服务、体制机制等方面的主动对接，深化合作，加快融合，进一步提升我市在胶东经济圈的战略地位。</w:t>
      </w:r>
    </w:p>
    <w:p>
      <w:pPr>
        <w:spacing w:line="560" w:lineRule="exact"/>
        <w:ind w:firstLine="640" w:firstLineChars="200"/>
        <w:rPr>
          <w:rFonts w:hint="default" w:ascii="Times New Roman" w:hAnsi="Times New Roman" w:eastAsia="仿宋_GB2312" w:cs="Times New Roman"/>
          <w:color w:val="000000"/>
          <w:kern w:val="36"/>
          <w:sz w:val="32"/>
          <w:szCs w:val="32"/>
        </w:rPr>
      </w:pPr>
      <w:r>
        <w:rPr>
          <w:rFonts w:hint="default" w:ascii="Times New Roman" w:hAnsi="Times New Roman" w:eastAsia="楷体_GB2312" w:cs="Times New Roman"/>
          <w:bCs/>
          <w:color w:val="000000"/>
          <w:kern w:val="36"/>
          <w:sz w:val="32"/>
          <w:szCs w:val="32"/>
        </w:rPr>
        <w:t>——幸福威海精致城市次中心。</w:t>
      </w:r>
      <w:r>
        <w:rPr>
          <w:rFonts w:hint="default" w:ascii="Times New Roman" w:hAnsi="Times New Roman" w:eastAsia="仿宋_GB2312" w:cs="Times New Roman"/>
          <w:color w:val="000000"/>
          <w:kern w:val="36"/>
          <w:sz w:val="32"/>
          <w:szCs w:val="32"/>
        </w:rPr>
        <w:t>牢固树立精致城市理念，打造“母爱圣地</w:t>
      </w:r>
      <w:r>
        <w:rPr>
          <w:rFonts w:hint="default" w:ascii="Times New Roman" w:hAnsi="Times New Roman" w:eastAsia="仿宋_GB2312" w:cs="Times New Roman"/>
          <w:b/>
          <w:bCs/>
          <w:color w:val="000000"/>
          <w:kern w:val="36"/>
          <w:sz w:val="32"/>
          <w:szCs w:val="32"/>
        </w:rPr>
        <w:t>·</w:t>
      </w:r>
      <w:r>
        <w:rPr>
          <w:rFonts w:hint="default" w:ascii="Times New Roman" w:hAnsi="Times New Roman" w:eastAsia="仿宋_GB2312" w:cs="Times New Roman"/>
          <w:color w:val="000000"/>
          <w:kern w:val="36"/>
          <w:sz w:val="32"/>
          <w:szCs w:val="32"/>
        </w:rPr>
        <w:t>美好乳山”精致城市名片，着力推进主城区、滨海新区、经济开发区“三区融合”发展。实施主城区“东拓展、西提升、南延伸”，加快构筑城市核心区域；提升产业和人口承载能力，推动滨海新区</w:t>
      </w:r>
      <w:r>
        <w:rPr>
          <w:rFonts w:hint="default" w:ascii="Times New Roman" w:hAnsi="Times New Roman" w:eastAsia="仿宋_GB2312" w:cs="Times New Roman"/>
          <w:color w:val="000000"/>
          <w:sz w:val="32"/>
          <w:szCs w:val="32"/>
        </w:rPr>
        <w:t>打造全国知名的康养滨海小城</w:t>
      </w:r>
      <w:r>
        <w:rPr>
          <w:rFonts w:hint="default" w:ascii="Times New Roman" w:hAnsi="Times New Roman" w:eastAsia="仿宋_GB2312" w:cs="Times New Roman"/>
          <w:color w:val="000000"/>
          <w:kern w:val="36"/>
          <w:sz w:val="32"/>
          <w:szCs w:val="32"/>
        </w:rPr>
        <w:t>；经济开发区着力完善城市功能和园区基础设施配套，建设“产业聚集、美丽宜居、生态绿色”的特色新区。</w:t>
      </w:r>
    </w:p>
    <w:p>
      <w:pPr>
        <w:spacing w:line="560" w:lineRule="exact"/>
        <w:ind w:firstLine="640" w:firstLineChars="200"/>
        <w:rPr>
          <w:rFonts w:hint="default" w:ascii="Times New Roman" w:hAnsi="Times New Roman" w:eastAsia="仿宋_GB2312" w:cs="Times New Roman"/>
          <w:color w:val="000000"/>
          <w:kern w:val="36"/>
          <w:sz w:val="32"/>
          <w:szCs w:val="32"/>
        </w:rPr>
      </w:pPr>
      <w:r>
        <w:rPr>
          <w:rFonts w:hint="default" w:ascii="Times New Roman" w:hAnsi="Times New Roman" w:eastAsia="楷体_GB2312" w:cs="Times New Roman"/>
          <w:bCs/>
          <w:color w:val="000000"/>
          <w:kern w:val="36"/>
          <w:sz w:val="32"/>
          <w:szCs w:val="32"/>
        </w:rPr>
        <w:t>——现代产业集聚发展新高地。</w:t>
      </w:r>
      <w:r>
        <w:rPr>
          <w:rFonts w:hint="default" w:ascii="Times New Roman" w:hAnsi="Times New Roman" w:eastAsia="仿宋_GB2312" w:cs="Times New Roman"/>
          <w:color w:val="000000"/>
          <w:kern w:val="36"/>
          <w:sz w:val="32"/>
          <w:szCs w:val="32"/>
        </w:rPr>
        <w:t>立足装备制造、食品加工、纺织服装3个传统</w:t>
      </w:r>
      <w:r>
        <w:rPr>
          <w:rFonts w:hint="default" w:ascii="Times New Roman" w:hAnsi="Times New Roman" w:eastAsia="仿宋_GB2312" w:cs="Times New Roman"/>
          <w:color w:val="000000"/>
          <w:kern w:val="36"/>
          <w:sz w:val="32"/>
          <w:szCs w:val="32"/>
          <w:lang w:val="en-US" w:eastAsia="zh-CN"/>
        </w:rPr>
        <w:t>产业</w:t>
      </w:r>
      <w:r>
        <w:rPr>
          <w:rFonts w:hint="default" w:ascii="Times New Roman" w:hAnsi="Times New Roman" w:eastAsia="仿宋_GB2312" w:cs="Times New Roman"/>
          <w:color w:val="000000"/>
          <w:kern w:val="36"/>
          <w:sz w:val="32"/>
          <w:szCs w:val="32"/>
        </w:rPr>
        <w:t>，培育壮大健康文旅、现代海洋、新能源3大新兴产业，推动产业高端化、智能化、绿色化“三化”转型发展，培育比较优势突出的现代产业集群。</w:t>
      </w:r>
    </w:p>
    <w:p>
      <w:pPr>
        <w:spacing w:line="560" w:lineRule="exact"/>
        <w:ind w:firstLine="640" w:firstLineChars="200"/>
        <w:outlineLvl w:val="2"/>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五、主要目标</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color w:val="000000"/>
          <w:kern w:val="36"/>
          <w:sz w:val="32"/>
          <w:szCs w:val="32"/>
        </w:rPr>
      </w:pPr>
      <w:r>
        <w:rPr>
          <w:rFonts w:hint="default" w:ascii="Times New Roman" w:hAnsi="Times New Roman" w:eastAsia="仿宋_GB2312" w:cs="Times New Roman"/>
          <w:color w:val="000000"/>
          <w:sz w:val="32"/>
        </w:rPr>
        <w:t>到2025年，母爱文化彰显、绿色包容和谐的新时代美好乳山建设取得显著成效，树起精致城市乳山样板。</w:t>
      </w:r>
      <w:r>
        <w:rPr>
          <w:rFonts w:hint="default" w:ascii="Times New Roman" w:hAnsi="Times New Roman" w:cs="Times New Roman"/>
          <w:bCs/>
          <w:color w:val="000000"/>
          <w:kern w:val="36"/>
          <w:sz w:val="32"/>
          <w:szCs w:val="32"/>
        </w:rPr>
        <w:t>经济活力和综合实力显著增强。</w:t>
      </w:r>
      <w:r>
        <w:rPr>
          <w:rFonts w:hint="default" w:ascii="Times New Roman" w:hAnsi="Times New Roman" w:eastAsia="仿宋_GB2312" w:cs="Times New Roman"/>
          <w:color w:val="000000"/>
          <w:kern w:val="36"/>
          <w:sz w:val="32"/>
          <w:szCs w:val="32"/>
        </w:rPr>
        <w:t>重点领域和关键环节改革深入推进，高质量发展的制度体系更加系统完善，形成改革引领创新发展的新局面，地区生产总值年均增长</w:t>
      </w:r>
      <w:r>
        <w:rPr>
          <w:rFonts w:hint="default" w:ascii="Times New Roman" w:hAnsi="Times New Roman" w:eastAsia="仿宋_GB2312" w:cs="Times New Roman"/>
          <w:color w:val="auto"/>
          <w:kern w:val="36"/>
          <w:sz w:val="32"/>
          <w:szCs w:val="32"/>
          <w:lang w:val="en-US" w:eastAsia="zh-CN"/>
        </w:rPr>
        <w:t>5.5</w:t>
      </w:r>
      <w:r>
        <w:rPr>
          <w:rFonts w:hint="default" w:ascii="Times New Roman" w:hAnsi="Times New Roman" w:eastAsia="仿宋_GB2312" w:cs="Times New Roman"/>
          <w:color w:val="auto"/>
          <w:kern w:val="36"/>
          <w:sz w:val="32"/>
          <w:szCs w:val="32"/>
        </w:rPr>
        <w:t>%</w:t>
      </w:r>
      <w:r>
        <w:rPr>
          <w:rFonts w:hint="default" w:ascii="Times New Roman" w:hAnsi="Times New Roman" w:eastAsia="仿宋_GB2312" w:cs="Times New Roman"/>
          <w:color w:val="000000"/>
          <w:kern w:val="36"/>
          <w:sz w:val="32"/>
          <w:szCs w:val="32"/>
        </w:rPr>
        <w:t>左右，综合实力大幅提升，进入全省县域经济先进行列。</w:t>
      </w:r>
      <w:r>
        <w:rPr>
          <w:rFonts w:hint="default" w:ascii="Times New Roman" w:hAnsi="Times New Roman" w:cs="Times New Roman"/>
          <w:bCs/>
          <w:color w:val="000000"/>
          <w:kern w:val="36"/>
          <w:sz w:val="32"/>
          <w:szCs w:val="32"/>
        </w:rPr>
        <w:t>发展质量效益明显提升。</w:t>
      </w:r>
      <w:r>
        <w:rPr>
          <w:rFonts w:hint="default" w:ascii="Times New Roman" w:hAnsi="Times New Roman" w:eastAsia="仿宋_GB2312" w:cs="Times New Roman"/>
          <w:color w:val="000000"/>
          <w:kern w:val="36"/>
          <w:sz w:val="32"/>
          <w:szCs w:val="32"/>
        </w:rPr>
        <w:t>转型发展取得显著成效，农业基础更加稳固，工业产业集群更加壮大，服务业发展质量进一步提升，</w:t>
      </w:r>
      <w:r>
        <w:rPr>
          <w:rFonts w:hint="default" w:ascii="Times New Roman" w:hAnsi="Times New Roman" w:eastAsia="仿宋_GB2312" w:cs="Times New Roman"/>
          <w:bCs/>
          <w:color w:val="000000"/>
          <w:sz w:val="32"/>
          <w:szCs w:val="32"/>
        </w:rPr>
        <w:t>新技术、新产品、新业态、新模式</w:t>
      </w:r>
      <w:r>
        <w:rPr>
          <w:rFonts w:hint="default" w:ascii="Times New Roman" w:hAnsi="Times New Roman" w:eastAsia="仿宋_GB2312" w:cs="Times New Roman"/>
          <w:color w:val="000000"/>
          <w:kern w:val="36"/>
          <w:sz w:val="32"/>
          <w:szCs w:val="32"/>
        </w:rPr>
        <w:t>引领作用显著增强；城镇</w:t>
      </w:r>
      <w:r>
        <w:rPr>
          <w:rFonts w:hint="default" w:ascii="Times New Roman" w:hAnsi="Times New Roman" w:eastAsia="仿宋_GB2312" w:cs="Times New Roman"/>
          <w:color w:val="000000"/>
          <w:spacing w:val="8"/>
          <w:kern w:val="36"/>
          <w:sz w:val="32"/>
          <w:szCs w:val="32"/>
        </w:rPr>
        <w:t>化质量显著提高，</w:t>
      </w:r>
      <w:r>
        <w:rPr>
          <w:rFonts w:hint="default" w:ascii="Times New Roman" w:hAnsi="Times New Roman" w:eastAsia="仿宋_GB2312" w:cs="Times New Roman"/>
          <w:color w:val="auto"/>
          <w:spacing w:val="8"/>
          <w:sz w:val="32"/>
          <w:szCs w:val="32"/>
        </w:rPr>
        <w:t>常住人口城镇化率达到60%，</w:t>
      </w:r>
      <w:r>
        <w:rPr>
          <w:rFonts w:hint="default" w:ascii="Times New Roman" w:hAnsi="Times New Roman" w:eastAsia="仿宋_GB2312" w:cs="Times New Roman"/>
          <w:color w:val="000000"/>
          <w:spacing w:val="8"/>
          <w:kern w:val="36"/>
          <w:sz w:val="32"/>
          <w:szCs w:val="32"/>
        </w:rPr>
        <w:t>城乡区域发展更加协调。</w:t>
      </w:r>
      <w:r>
        <w:rPr>
          <w:rFonts w:hint="default" w:ascii="Times New Roman" w:hAnsi="Times New Roman" w:cs="Times New Roman"/>
          <w:bCs/>
          <w:color w:val="000000"/>
          <w:spacing w:val="8"/>
          <w:kern w:val="36"/>
          <w:sz w:val="32"/>
          <w:szCs w:val="32"/>
        </w:rPr>
        <w:t>发展后劲活力显著增强</w:t>
      </w:r>
      <w:r>
        <w:rPr>
          <w:rFonts w:hint="default" w:ascii="Times New Roman" w:hAnsi="Times New Roman" w:eastAsia="仿宋_GB2312" w:cs="Times New Roman"/>
          <w:bCs/>
          <w:color w:val="000000"/>
          <w:spacing w:val="8"/>
          <w:kern w:val="36"/>
          <w:sz w:val="32"/>
          <w:szCs w:val="32"/>
        </w:rPr>
        <w:t>。市场化法治化国际营商环境持续优化，</w:t>
      </w:r>
      <w:r>
        <w:rPr>
          <w:rFonts w:hint="default" w:ascii="Times New Roman" w:hAnsi="Times New Roman" w:eastAsia="仿宋_GB2312" w:cs="Times New Roman"/>
          <w:color w:val="000000"/>
          <w:spacing w:val="8"/>
          <w:kern w:val="36"/>
          <w:sz w:val="32"/>
          <w:szCs w:val="32"/>
        </w:rPr>
        <w:t>融入日韩合作、胶东经济圈一体化发展取得实质性进展，与青岛、烟台、威海等周边城市同城化发展水平显著提升，开放型经济发展迈上新台阶。</w:t>
      </w:r>
      <w:r>
        <w:rPr>
          <w:rFonts w:hint="default" w:ascii="Times New Roman" w:hAnsi="Times New Roman" w:cs="Times New Roman"/>
          <w:bCs/>
          <w:color w:val="000000"/>
          <w:spacing w:val="8"/>
          <w:kern w:val="36"/>
          <w:sz w:val="32"/>
          <w:szCs w:val="32"/>
        </w:rPr>
        <w:t>人民幸福感持续增强。</w:t>
      </w:r>
      <w:r>
        <w:rPr>
          <w:rFonts w:hint="default" w:ascii="Times New Roman" w:hAnsi="Times New Roman" w:eastAsia="仿宋_GB2312" w:cs="Times New Roman"/>
          <w:color w:val="000000"/>
          <w:spacing w:val="8"/>
          <w:kern w:val="36"/>
          <w:sz w:val="32"/>
          <w:szCs w:val="32"/>
        </w:rPr>
        <w:t>人民生活水平和质量达到新水平，实现更加充分、更高质量的就业，居民收入增长和经济增长基本同步，城乡居民收入差距逐步缩小，多层次社会保障体系更加健全；主要污染物排放总量持续减少，生态安全屏障更加牢固，城乡人居环境明显改善。</w:t>
      </w:r>
      <w:r>
        <w:rPr>
          <w:rFonts w:hint="default" w:ascii="Times New Roman" w:hAnsi="Times New Roman" w:cs="Times New Roman"/>
          <w:color w:val="000000"/>
          <w:spacing w:val="8"/>
          <w:kern w:val="36"/>
          <w:sz w:val="32"/>
          <w:szCs w:val="32"/>
        </w:rPr>
        <w:t>社会治理效能显著提升</w:t>
      </w:r>
      <w:r>
        <w:rPr>
          <w:rFonts w:hint="default" w:ascii="Times New Roman" w:hAnsi="Times New Roman" w:eastAsia="仿宋_GB2312" w:cs="Times New Roman"/>
          <w:color w:val="000000"/>
          <w:spacing w:val="8"/>
          <w:kern w:val="36"/>
          <w:sz w:val="32"/>
          <w:szCs w:val="32"/>
        </w:rPr>
        <w:t>。人民思想道德素质、科学文化素质和身心健康素质明显提升，城市文明程度达到新高度，治理体系和治理能力现代化取得积极进展，社会环境更加安定和谐。重点在以</w:t>
      </w:r>
      <w:r>
        <w:rPr>
          <w:rFonts w:hint="default" w:ascii="Times New Roman" w:hAnsi="Times New Roman" w:eastAsia="仿宋_GB2312" w:cs="Times New Roman"/>
          <w:color w:val="000000"/>
          <w:kern w:val="36"/>
          <w:sz w:val="32"/>
          <w:szCs w:val="32"/>
        </w:rPr>
        <w:t>下领域聚焦突破、塑成优势。</w:t>
      </w:r>
    </w:p>
    <w:p>
      <w:pPr>
        <w:keepNext w:val="0"/>
        <w:keepLines w:val="0"/>
        <w:pageBreakBefore w:val="0"/>
        <w:widowControl w:val="0"/>
        <w:kinsoku/>
        <w:wordWrap/>
        <w:overflowPunct/>
        <w:topLinePunct w:val="0"/>
        <w:autoSpaceDE/>
        <w:autoSpaceDN/>
        <w:bidi w:val="0"/>
        <w:adjustRightInd/>
        <w:snapToGrid/>
        <w:spacing w:line="550" w:lineRule="exact"/>
        <w:ind w:firstLine="576"/>
        <w:textAlignment w:val="auto"/>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kern w:val="0"/>
          <w:sz w:val="32"/>
          <w:szCs w:val="32"/>
        </w:rPr>
        <w:t>——制造业强市建设实现重大突破。</w:t>
      </w:r>
      <w:r>
        <w:rPr>
          <w:rFonts w:hint="default" w:ascii="Times New Roman" w:hAnsi="Times New Roman" w:eastAsia="仿宋_GB2312" w:cs="Times New Roman"/>
          <w:bCs/>
          <w:color w:val="000000"/>
          <w:sz w:val="32"/>
          <w:szCs w:val="32"/>
        </w:rPr>
        <w:t>产业基础高级化、产业链条现代化水平明显提高，装备制造、食品加工、纺织服装等传统产业</w:t>
      </w:r>
      <w:r>
        <w:rPr>
          <w:rFonts w:hint="default" w:ascii="Times New Roman" w:hAnsi="Times New Roman" w:eastAsia="仿宋_GB2312" w:cs="Times New Roman"/>
          <w:color w:val="000000"/>
          <w:sz w:val="32"/>
          <w:szCs w:val="32"/>
        </w:rPr>
        <w:t>实现向产业链、创新链、价值链高端延伸，健康文旅、现代海洋、新能源等新兴产业集群初步形成，成为威海市经济高质量发展新增长极。</w:t>
      </w:r>
    </w:p>
    <w:p>
      <w:pPr>
        <w:keepNext w:val="0"/>
        <w:keepLines w:val="0"/>
        <w:pageBreakBefore w:val="0"/>
        <w:widowControl w:val="0"/>
        <w:kinsoku/>
        <w:wordWrap/>
        <w:overflowPunct/>
        <w:topLinePunct w:val="0"/>
        <w:autoSpaceDE/>
        <w:autoSpaceDN/>
        <w:bidi w:val="0"/>
        <w:adjustRightInd/>
        <w:snapToGrid/>
        <w:spacing w:line="550" w:lineRule="exact"/>
        <w:ind w:firstLine="576"/>
        <w:textAlignment w:val="auto"/>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kern w:val="0"/>
          <w:sz w:val="32"/>
          <w:szCs w:val="32"/>
        </w:rPr>
        <w:t>——文化旅游业发展实现重大突破。</w:t>
      </w:r>
      <w:r>
        <w:rPr>
          <w:rFonts w:hint="default" w:ascii="Times New Roman" w:hAnsi="Times New Roman" w:eastAsia="仿宋_GB2312" w:cs="Times New Roman"/>
          <w:color w:val="000000"/>
          <w:sz w:val="32"/>
          <w:szCs w:val="32"/>
        </w:rPr>
        <w:t>文化与旅游融合发展程度逐步加深，红色文化体验之旅、绿色康体养生之旅、蓝色滨海休闲之旅三大旅游板块加速形成，“文旅+”工程取得显著成效，产业融合更加深入，服务环境更加优化，品牌效应更加突出，实现旅游治理规范化、旅游发展全域化、旅游供给品质化、旅游效益最大化，成为具有全国影响力的旅游目的地。</w:t>
      </w:r>
    </w:p>
    <w:p>
      <w:pPr>
        <w:keepNext w:val="0"/>
        <w:keepLines w:val="0"/>
        <w:pageBreakBefore w:val="0"/>
        <w:widowControl w:val="0"/>
        <w:kinsoku/>
        <w:wordWrap/>
        <w:overflowPunct/>
        <w:topLinePunct w:val="0"/>
        <w:autoSpaceDE/>
        <w:autoSpaceDN/>
        <w:bidi w:val="0"/>
        <w:adjustRightInd/>
        <w:snapToGrid/>
        <w:spacing w:line="550" w:lineRule="exact"/>
        <w:ind w:firstLine="576"/>
        <w:textAlignment w:val="auto"/>
        <w:rPr>
          <w:rFonts w:hint="default" w:ascii="Times New Roman" w:hAnsi="Times New Roman" w:cs="Times New Roman"/>
          <w:color w:val="000000"/>
        </w:rPr>
      </w:pPr>
      <w:r>
        <w:rPr>
          <w:rFonts w:hint="default" w:ascii="Times New Roman" w:hAnsi="Times New Roman" w:eastAsia="楷体_GB2312" w:cs="Times New Roman"/>
          <w:color w:val="000000"/>
          <w:kern w:val="0"/>
          <w:sz w:val="32"/>
          <w:szCs w:val="32"/>
        </w:rPr>
        <w:t>——交通设施建设实现重大突破。</w:t>
      </w:r>
      <w:r>
        <w:rPr>
          <w:rFonts w:hint="default" w:ascii="Times New Roman" w:hAnsi="Times New Roman" w:eastAsia="仿宋_GB2312" w:cs="Times New Roman"/>
          <w:color w:val="000000"/>
          <w:kern w:val="0"/>
          <w:sz w:val="32"/>
          <w:szCs w:val="32"/>
        </w:rPr>
        <w:t>莱荣高铁、乳山南站、乳山口大桥、桃威铁路电气化改造、乳山港疏港铁路等重大工程建设顺利推进，“四纵六横”市域路网结构布局基本形成，通用机场规划建设实现突破，内通外达、快速便捷的现代化综合交通体系更加完善，成为胶东经济圈重要交通枢纽城市。</w:t>
      </w:r>
    </w:p>
    <w:p>
      <w:pPr>
        <w:keepNext w:val="0"/>
        <w:keepLines w:val="0"/>
        <w:pageBreakBefore w:val="0"/>
        <w:widowControl w:val="0"/>
        <w:kinsoku/>
        <w:wordWrap/>
        <w:overflowPunct/>
        <w:topLinePunct w:val="0"/>
        <w:autoSpaceDE/>
        <w:autoSpaceDN/>
        <w:bidi w:val="0"/>
        <w:adjustRightInd/>
        <w:snapToGrid/>
        <w:spacing w:line="550" w:lineRule="exact"/>
        <w:ind w:firstLine="576"/>
        <w:textAlignment w:val="auto"/>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kern w:val="0"/>
          <w:sz w:val="32"/>
          <w:szCs w:val="32"/>
        </w:rPr>
        <w:t>——精致城市建设实现重大突破。</w:t>
      </w:r>
      <w:r>
        <w:rPr>
          <w:rFonts w:hint="default" w:ascii="Times New Roman" w:hAnsi="Times New Roman" w:eastAsia="仿宋_GB2312" w:cs="Times New Roman"/>
          <w:color w:val="000000"/>
          <w:kern w:val="0"/>
          <w:sz w:val="32"/>
          <w:szCs w:val="32"/>
        </w:rPr>
        <w:t>主城区、滨海新区、经济开发区融合发展取得显著成效，高铁片区、临港片区、海湾新城等重点区域加速崛起，城市发展格局更加清晰，城市功能品质大幅提升，城市精细化管理能力不断增强，</w:t>
      </w:r>
      <w:r>
        <w:rPr>
          <w:rFonts w:hint="default" w:ascii="Times New Roman" w:hAnsi="Times New Roman" w:eastAsia="仿宋_GB2312" w:cs="Times New Roman"/>
          <w:color w:val="000000"/>
          <w:sz w:val="32"/>
          <w:szCs w:val="32"/>
        </w:rPr>
        <w:t>“母爱圣地</w:t>
      </w:r>
      <w:r>
        <w:rPr>
          <w:rFonts w:hint="default" w:ascii="Times New Roman" w:hAnsi="Times New Roman" w:eastAsia="仿宋_GB2312" w:cs="Times New Roman"/>
          <w:b/>
          <w:bCs/>
          <w:color w:val="000000"/>
          <w:sz w:val="32"/>
          <w:szCs w:val="32"/>
        </w:rPr>
        <w:t>·</w:t>
      </w:r>
      <w:r>
        <w:rPr>
          <w:rFonts w:hint="default" w:ascii="Times New Roman" w:hAnsi="Times New Roman" w:eastAsia="仿宋_GB2312" w:cs="Times New Roman"/>
          <w:color w:val="000000"/>
          <w:sz w:val="32"/>
          <w:szCs w:val="32"/>
        </w:rPr>
        <w:t>美好乳山”精致城市名片更加靓丽</w:t>
      </w:r>
      <w:r>
        <w:rPr>
          <w:rFonts w:hint="default" w:ascii="Times New Roman" w:hAnsi="Times New Roman" w:eastAsia="仿宋_GB2312" w:cs="Times New Roman"/>
          <w:color w:val="000000"/>
          <w:kern w:val="0"/>
          <w:sz w:val="32"/>
          <w:szCs w:val="32"/>
        </w:rPr>
        <w:t>。</w:t>
      </w:r>
    </w:p>
    <w:p>
      <w:pPr>
        <w:keepNext w:val="0"/>
        <w:keepLines w:val="0"/>
        <w:pageBreakBefore w:val="0"/>
        <w:widowControl w:val="0"/>
        <w:kinsoku/>
        <w:wordWrap/>
        <w:overflowPunct/>
        <w:topLinePunct w:val="0"/>
        <w:autoSpaceDE/>
        <w:autoSpaceDN/>
        <w:bidi w:val="0"/>
        <w:adjustRightInd/>
        <w:snapToGrid/>
        <w:spacing w:line="550" w:lineRule="exact"/>
        <w:ind w:firstLine="576"/>
        <w:textAlignment w:val="auto"/>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kern w:val="0"/>
          <w:sz w:val="32"/>
          <w:szCs w:val="32"/>
        </w:rPr>
        <w:t>——乡村振兴实现重大突破。</w:t>
      </w:r>
      <w:r>
        <w:rPr>
          <w:rFonts w:hint="default" w:ascii="Times New Roman" w:hAnsi="Times New Roman" w:eastAsia="仿宋_GB2312" w:cs="Times New Roman"/>
          <w:color w:val="000000"/>
          <w:sz w:val="32"/>
          <w:szCs w:val="32"/>
        </w:rPr>
        <w:t>农业农村基础更加稳固，农村一二三产业深度融合发展，农业结构和布局更加优化，农业质量效益和竞争力加快提高，创建成为国家农产品质量安全城市、国家食品安全城市，乡村建设行动稳步推进，农村</w:t>
      </w:r>
      <w:r>
        <w:rPr>
          <w:rFonts w:hint="default" w:ascii="Times New Roman" w:hAnsi="Times New Roman" w:eastAsia="仿宋_GB2312" w:cs="Times New Roman"/>
          <w:color w:val="000000"/>
          <w:kern w:val="0"/>
          <w:sz w:val="32"/>
          <w:szCs w:val="32"/>
        </w:rPr>
        <w:t>人居环境持续改善，成为乡村振兴齐鲁样板建设排头兵。</w:t>
      </w:r>
    </w:p>
    <w:p>
      <w:pPr>
        <w:keepNext w:val="0"/>
        <w:keepLines w:val="0"/>
        <w:pageBreakBefore w:val="0"/>
        <w:widowControl w:val="0"/>
        <w:kinsoku/>
        <w:wordWrap/>
        <w:overflowPunct/>
        <w:topLinePunct w:val="0"/>
        <w:autoSpaceDE/>
        <w:autoSpaceDN/>
        <w:bidi w:val="0"/>
        <w:adjustRightInd/>
        <w:snapToGrid/>
        <w:spacing w:after="157" w:afterLines="50" w:line="550" w:lineRule="exact"/>
        <w:ind w:firstLine="578"/>
        <w:textAlignment w:val="auto"/>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kern w:val="0"/>
          <w:sz w:val="32"/>
          <w:szCs w:val="32"/>
        </w:rPr>
        <w:t>——海洋强市建设实现重大突破</w:t>
      </w:r>
      <w:r>
        <w:rPr>
          <w:rFonts w:hint="default" w:ascii="Times New Roman" w:hAnsi="Times New Roman" w:eastAsia="仿宋_GB2312" w:cs="Times New Roman"/>
          <w:color w:val="000000"/>
          <w:sz w:val="32"/>
          <w:szCs w:val="32"/>
        </w:rPr>
        <w:t>。海岸带整治修复、海洋牧场建设、牡蛎产业链条延伸、海洋科技发展、海工装备制造取得显著成效，乳山港建设取得重大进展，现代海洋产业体系更加完善，海洋科技创新能力显著增强，海洋开发和综合管理能力大幅提升，成为全省蓝色经济发展新高地。</w:t>
      </w:r>
    </w:p>
    <w:tbl>
      <w:tblPr>
        <w:tblStyle w:val="20"/>
        <w:tblpPr w:leftFromText="180" w:rightFromText="180" w:vertAnchor="text" w:horzAnchor="page" w:tblpX="1711" w:tblpY="63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3685"/>
        <w:gridCol w:w="823"/>
        <w:gridCol w:w="1022"/>
        <w:gridCol w:w="1378"/>
        <w:gridCol w:w="1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trPr>
        <w:tc>
          <w:tcPr>
            <w:tcW w:w="735" w:type="dxa"/>
            <w:noWrap w:val="0"/>
            <w:vAlign w:val="center"/>
          </w:tcPr>
          <w:p>
            <w:pPr>
              <w:spacing w:line="280" w:lineRule="exact"/>
              <w:jc w:val="center"/>
              <w:rPr>
                <w:rFonts w:hint="default" w:ascii="Times New Roman" w:hAnsi="Times New Roman" w:eastAsia="黑体" w:cs="Times New Roman"/>
                <w:b/>
                <w:bCs/>
                <w:sz w:val="24"/>
                <w:szCs w:val="24"/>
              </w:rPr>
            </w:pPr>
            <w:r>
              <w:rPr>
                <w:rFonts w:hint="default" w:ascii="Times New Roman" w:hAnsi="Times New Roman" w:eastAsia="黑体" w:cs="Times New Roman"/>
                <w:b/>
                <w:bCs/>
                <w:sz w:val="24"/>
                <w:szCs w:val="24"/>
              </w:rPr>
              <w:t>类别</w:t>
            </w:r>
          </w:p>
        </w:tc>
        <w:tc>
          <w:tcPr>
            <w:tcW w:w="3685" w:type="dxa"/>
            <w:noWrap w:val="0"/>
            <w:vAlign w:val="center"/>
          </w:tcPr>
          <w:p>
            <w:pPr>
              <w:spacing w:line="280" w:lineRule="exact"/>
              <w:jc w:val="center"/>
              <w:rPr>
                <w:rFonts w:hint="default" w:ascii="Times New Roman" w:hAnsi="Times New Roman" w:eastAsia="黑体" w:cs="Times New Roman"/>
                <w:b/>
                <w:bCs/>
                <w:sz w:val="24"/>
                <w:szCs w:val="24"/>
              </w:rPr>
            </w:pPr>
            <w:r>
              <w:rPr>
                <w:rFonts w:hint="default" w:ascii="Times New Roman" w:hAnsi="Times New Roman" w:eastAsia="黑体" w:cs="Times New Roman"/>
                <w:b/>
                <w:bCs/>
                <w:sz w:val="24"/>
                <w:szCs w:val="24"/>
              </w:rPr>
              <w:t>指标（单位）</w:t>
            </w:r>
          </w:p>
        </w:tc>
        <w:tc>
          <w:tcPr>
            <w:tcW w:w="823" w:type="dxa"/>
            <w:noWrap w:val="0"/>
            <w:vAlign w:val="center"/>
          </w:tcPr>
          <w:p>
            <w:pPr>
              <w:spacing w:line="280" w:lineRule="exact"/>
              <w:jc w:val="center"/>
              <w:rPr>
                <w:rFonts w:hint="default" w:ascii="Times New Roman" w:hAnsi="Times New Roman" w:eastAsia="黑体" w:cs="Times New Roman"/>
                <w:b/>
                <w:bCs/>
                <w:sz w:val="24"/>
                <w:szCs w:val="24"/>
              </w:rPr>
            </w:pPr>
            <w:r>
              <w:rPr>
                <w:rFonts w:hint="default" w:ascii="Times New Roman" w:hAnsi="Times New Roman" w:eastAsia="黑体" w:cs="Times New Roman"/>
                <w:b/>
                <w:bCs/>
                <w:sz w:val="24"/>
                <w:szCs w:val="24"/>
              </w:rPr>
              <w:t>2020年</w:t>
            </w:r>
          </w:p>
        </w:tc>
        <w:tc>
          <w:tcPr>
            <w:tcW w:w="1022" w:type="dxa"/>
            <w:noWrap w:val="0"/>
            <w:vAlign w:val="center"/>
          </w:tcPr>
          <w:p>
            <w:pPr>
              <w:spacing w:line="280" w:lineRule="exact"/>
              <w:jc w:val="center"/>
              <w:rPr>
                <w:rFonts w:hint="default" w:ascii="Times New Roman" w:hAnsi="Times New Roman" w:eastAsia="黑体" w:cs="Times New Roman"/>
                <w:b/>
                <w:bCs/>
                <w:sz w:val="24"/>
                <w:szCs w:val="24"/>
              </w:rPr>
            </w:pPr>
            <w:r>
              <w:rPr>
                <w:rFonts w:hint="default" w:ascii="Times New Roman" w:hAnsi="Times New Roman" w:eastAsia="黑体" w:cs="Times New Roman"/>
                <w:b/>
                <w:bCs/>
                <w:sz w:val="24"/>
                <w:szCs w:val="24"/>
              </w:rPr>
              <w:t>2025年</w:t>
            </w:r>
          </w:p>
        </w:tc>
        <w:tc>
          <w:tcPr>
            <w:tcW w:w="1378" w:type="dxa"/>
            <w:noWrap w:val="0"/>
            <w:vAlign w:val="center"/>
          </w:tcPr>
          <w:p>
            <w:pPr>
              <w:spacing w:line="280" w:lineRule="exact"/>
              <w:jc w:val="center"/>
              <w:rPr>
                <w:rFonts w:hint="default" w:ascii="Times New Roman" w:hAnsi="Times New Roman" w:eastAsia="黑体" w:cs="Times New Roman"/>
                <w:b/>
                <w:bCs/>
                <w:sz w:val="24"/>
                <w:szCs w:val="24"/>
              </w:rPr>
            </w:pPr>
            <w:r>
              <w:rPr>
                <w:rFonts w:hint="default" w:ascii="Times New Roman" w:hAnsi="Times New Roman" w:eastAsia="黑体" w:cs="Times New Roman"/>
                <w:b/>
                <w:bCs/>
                <w:sz w:val="24"/>
                <w:szCs w:val="24"/>
              </w:rPr>
              <w:t>年均增速/[累计]</w:t>
            </w:r>
          </w:p>
        </w:tc>
        <w:tc>
          <w:tcPr>
            <w:tcW w:w="1054" w:type="dxa"/>
            <w:noWrap w:val="0"/>
            <w:vAlign w:val="center"/>
          </w:tcPr>
          <w:p>
            <w:pPr>
              <w:spacing w:line="280" w:lineRule="exact"/>
              <w:jc w:val="center"/>
              <w:rPr>
                <w:rFonts w:hint="default" w:ascii="Times New Roman" w:hAnsi="Times New Roman" w:eastAsia="黑体" w:cs="Times New Roman"/>
                <w:b/>
                <w:bCs/>
                <w:sz w:val="24"/>
                <w:szCs w:val="24"/>
                <w:lang w:eastAsia="zh-CN"/>
              </w:rPr>
            </w:pPr>
            <w:r>
              <w:rPr>
                <w:rFonts w:hint="default" w:ascii="Times New Roman" w:hAnsi="Times New Roman" w:eastAsia="黑体" w:cs="Times New Roman"/>
                <w:b/>
                <w:bCs/>
                <w:sz w:val="24"/>
                <w:szCs w:val="24"/>
                <w:lang w:eastAsia="zh-CN"/>
              </w:rPr>
              <w:t>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735" w:type="dxa"/>
            <w:vMerge w:val="restart"/>
            <w:noWrap w:val="0"/>
            <w:vAlign w:val="center"/>
          </w:tcPr>
          <w:p>
            <w:pPr>
              <w:spacing w:line="280" w:lineRule="exact"/>
              <w:jc w:val="center"/>
              <w:rPr>
                <w:rFonts w:hint="default" w:ascii="Times New Roman" w:hAnsi="Times New Roman" w:eastAsia="宋体" w:cs="Times New Roman"/>
                <w:b/>
                <w:bCs/>
                <w:sz w:val="15"/>
                <w:szCs w:val="15"/>
              </w:rPr>
            </w:pPr>
            <w:r>
              <w:rPr>
                <w:rFonts w:hint="default" w:ascii="Times New Roman" w:hAnsi="Times New Roman" w:eastAsia="宋体" w:cs="Times New Roman"/>
                <w:b/>
                <w:bCs/>
                <w:sz w:val="15"/>
                <w:szCs w:val="15"/>
              </w:rPr>
              <w:t>经济</w:t>
            </w:r>
          </w:p>
          <w:p>
            <w:pPr>
              <w:spacing w:line="280" w:lineRule="exact"/>
              <w:jc w:val="center"/>
              <w:rPr>
                <w:rFonts w:hint="default" w:ascii="Times New Roman" w:hAnsi="Times New Roman" w:eastAsia="宋体" w:cs="Times New Roman"/>
                <w:b/>
                <w:bCs/>
                <w:sz w:val="15"/>
                <w:szCs w:val="15"/>
              </w:rPr>
            </w:pPr>
            <w:r>
              <w:rPr>
                <w:rFonts w:hint="default" w:ascii="Times New Roman" w:hAnsi="Times New Roman" w:eastAsia="宋体" w:cs="Times New Roman"/>
                <w:b/>
                <w:bCs/>
                <w:sz w:val="15"/>
                <w:szCs w:val="15"/>
              </w:rPr>
              <w:t>发展</w:t>
            </w:r>
          </w:p>
        </w:tc>
        <w:tc>
          <w:tcPr>
            <w:tcW w:w="3685" w:type="dxa"/>
            <w:noWrap w:val="0"/>
            <w:vAlign w:val="center"/>
          </w:tcPr>
          <w:p>
            <w:pPr>
              <w:spacing w:line="280" w:lineRule="exact"/>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（1）地区生产总值</w:t>
            </w:r>
            <w:r>
              <w:rPr>
                <w:rFonts w:hint="default" w:ascii="Times New Roman" w:hAnsi="Times New Roman" w:eastAsia="宋体" w:cs="Times New Roman"/>
                <w:b/>
                <w:bCs/>
                <w:sz w:val="18"/>
                <w:szCs w:val="18"/>
                <w:lang w:eastAsia="zh-CN"/>
              </w:rPr>
              <w:t>增速</w:t>
            </w:r>
            <w:r>
              <w:rPr>
                <w:rFonts w:hint="default" w:ascii="Times New Roman" w:hAnsi="Times New Roman" w:eastAsia="宋体" w:cs="Times New Roman"/>
                <w:b/>
                <w:bCs/>
                <w:sz w:val="18"/>
                <w:szCs w:val="18"/>
              </w:rPr>
              <w:t>（</w:t>
            </w:r>
            <w:r>
              <w:rPr>
                <w:rFonts w:hint="default" w:ascii="Times New Roman" w:hAnsi="Times New Roman" w:eastAsia="宋体" w:cs="Times New Roman"/>
                <w:b/>
                <w:bCs/>
                <w:sz w:val="18"/>
                <w:szCs w:val="18"/>
                <w:lang w:val="en-US" w:eastAsia="zh-CN"/>
              </w:rPr>
              <w:t>%</w:t>
            </w:r>
            <w:r>
              <w:rPr>
                <w:rFonts w:hint="default" w:ascii="Times New Roman" w:hAnsi="Times New Roman" w:eastAsia="宋体" w:cs="Times New Roman"/>
                <w:b/>
                <w:bCs/>
                <w:sz w:val="18"/>
                <w:szCs w:val="18"/>
              </w:rPr>
              <w:t>）</w:t>
            </w:r>
          </w:p>
        </w:tc>
        <w:tc>
          <w:tcPr>
            <w:tcW w:w="823" w:type="dxa"/>
            <w:noWrap w:val="0"/>
            <w:vAlign w:val="center"/>
          </w:tcPr>
          <w:p>
            <w:pPr>
              <w:spacing w:line="280" w:lineRule="exact"/>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2.1</w:t>
            </w:r>
          </w:p>
        </w:tc>
        <w:tc>
          <w:tcPr>
            <w:tcW w:w="1022" w:type="dxa"/>
            <w:noWrap w:val="0"/>
            <w:vAlign w:val="center"/>
          </w:tcPr>
          <w:p>
            <w:pPr>
              <w:spacing w:line="280" w:lineRule="exact"/>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w:t>
            </w:r>
          </w:p>
        </w:tc>
        <w:tc>
          <w:tcPr>
            <w:tcW w:w="1378" w:type="dxa"/>
            <w:noWrap w:val="0"/>
            <w:vAlign w:val="center"/>
          </w:tcPr>
          <w:p>
            <w:pPr>
              <w:spacing w:line="280" w:lineRule="exact"/>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5.5左右</w:t>
            </w:r>
          </w:p>
        </w:tc>
        <w:tc>
          <w:tcPr>
            <w:tcW w:w="1054" w:type="dxa"/>
            <w:noWrap w:val="0"/>
            <w:vAlign w:val="center"/>
          </w:tcPr>
          <w:p>
            <w:pPr>
              <w:spacing w:line="280" w:lineRule="exact"/>
              <w:jc w:val="center"/>
              <w:rPr>
                <w:rFonts w:hint="default" w:ascii="Times New Roman" w:hAnsi="Times New Roman" w:eastAsia="宋体" w:cs="Times New Roman"/>
                <w:b/>
                <w:bCs/>
                <w:sz w:val="18"/>
                <w:szCs w:val="18"/>
                <w:lang w:eastAsia="zh-CN"/>
              </w:rPr>
            </w:pPr>
            <w:r>
              <w:rPr>
                <w:rFonts w:hint="default" w:ascii="Times New Roman" w:hAnsi="Times New Roman" w:eastAsia="宋体" w:cs="Times New Roman"/>
                <w:b/>
                <w:bCs/>
                <w:sz w:val="18"/>
                <w:szCs w:val="18"/>
                <w:lang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735" w:type="dxa"/>
            <w:vMerge w:val="continue"/>
            <w:noWrap w:val="0"/>
            <w:vAlign w:val="center"/>
          </w:tcPr>
          <w:p>
            <w:pPr>
              <w:spacing w:line="280" w:lineRule="exact"/>
              <w:jc w:val="center"/>
              <w:rPr>
                <w:rFonts w:hint="default" w:ascii="Times New Roman" w:hAnsi="Times New Roman" w:eastAsia="宋体" w:cs="Times New Roman"/>
                <w:b/>
                <w:bCs/>
                <w:sz w:val="15"/>
                <w:szCs w:val="15"/>
              </w:rPr>
            </w:pPr>
          </w:p>
        </w:tc>
        <w:tc>
          <w:tcPr>
            <w:tcW w:w="3685" w:type="dxa"/>
            <w:noWrap w:val="0"/>
            <w:vAlign w:val="center"/>
          </w:tcPr>
          <w:p>
            <w:pPr>
              <w:spacing w:line="280" w:lineRule="exact"/>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rPr>
              <w:t>（</w:t>
            </w:r>
            <w:r>
              <w:rPr>
                <w:rFonts w:hint="default" w:ascii="Times New Roman" w:hAnsi="Times New Roman" w:eastAsia="宋体" w:cs="Times New Roman"/>
                <w:b/>
                <w:bCs/>
                <w:sz w:val="18"/>
                <w:szCs w:val="18"/>
                <w:lang w:val="en-US" w:eastAsia="zh-CN"/>
              </w:rPr>
              <w:t>2</w:t>
            </w:r>
            <w:r>
              <w:rPr>
                <w:rFonts w:hint="default" w:ascii="Times New Roman" w:hAnsi="Times New Roman" w:eastAsia="宋体" w:cs="Times New Roman"/>
                <w:b/>
                <w:bCs/>
                <w:sz w:val="18"/>
                <w:szCs w:val="18"/>
              </w:rPr>
              <w:t>）常住人口城镇化率（%）</w:t>
            </w:r>
          </w:p>
        </w:tc>
        <w:tc>
          <w:tcPr>
            <w:tcW w:w="823" w:type="dxa"/>
            <w:noWrap w:val="0"/>
            <w:vAlign w:val="center"/>
          </w:tcPr>
          <w:p>
            <w:pPr>
              <w:spacing w:line="280" w:lineRule="exact"/>
              <w:jc w:val="center"/>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lang w:val="en-US" w:eastAsia="zh-CN"/>
              </w:rPr>
              <w:t>54.5</w:t>
            </w:r>
          </w:p>
        </w:tc>
        <w:tc>
          <w:tcPr>
            <w:tcW w:w="1022" w:type="dxa"/>
            <w:noWrap w:val="0"/>
            <w:vAlign w:val="center"/>
          </w:tcPr>
          <w:p>
            <w:pPr>
              <w:spacing w:line="280" w:lineRule="exact"/>
              <w:jc w:val="center"/>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lang w:val="en-US" w:eastAsia="zh-CN"/>
              </w:rPr>
              <w:t>60</w:t>
            </w:r>
          </w:p>
        </w:tc>
        <w:tc>
          <w:tcPr>
            <w:tcW w:w="1378" w:type="dxa"/>
            <w:noWrap w:val="0"/>
            <w:vAlign w:val="center"/>
          </w:tcPr>
          <w:p>
            <w:pPr>
              <w:spacing w:line="280" w:lineRule="exact"/>
              <w:jc w:val="center"/>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lang w:val="en-US" w:eastAsia="zh-CN"/>
              </w:rPr>
              <w:t>[5.5]</w:t>
            </w:r>
          </w:p>
        </w:tc>
        <w:tc>
          <w:tcPr>
            <w:tcW w:w="1054" w:type="dxa"/>
            <w:noWrap w:val="0"/>
            <w:vAlign w:val="center"/>
          </w:tcPr>
          <w:p>
            <w:pPr>
              <w:spacing w:line="280" w:lineRule="exact"/>
              <w:jc w:val="center"/>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lang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735" w:type="dxa"/>
            <w:vMerge w:val="continue"/>
            <w:noWrap w:val="0"/>
            <w:vAlign w:val="center"/>
          </w:tcPr>
          <w:p>
            <w:pPr>
              <w:spacing w:line="280" w:lineRule="exact"/>
              <w:jc w:val="center"/>
              <w:rPr>
                <w:rFonts w:hint="default" w:ascii="Times New Roman" w:hAnsi="Times New Roman" w:eastAsia="宋体" w:cs="Times New Roman"/>
                <w:b/>
                <w:bCs/>
                <w:sz w:val="15"/>
                <w:szCs w:val="15"/>
              </w:rPr>
            </w:pPr>
          </w:p>
        </w:tc>
        <w:tc>
          <w:tcPr>
            <w:tcW w:w="3685" w:type="dxa"/>
            <w:noWrap w:val="0"/>
            <w:vAlign w:val="center"/>
          </w:tcPr>
          <w:p>
            <w:pPr>
              <w:spacing w:line="280" w:lineRule="exact"/>
              <w:rPr>
                <w:rFonts w:hint="default" w:ascii="Times New Roman" w:hAnsi="Times New Roman" w:eastAsia="宋体" w:cs="Times New Roman"/>
                <w:b/>
                <w:bCs/>
                <w:sz w:val="18"/>
                <w:szCs w:val="18"/>
                <w:lang w:eastAsia="zh-CN"/>
              </w:rPr>
            </w:pPr>
            <w:r>
              <w:rPr>
                <w:rFonts w:hint="default" w:ascii="Times New Roman" w:hAnsi="Times New Roman" w:eastAsia="宋体" w:cs="Times New Roman"/>
                <w:b/>
                <w:bCs/>
                <w:sz w:val="18"/>
                <w:szCs w:val="18"/>
                <w:lang w:eastAsia="zh-CN"/>
              </w:rPr>
              <w:t>（</w:t>
            </w:r>
            <w:r>
              <w:rPr>
                <w:rFonts w:hint="default" w:ascii="Times New Roman" w:hAnsi="Times New Roman" w:eastAsia="宋体" w:cs="Times New Roman"/>
                <w:b/>
                <w:bCs/>
                <w:sz w:val="18"/>
                <w:szCs w:val="18"/>
                <w:lang w:val="en-US" w:eastAsia="zh-CN"/>
              </w:rPr>
              <w:t>3</w:t>
            </w:r>
            <w:r>
              <w:rPr>
                <w:rFonts w:hint="default" w:ascii="Times New Roman" w:hAnsi="Times New Roman" w:eastAsia="宋体" w:cs="Times New Roman"/>
                <w:b/>
                <w:bCs/>
                <w:sz w:val="18"/>
                <w:szCs w:val="18"/>
                <w:lang w:eastAsia="zh-CN"/>
              </w:rPr>
              <w:t>）全员劳动生产率增速（</w:t>
            </w:r>
            <w:r>
              <w:rPr>
                <w:rFonts w:hint="default" w:ascii="Times New Roman" w:hAnsi="Times New Roman" w:eastAsia="宋体" w:cs="Times New Roman"/>
                <w:b/>
                <w:bCs/>
                <w:sz w:val="18"/>
                <w:szCs w:val="18"/>
                <w:lang w:val="en-US" w:eastAsia="zh-CN"/>
              </w:rPr>
              <w:t>%</w:t>
            </w:r>
            <w:r>
              <w:rPr>
                <w:rFonts w:hint="default" w:ascii="Times New Roman" w:hAnsi="Times New Roman" w:eastAsia="宋体" w:cs="Times New Roman"/>
                <w:b/>
                <w:bCs/>
                <w:sz w:val="18"/>
                <w:szCs w:val="18"/>
                <w:lang w:eastAsia="zh-CN"/>
              </w:rPr>
              <w:t>）</w:t>
            </w:r>
          </w:p>
        </w:tc>
        <w:tc>
          <w:tcPr>
            <w:tcW w:w="823" w:type="dxa"/>
            <w:noWrap w:val="0"/>
            <w:vAlign w:val="center"/>
          </w:tcPr>
          <w:p>
            <w:pPr>
              <w:spacing w:line="280" w:lineRule="exact"/>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w:t>
            </w:r>
          </w:p>
        </w:tc>
        <w:tc>
          <w:tcPr>
            <w:tcW w:w="1022" w:type="dxa"/>
            <w:noWrap w:val="0"/>
            <w:vAlign w:val="center"/>
          </w:tcPr>
          <w:p>
            <w:pPr>
              <w:spacing w:line="280" w:lineRule="exact"/>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w:t>
            </w:r>
          </w:p>
        </w:tc>
        <w:tc>
          <w:tcPr>
            <w:tcW w:w="1378" w:type="dxa"/>
            <w:noWrap w:val="0"/>
            <w:vAlign w:val="center"/>
          </w:tcPr>
          <w:p>
            <w:pPr>
              <w:spacing w:line="280" w:lineRule="exact"/>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＞5</w:t>
            </w:r>
          </w:p>
        </w:tc>
        <w:tc>
          <w:tcPr>
            <w:tcW w:w="1054" w:type="dxa"/>
            <w:noWrap w:val="0"/>
            <w:vAlign w:val="center"/>
          </w:tcPr>
          <w:p>
            <w:pPr>
              <w:spacing w:line="280" w:lineRule="exact"/>
              <w:jc w:val="center"/>
              <w:rPr>
                <w:rFonts w:hint="default" w:ascii="Times New Roman" w:hAnsi="Times New Roman" w:eastAsia="宋体" w:cs="Times New Roman"/>
                <w:b/>
                <w:bCs/>
                <w:sz w:val="18"/>
                <w:szCs w:val="18"/>
                <w:lang w:eastAsia="zh-CN"/>
              </w:rPr>
            </w:pPr>
            <w:r>
              <w:rPr>
                <w:rFonts w:hint="default" w:ascii="Times New Roman" w:hAnsi="Times New Roman" w:eastAsia="宋体" w:cs="Times New Roman"/>
                <w:b/>
                <w:bCs/>
                <w:sz w:val="18"/>
                <w:szCs w:val="18"/>
                <w:lang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35" w:type="dxa"/>
            <w:vMerge w:val="continue"/>
            <w:noWrap w:val="0"/>
            <w:vAlign w:val="center"/>
          </w:tcPr>
          <w:p>
            <w:pPr>
              <w:spacing w:line="280" w:lineRule="exact"/>
              <w:jc w:val="center"/>
              <w:rPr>
                <w:rFonts w:hint="default" w:ascii="Times New Roman" w:hAnsi="Times New Roman" w:eastAsia="宋体" w:cs="Times New Roman"/>
                <w:b/>
                <w:bCs/>
                <w:sz w:val="15"/>
                <w:szCs w:val="15"/>
              </w:rPr>
            </w:pPr>
          </w:p>
        </w:tc>
        <w:tc>
          <w:tcPr>
            <w:tcW w:w="3685" w:type="dxa"/>
            <w:noWrap w:val="0"/>
            <w:vAlign w:val="center"/>
          </w:tcPr>
          <w:p>
            <w:pPr>
              <w:spacing w:line="280" w:lineRule="exact"/>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rPr>
              <w:t>（</w:t>
            </w:r>
            <w:r>
              <w:rPr>
                <w:rFonts w:hint="default" w:ascii="Times New Roman" w:hAnsi="Times New Roman" w:eastAsia="宋体" w:cs="Times New Roman"/>
                <w:b/>
                <w:bCs/>
                <w:sz w:val="18"/>
                <w:szCs w:val="18"/>
                <w:lang w:val="en-US" w:eastAsia="zh-CN"/>
              </w:rPr>
              <w:t>4</w:t>
            </w:r>
            <w:r>
              <w:rPr>
                <w:rFonts w:hint="default" w:ascii="Times New Roman" w:hAnsi="Times New Roman" w:eastAsia="宋体" w:cs="Times New Roman"/>
                <w:b/>
                <w:bCs/>
                <w:sz w:val="18"/>
                <w:szCs w:val="18"/>
              </w:rPr>
              <w:t>）“四新”经济</w:t>
            </w:r>
            <w:r>
              <w:rPr>
                <w:rFonts w:hint="default" w:ascii="Times New Roman" w:hAnsi="Times New Roman" w:eastAsia="宋体" w:cs="Times New Roman"/>
                <w:b/>
                <w:bCs/>
                <w:sz w:val="18"/>
                <w:szCs w:val="18"/>
                <w:lang w:eastAsia="zh-CN"/>
              </w:rPr>
              <w:t>增加值</w:t>
            </w:r>
            <w:r>
              <w:rPr>
                <w:rFonts w:hint="default" w:ascii="Times New Roman" w:hAnsi="Times New Roman" w:eastAsia="宋体" w:cs="Times New Roman"/>
                <w:b/>
                <w:bCs/>
                <w:sz w:val="18"/>
                <w:szCs w:val="18"/>
              </w:rPr>
              <w:t>占比（%）</w:t>
            </w:r>
          </w:p>
        </w:tc>
        <w:tc>
          <w:tcPr>
            <w:tcW w:w="823" w:type="dxa"/>
            <w:noWrap w:val="0"/>
            <w:vAlign w:val="center"/>
          </w:tcPr>
          <w:p>
            <w:pPr>
              <w:spacing w:line="280" w:lineRule="exact"/>
              <w:jc w:val="center"/>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lang w:val="en-US" w:eastAsia="zh-CN"/>
              </w:rPr>
              <w:t>31</w:t>
            </w:r>
          </w:p>
        </w:tc>
        <w:tc>
          <w:tcPr>
            <w:tcW w:w="1022" w:type="dxa"/>
            <w:noWrap w:val="0"/>
            <w:vAlign w:val="center"/>
          </w:tcPr>
          <w:p>
            <w:pPr>
              <w:spacing w:line="280" w:lineRule="exact"/>
              <w:jc w:val="center"/>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lang w:val="en-US" w:eastAsia="zh-CN"/>
              </w:rPr>
              <w:t>36</w:t>
            </w:r>
          </w:p>
        </w:tc>
        <w:tc>
          <w:tcPr>
            <w:tcW w:w="1378" w:type="dxa"/>
            <w:noWrap w:val="0"/>
            <w:vAlign w:val="center"/>
          </w:tcPr>
          <w:p>
            <w:pPr>
              <w:spacing w:line="280" w:lineRule="exact"/>
              <w:jc w:val="center"/>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lang w:val="en-US" w:eastAsia="zh-CN"/>
              </w:rPr>
              <w:t>[5]</w:t>
            </w:r>
          </w:p>
        </w:tc>
        <w:tc>
          <w:tcPr>
            <w:tcW w:w="1054" w:type="dxa"/>
            <w:noWrap w:val="0"/>
            <w:vAlign w:val="center"/>
          </w:tcPr>
          <w:p>
            <w:pPr>
              <w:spacing w:line="280" w:lineRule="exact"/>
              <w:jc w:val="center"/>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lang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7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b/>
                <w:bCs/>
                <w:sz w:val="15"/>
                <w:szCs w:val="15"/>
              </w:rPr>
            </w:pPr>
          </w:p>
        </w:tc>
        <w:tc>
          <w:tcPr>
            <w:tcW w:w="3685" w:type="dxa"/>
            <w:noWrap w:val="0"/>
            <w:vAlign w:val="center"/>
          </w:tcPr>
          <w:p>
            <w:pPr>
              <w:spacing w:line="280" w:lineRule="exact"/>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rPr>
              <w:t>（</w:t>
            </w:r>
            <w:r>
              <w:rPr>
                <w:rFonts w:hint="default" w:ascii="Times New Roman" w:hAnsi="Times New Roman" w:eastAsia="宋体" w:cs="Times New Roman"/>
                <w:b/>
                <w:bCs/>
                <w:sz w:val="18"/>
                <w:szCs w:val="18"/>
                <w:lang w:val="en-US" w:eastAsia="zh-CN"/>
              </w:rPr>
              <w:t>5</w:t>
            </w:r>
            <w:r>
              <w:rPr>
                <w:rFonts w:hint="default" w:ascii="Times New Roman" w:hAnsi="Times New Roman" w:eastAsia="宋体" w:cs="Times New Roman"/>
                <w:b/>
                <w:bCs/>
                <w:sz w:val="18"/>
                <w:szCs w:val="18"/>
              </w:rPr>
              <w:t>）海洋经济增加值占</w:t>
            </w:r>
            <w:r>
              <w:rPr>
                <w:rFonts w:hint="default" w:ascii="Times New Roman" w:hAnsi="Times New Roman" w:eastAsia="宋体" w:cs="Times New Roman"/>
                <w:b/>
                <w:bCs/>
                <w:sz w:val="18"/>
                <w:szCs w:val="18"/>
                <w:lang w:eastAsia="zh-CN"/>
              </w:rPr>
              <w:t>地区生产总值</w:t>
            </w:r>
            <w:r>
              <w:rPr>
                <w:rFonts w:hint="default" w:ascii="Times New Roman" w:hAnsi="Times New Roman" w:eastAsia="宋体" w:cs="Times New Roman"/>
                <w:b/>
                <w:bCs/>
                <w:sz w:val="18"/>
                <w:szCs w:val="18"/>
              </w:rPr>
              <w:t>比重（%）</w:t>
            </w:r>
          </w:p>
        </w:tc>
        <w:tc>
          <w:tcPr>
            <w:tcW w:w="823" w:type="dxa"/>
            <w:noWrap w:val="0"/>
            <w:vAlign w:val="center"/>
          </w:tcPr>
          <w:p>
            <w:pPr>
              <w:spacing w:line="280" w:lineRule="exact"/>
              <w:jc w:val="center"/>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lang w:val="en-US" w:eastAsia="zh-CN"/>
              </w:rPr>
              <w:t>35</w:t>
            </w:r>
          </w:p>
        </w:tc>
        <w:tc>
          <w:tcPr>
            <w:tcW w:w="1022" w:type="dxa"/>
            <w:noWrap w:val="0"/>
            <w:vAlign w:val="center"/>
          </w:tcPr>
          <w:p>
            <w:pPr>
              <w:spacing w:line="280" w:lineRule="exact"/>
              <w:jc w:val="center"/>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lang w:val="en-US" w:eastAsia="zh-CN"/>
              </w:rPr>
              <w:t>40</w:t>
            </w:r>
          </w:p>
        </w:tc>
        <w:tc>
          <w:tcPr>
            <w:tcW w:w="1378" w:type="dxa"/>
            <w:noWrap w:val="0"/>
            <w:vAlign w:val="center"/>
          </w:tcPr>
          <w:p>
            <w:pPr>
              <w:spacing w:line="280" w:lineRule="exact"/>
              <w:jc w:val="center"/>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lang w:val="en-US" w:eastAsia="zh-CN"/>
              </w:rPr>
              <w:t>[5]</w:t>
            </w:r>
          </w:p>
        </w:tc>
        <w:tc>
          <w:tcPr>
            <w:tcW w:w="1054" w:type="dxa"/>
            <w:noWrap w:val="0"/>
            <w:vAlign w:val="center"/>
          </w:tcPr>
          <w:p>
            <w:pPr>
              <w:spacing w:line="280" w:lineRule="exact"/>
              <w:jc w:val="center"/>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lang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735" w:type="dxa"/>
            <w:vMerge w:val="restart"/>
            <w:noWrap w:val="0"/>
            <w:vAlign w:val="center"/>
          </w:tcPr>
          <w:p>
            <w:pPr>
              <w:spacing w:line="280" w:lineRule="exact"/>
              <w:jc w:val="center"/>
              <w:rPr>
                <w:rFonts w:hint="default" w:ascii="Times New Roman" w:hAnsi="Times New Roman" w:eastAsia="宋体" w:cs="Times New Roman"/>
                <w:b/>
                <w:bCs/>
                <w:sz w:val="15"/>
                <w:szCs w:val="15"/>
              </w:rPr>
            </w:pPr>
            <w:r>
              <w:rPr>
                <w:rFonts w:hint="default" w:ascii="Times New Roman" w:hAnsi="Times New Roman" w:eastAsia="宋体" w:cs="Times New Roman"/>
                <w:b/>
                <w:bCs/>
                <w:sz w:val="15"/>
                <w:szCs w:val="15"/>
              </w:rPr>
              <w:t>创新</w:t>
            </w:r>
          </w:p>
          <w:p>
            <w:pPr>
              <w:spacing w:line="280" w:lineRule="exact"/>
              <w:jc w:val="center"/>
              <w:rPr>
                <w:rFonts w:hint="default" w:ascii="Times New Roman" w:hAnsi="Times New Roman" w:eastAsia="宋体" w:cs="Times New Roman"/>
                <w:b/>
                <w:bCs/>
                <w:sz w:val="15"/>
                <w:szCs w:val="15"/>
              </w:rPr>
            </w:pPr>
            <w:r>
              <w:rPr>
                <w:rFonts w:hint="default" w:ascii="Times New Roman" w:hAnsi="Times New Roman" w:eastAsia="宋体" w:cs="Times New Roman"/>
                <w:b/>
                <w:bCs/>
                <w:sz w:val="15"/>
                <w:szCs w:val="15"/>
              </w:rPr>
              <w:t>驱动</w:t>
            </w:r>
          </w:p>
        </w:tc>
        <w:tc>
          <w:tcPr>
            <w:tcW w:w="3685" w:type="dxa"/>
            <w:noWrap w:val="0"/>
            <w:vAlign w:val="center"/>
          </w:tcPr>
          <w:p>
            <w:pPr>
              <w:spacing w:line="280" w:lineRule="exact"/>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w:t>
            </w:r>
            <w:r>
              <w:rPr>
                <w:rFonts w:hint="default" w:ascii="Times New Roman" w:hAnsi="Times New Roman" w:eastAsia="宋体" w:cs="Times New Roman"/>
                <w:b/>
                <w:bCs/>
                <w:sz w:val="18"/>
                <w:szCs w:val="18"/>
                <w:lang w:val="en-US" w:eastAsia="zh-CN"/>
              </w:rPr>
              <w:t>6</w:t>
            </w:r>
            <w:r>
              <w:rPr>
                <w:rFonts w:hint="default" w:ascii="Times New Roman" w:hAnsi="Times New Roman" w:eastAsia="宋体" w:cs="Times New Roman"/>
                <w:b/>
                <w:bCs/>
                <w:sz w:val="18"/>
                <w:szCs w:val="18"/>
              </w:rPr>
              <w:t>）研发经费投入</w:t>
            </w:r>
            <w:r>
              <w:rPr>
                <w:rFonts w:hint="default" w:ascii="Times New Roman" w:hAnsi="Times New Roman" w:eastAsia="宋体" w:cs="Times New Roman"/>
                <w:b/>
                <w:bCs/>
                <w:sz w:val="18"/>
                <w:szCs w:val="18"/>
                <w:lang w:eastAsia="zh-CN"/>
              </w:rPr>
              <w:t>增长</w:t>
            </w:r>
            <w:r>
              <w:rPr>
                <w:rFonts w:hint="default" w:ascii="Times New Roman" w:hAnsi="Times New Roman" w:eastAsia="宋体" w:cs="Times New Roman"/>
                <w:b/>
                <w:bCs/>
                <w:sz w:val="18"/>
                <w:szCs w:val="18"/>
              </w:rPr>
              <w:t>（%）</w:t>
            </w:r>
          </w:p>
        </w:tc>
        <w:tc>
          <w:tcPr>
            <w:tcW w:w="823" w:type="dxa"/>
            <w:noWrap w:val="0"/>
            <w:vAlign w:val="center"/>
          </w:tcPr>
          <w:p>
            <w:pPr>
              <w:spacing w:line="280" w:lineRule="exact"/>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lang w:val="en-US" w:eastAsia="zh-CN"/>
              </w:rPr>
              <w:t>—</w:t>
            </w:r>
          </w:p>
        </w:tc>
        <w:tc>
          <w:tcPr>
            <w:tcW w:w="1022" w:type="dxa"/>
            <w:noWrap w:val="0"/>
            <w:vAlign w:val="center"/>
          </w:tcPr>
          <w:p>
            <w:pPr>
              <w:spacing w:line="280" w:lineRule="exact"/>
              <w:jc w:val="center"/>
              <w:rPr>
                <w:rFonts w:hint="default" w:ascii="Times New Roman" w:hAnsi="Times New Roman" w:eastAsia="宋体" w:cs="Times New Roman"/>
                <w:b/>
                <w:bCs/>
                <w:sz w:val="18"/>
                <w:szCs w:val="18"/>
                <w:lang w:val="en-US"/>
              </w:rPr>
            </w:pPr>
            <w:r>
              <w:rPr>
                <w:rFonts w:hint="default" w:ascii="Times New Roman" w:hAnsi="Times New Roman" w:eastAsia="宋体" w:cs="Times New Roman"/>
                <w:b/>
                <w:bCs/>
                <w:sz w:val="18"/>
                <w:szCs w:val="18"/>
                <w:lang w:val="en-US" w:eastAsia="zh-CN"/>
              </w:rPr>
              <w:t>—</w:t>
            </w:r>
          </w:p>
        </w:tc>
        <w:tc>
          <w:tcPr>
            <w:tcW w:w="1378" w:type="dxa"/>
            <w:noWrap w:val="0"/>
            <w:vAlign w:val="center"/>
          </w:tcPr>
          <w:p>
            <w:pPr>
              <w:spacing w:line="280" w:lineRule="exact"/>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9.5左右</w:t>
            </w:r>
          </w:p>
        </w:tc>
        <w:tc>
          <w:tcPr>
            <w:tcW w:w="1054" w:type="dxa"/>
            <w:noWrap w:val="0"/>
            <w:vAlign w:val="center"/>
          </w:tcPr>
          <w:p>
            <w:pPr>
              <w:spacing w:line="280" w:lineRule="exact"/>
              <w:jc w:val="center"/>
              <w:rPr>
                <w:rFonts w:hint="default" w:ascii="Times New Roman" w:hAnsi="Times New Roman" w:eastAsia="宋体" w:cs="Times New Roman"/>
                <w:b/>
                <w:bCs/>
                <w:sz w:val="18"/>
                <w:szCs w:val="18"/>
                <w:lang w:eastAsia="zh-CN"/>
              </w:rPr>
            </w:pPr>
            <w:r>
              <w:rPr>
                <w:rFonts w:hint="default" w:ascii="Times New Roman" w:hAnsi="Times New Roman" w:eastAsia="宋体" w:cs="Times New Roman"/>
                <w:b/>
                <w:bCs/>
                <w:sz w:val="18"/>
                <w:szCs w:val="18"/>
                <w:lang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35" w:type="dxa"/>
            <w:vMerge w:val="continue"/>
            <w:noWrap w:val="0"/>
            <w:vAlign w:val="center"/>
          </w:tcPr>
          <w:p>
            <w:pPr>
              <w:spacing w:line="280" w:lineRule="exact"/>
              <w:jc w:val="center"/>
              <w:rPr>
                <w:rFonts w:hint="default" w:ascii="Times New Roman" w:hAnsi="Times New Roman" w:eastAsia="宋体" w:cs="Times New Roman"/>
                <w:b/>
                <w:bCs/>
                <w:sz w:val="15"/>
                <w:szCs w:val="15"/>
              </w:rPr>
            </w:pPr>
          </w:p>
        </w:tc>
        <w:tc>
          <w:tcPr>
            <w:tcW w:w="3685" w:type="dxa"/>
            <w:noWrap w:val="0"/>
            <w:vAlign w:val="center"/>
          </w:tcPr>
          <w:p>
            <w:pPr>
              <w:spacing w:line="280" w:lineRule="exact"/>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w:t>
            </w:r>
            <w:r>
              <w:rPr>
                <w:rFonts w:hint="default" w:ascii="Times New Roman" w:hAnsi="Times New Roman" w:eastAsia="宋体" w:cs="Times New Roman"/>
                <w:b/>
                <w:bCs/>
                <w:sz w:val="18"/>
                <w:szCs w:val="18"/>
                <w:lang w:val="en-US" w:eastAsia="zh-CN"/>
              </w:rPr>
              <w:t>7</w:t>
            </w:r>
            <w:r>
              <w:rPr>
                <w:rFonts w:hint="default" w:ascii="Times New Roman" w:hAnsi="Times New Roman" w:eastAsia="宋体" w:cs="Times New Roman"/>
                <w:b/>
                <w:bCs/>
                <w:sz w:val="18"/>
                <w:szCs w:val="18"/>
              </w:rPr>
              <w:t>）每万人</w:t>
            </w:r>
            <w:r>
              <w:rPr>
                <w:rFonts w:hint="default" w:ascii="Times New Roman" w:hAnsi="Times New Roman" w:eastAsia="宋体" w:cs="Times New Roman"/>
                <w:b/>
                <w:bCs/>
                <w:sz w:val="18"/>
                <w:szCs w:val="18"/>
                <w:lang w:eastAsia="zh-CN"/>
              </w:rPr>
              <w:t>口高价值</w:t>
            </w:r>
            <w:r>
              <w:rPr>
                <w:rFonts w:hint="default" w:ascii="Times New Roman" w:hAnsi="Times New Roman" w:eastAsia="宋体" w:cs="Times New Roman"/>
                <w:b/>
                <w:bCs/>
                <w:sz w:val="18"/>
                <w:szCs w:val="18"/>
              </w:rPr>
              <w:t>发明专利</w:t>
            </w:r>
            <w:r>
              <w:rPr>
                <w:rFonts w:hint="default" w:ascii="Times New Roman" w:hAnsi="Times New Roman" w:eastAsia="宋体" w:cs="Times New Roman"/>
                <w:b/>
                <w:bCs/>
                <w:sz w:val="18"/>
                <w:szCs w:val="18"/>
                <w:lang w:eastAsia="zh-CN"/>
              </w:rPr>
              <w:t>拥有量</w:t>
            </w:r>
            <w:r>
              <w:rPr>
                <w:rFonts w:hint="default" w:ascii="Times New Roman" w:hAnsi="Times New Roman" w:eastAsia="宋体" w:cs="Times New Roman"/>
                <w:b/>
                <w:bCs/>
                <w:sz w:val="18"/>
                <w:szCs w:val="18"/>
              </w:rPr>
              <w:t>（件）</w:t>
            </w:r>
          </w:p>
        </w:tc>
        <w:tc>
          <w:tcPr>
            <w:tcW w:w="823" w:type="dxa"/>
            <w:noWrap w:val="0"/>
            <w:vAlign w:val="center"/>
          </w:tcPr>
          <w:p>
            <w:pPr>
              <w:spacing w:line="280" w:lineRule="exact"/>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2.65</w:t>
            </w:r>
          </w:p>
        </w:tc>
        <w:tc>
          <w:tcPr>
            <w:tcW w:w="1022" w:type="dxa"/>
            <w:noWrap w:val="0"/>
            <w:vAlign w:val="center"/>
          </w:tcPr>
          <w:p>
            <w:pPr>
              <w:spacing w:line="280" w:lineRule="exact"/>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3.9</w:t>
            </w:r>
          </w:p>
        </w:tc>
        <w:tc>
          <w:tcPr>
            <w:tcW w:w="1378" w:type="dxa"/>
            <w:noWrap w:val="0"/>
            <w:vAlign w:val="center"/>
          </w:tcPr>
          <w:p>
            <w:pPr>
              <w:spacing w:line="280" w:lineRule="exact"/>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lang w:val="en-US" w:eastAsia="zh-CN"/>
              </w:rPr>
              <w:t>[1.25]</w:t>
            </w:r>
          </w:p>
        </w:tc>
        <w:tc>
          <w:tcPr>
            <w:tcW w:w="1054" w:type="dxa"/>
            <w:noWrap w:val="0"/>
            <w:vAlign w:val="center"/>
          </w:tcPr>
          <w:p>
            <w:pPr>
              <w:spacing w:line="280" w:lineRule="exact"/>
              <w:ind w:firstLine="181" w:firstLineChars="100"/>
              <w:jc w:val="center"/>
              <w:rPr>
                <w:rFonts w:hint="default" w:ascii="Times New Roman" w:hAnsi="Times New Roman" w:eastAsia="宋体" w:cs="Times New Roman"/>
                <w:b/>
                <w:bCs/>
                <w:sz w:val="18"/>
                <w:szCs w:val="18"/>
                <w:lang w:eastAsia="zh-CN"/>
              </w:rPr>
            </w:pPr>
            <w:r>
              <w:rPr>
                <w:rFonts w:hint="default" w:ascii="Times New Roman" w:hAnsi="Times New Roman" w:eastAsia="宋体" w:cs="Times New Roman"/>
                <w:b/>
                <w:bCs/>
                <w:sz w:val="18"/>
                <w:szCs w:val="18"/>
                <w:lang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35" w:type="dxa"/>
            <w:vMerge w:val="continue"/>
            <w:noWrap w:val="0"/>
            <w:vAlign w:val="center"/>
          </w:tcPr>
          <w:p>
            <w:pPr>
              <w:spacing w:line="280" w:lineRule="exact"/>
              <w:jc w:val="center"/>
              <w:rPr>
                <w:rFonts w:hint="default" w:ascii="Times New Roman" w:hAnsi="Times New Roman" w:eastAsia="宋体" w:cs="Times New Roman"/>
                <w:b/>
                <w:bCs/>
                <w:sz w:val="15"/>
                <w:szCs w:val="15"/>
              </w:rPr>
            </w:pPr>
          </w:p>
        </w:tc>
        <w:tc>
          <w:tcPr>
            <w:tcW w:w="3685" w:type="dxa"/>
            <w:noWrap w:val="0"/>
            <w:vAlign w:val="center"/>
          </w:tcPr>
          <w:p>
            <w:pPr>
              <w:spacing w:line="280" w:lineRule="exact"/>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eastAsia="zh-CN"/>
              </w:rPr>
              <w:t>（</w:t>
            </w:r>
            <w:r>
              <w:rPr>
                <w:rFonts w:hint="default" w:ascii="Times New Roman" w:hAnsi="Times New Roman" w:eastAsia="宋体" w:cs="Times New Roman"/>
                <w:b/>
                <w:bCs/>
                <w:sz w:val="18"/>
                <w:szCs w:val="18"/>
                <w:lang w:val="en-US" w:eastAsia="zh-CN"/>
              </w:rPr>
              <w:t>8</w:t>
            </w:r>
            <w:r>
              <w:rPr>
                <w:rFonts w:hint="default" w:ascii="Times New Roman" w:hAnsi="Times New Roman" w:eastAsia="宋体" w:cs="Times New Roman"/>
                <w:b/>
                <w:bCs/>
                <w:sz w:val="18"/>
                <w:szCs w:val="18"/>
                <w:lang w:eastAsia="zh-CN"/>
              </w:rPr>
              <w:t>）数字经济核心产业增加值占</w:t>
            </w:r>
            <w:r>
              <w:rPr>
                <w:rFonts w:hint="default" w:ascii="Times New Roman" w:hAnsi="Times New Roman" w:eastAsia="宋体" w:cs="Times New Roman"/>
                <w:b/>
                <w:bCs/>
                <w:sz w:val="18"/>
                <w:szCs w:val="18"/>
                <w:lang w:val="en-US" w:eastAsia="zh-CN"/>
              </w:rPr>
              <w:t>地区生产总值比重（%）</w:t>
            </w:r>
          </w:p>
        </w:tc>
        <w:tc>
          <w:tcPr>
            <w:tcW w:w="823" w:type="dxa"/>
            <w:noWrap w:val="0"/>
            <w:vAlign w:val="center"/>
          </w:tcPr>
          <w:p>
            <w:pPr>
              <w:spacing w:line="280" w:lineRule="exact"/>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w:t>
            </w:r>
          </w:p>
        </w:tc>
        <w:tc>
          <w:tcPr>
            <w:tcW w:w="1022" w:type="dxa"/>
            <w:noWrap w:val="0"/>
            <w:vAlign w:val="center"/>
          </w:tcPr>
          <w:p>
            <w:pPr>
              <w:spacing w:line="280" w:lineRule="exact"/>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10左右</w:t>
            </w:r>
          </w:p>
        </w:tc>
        <w:tc>
          <w:tcPr>
            <w:tcW w:w="1378" w:type="dxa"/>
            <w:noWrap w:val="0"/>
            <w:vAlign w:val="center"/>
          </w:tcPr>
          <w:p>
            <w:pPr>
              <w:spacing w:line="280" w:lineRule="exact"/>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w:t>
            </w:r>
          </w:p>
        </w:tc>
        <w:tc>
          <w:tcPr>
            <w:tcW w:w="1054" w:type="dxa"/>
            <w:noWrap w:val="0"/>
            <w:vAlign w:val="center"/>
          </w:tcPr>
          <w:p>
            <w:pPr>
              <w:spacing w:line="280" w:lineRule="exact"/>
              <w:jc w:val="center"/>
              <w:rPr>
                <w:rFonts w:hint="default" w:ascii="Times New Roman" w:hAnsi="Times New Roman" w:eastAsia="宋体" w:cs="Times New Roman"/>
                <w:b/>
                <w:bCs/>
                <w:sz w:val="18"/>
                <w:szCs w:val="18"/>
                <w:lang w:eastAsia="zh-CN"/>
              </w:rPr>
            </w:pPr>
            <w:r>
              <w:rPr>
                <w:rFonts w:hint="default" w:ascii="Times New Roman" w:hAnsi="Times New Roman" w:eastAsia="宋体" w:cs="Times New Roman"/>
                <w:b/>
                <w:bCs/>
                <w:sz w:val="18"/>
                <w:szCs w:val="18"/>
                <w:lang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35" w:type="dxa"/>
            <w:vMerge w:val="continue"/>
            <w:noWrap w:val="0"/>
            <w:vAlign w:val="center"/>
          </w:tcPr>
          <w:p>
            <w:pPr>
              <w:spacing w:line="280" w:lineRule="exact"/>
              <w:jc w:val="center"/>
              <w:rPr>
                <w:rFonts w:hint="default" w:ascii="Times New Roman" w:hAnsi="Times New Roman" w:eastAsia="宋体" w:cs="Times New Roman"/>
                <w:b/>
                <w:bCs/>
                <w:sz w:val="15"/>
                <w:szCs w:val="15"/>
              </w:rPr>
            </w:pPr>
          </w:p>
        </w:tc>
        <w:tc>
          <w:tcPr>
            <w:tcW w:w="3685" w:type="dxa"/>
            <w:noWrap w:val="0"/>
            <w:vAlign w:val="center"/>
          </w:tcPr>
          <w:p>
            <w:pPr>
              <w:spacing w:line="280" w:lineRule="exact"/>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rPr>
              <w:t>（</w:t>
            </w:r>
            <w:r>
              <w:rPr>
                <w:rFonts w:hint="default" w:ascii="Times New Roman" w:hAnsi="Times New Roman" w:eastAsia="宋体" w:cs="Times New Roman"/>
                <w:b/>
                <w:bCs/>
                <w:sz w:val="18"/>
                <w:szCs w:val="18"/>
                <w:lang w:val="en-US" w:eastAsia="zh-CN"/>
              </w:rPr>
              <w:t>9</w:t>
            </w:r>
            <w:r>
              <w:rPr>
                <w:rFonts w:hint="default" w:ascii="Times New Roman" w:hAnsi="Times New Roman" w:eastAsia="宋体" w:cs="Times New Roman"/>
                <w:b/>
                <w:bCs/>
                <w:sz w:val="18"/>
                <w:szCs w:val="18"/>
              </w:rPr>
              <w:t>）高新技术产业</w:t>
            </w:r>
            <w:r>
              <w:rPr>
                <w:rFonts w:hint="default" w:ascii="Times New Roman" w:hAnsi="Times New Roman" w:eastAsia="宋体" w:cs="Times New Roman"/>
                <w:b/>
                <w:bCs/>
                <w:sz w:val="18"/>
                <w:szCs w:val="18"/>
                <w:lang w:eastAsia="zh-CN"/>
              </w:rPr>
              <w:t>占规模以上工业总产值比重</w:t>
            </w:r>
            <w:r>
              <w:rPr>
                <w:rFonts w:hint="default" w:ascii="Times New Roman" w:hAnsi="Times New Roman" w:eastAsia="宋体" w:cs="Times New Roman"/>
                <w:b/>
                <w:bCs/>
                <w:sz w:val="18"/>
                <w:szCs w:val="18"/>
              </w:rPr>
              <w:t>（%）</w:t>
            </w:r>
          </w:p>
        </w:tc>
        <w:tc>
          <w:tcPr>
            <w:tcW w:w="823" w:type="dxa"/>
            <w:noWrap w:val="0"/>
            <w:vAlign w:val="center"/>
          </w:tcPr>
          <w:p>
            <w:pPr>
              <w:spacing w:line="280" w:lineRule="exact"/>
              <w:jc w:val="center"/>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lang w:val="en-US" w:eastAsia="zh-CN"/>
              </w:rPr>
              <w:t>34.7</w:t>
            </w:r>
          </w:p>
        </w:tc>
        <w:tc>
          <w:tcPr>
            <w:tcW w:w="1022" w:type="dxa"/>
            <w:noWrap w:val="0"/>
            <w:vAlign w:val="center"/>
          </w:tcPr>
          <w:p>
            <w:pPr>
              <w:spacing w:line="280" w:lineRule="exact"/>
              <w:jc w:val="center"/>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lang w:val="en-US" w:eastAsia="zh-CN"/>
              </w:rPr>
              <w:t>40</w:t>
            </w:r>
          </w:p>
        </w:tc>
        <w:tc>
          <w:tcPr>
            <w:tcW w:w="1378" w:type="dxa"/>
            <w:noWrap w:val="0"/>
            <w:vAlign w:val="center"/>
          </w:tcPr>
          <w:p>
            <w:pPr>
              <w:spacing w:line="280" w:lineRule="exact"/>
              <w:jc w:val="center"/>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lang w:val="en-US" w:eastAsia="zh-CN"/>
              </w:rPr>
              <w:t>[5.3]</w:t>
            </w:r>
          </w:p>
        </w:tc>
        <w:tc>
          <w:tcPr>
            <w:tcW w:w="1054" w:type="dxa"/>
            <w:noWrap w:val="0"/>
            <w:vAlign w:val="center"/>
          </w:tcPr>
          <w:p>
            <w:pPr>
              <w:spacing w:line="280" w:lineRule="exact"/>
              <w:jc w:val="center"/>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lang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735" w:type="dxa"/>
            <w:vMerge w:val="restart"/>
            <w:noWrap w:val="0"/>
            <w:vAlign w:val="center"/>
          </w:tcPr>
          <w:p>
            <w:pPr>
              <w:spacing w:line="280" w:lineRule="exact"/>
              <w:jc w:val="center"/>
              <w:rPr>
                <w:rFonts w:hint="default" w:ascii="Times New Roman" w:hAnsi="Times New Roman" w:eastAsia="宋体" w:cs="Times New Roman"/>
                <w:b/>
                <w:bCs/>
                <w:sz w:val="15"/>
                <w:szCs w:val="15"/>
                <w:lang w:eastAsia="zh-CN"/>
              </w:rPr>
            </w:pPr>
            <w:r>
              <w:rPr>
                <w:rFonts w:hint="default" w:ascii="Times New Roman" w:hAnsi="Times New Roman" w:eastAsia="宋体" w:cs="Times New Roman"/>
                <w:b/>
                <w:bCs/>
                <w:sz w:val="15"/>
                <w:szCs w:val="15"/>
                <w:lang w:eastAsia="zh-CN"/>
              </w:rPr>
              <w:t>民生</w:t>
            </w:r>
          </w:p>
          <w:p>
            <w:pPr>
              <w:spacing w:line="280" w:lineRule="exact"/>
              <w:jc w:val="center"/>
              <w:rPr>
                <w:rFonts w:hint="default" w:ascii="Times New Roman" w:hAnsi="Times New Roman" w:eastAsia="宋体" w:cs="Times New Roman"/>
                <w:b/>
                <w:bCs/>
                <w:sz w:val="15"/>
                <w:szCs w:val="15"/>
                <w:lang w:eastAsia="zh-CN"/>
              </w:rPr>
            </w:pPr>
            <w:r>
              <w:rPr>
                <w:rFonts w:hint="default" w:ascii="Times New Roman" w:hAnsi="Times New Roman" w:eastAsia="宋体" w:cs="Times New Roman"/>
                <w:b/>
                <w:bCs/>
                <w:sz w:val="15"/>
                <w:szCs w:val="15"/>
                <w:lang w:eastAsia="zh-CN"/>
              </w:rPr>
              <w:t>福祉</w:t>
            </w:r>
          </w:p>
        </w:tc>
        <w:tc>
          <w:tcPr>
            <w:tcW w:w="3685" w:type="dxa"/>
            <w:noWrap w:val="0"/>
            <w:vAlign w:val="center"/>
          </w:tcPr>
          <w:p>
            <w:pPr>
              <w:spacing w:line="280" w:lineRule="exact"/>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rPr>
              <w:t>（</w:t>
            </w:r>
            <w:r>
              <w:rPr>
                <w:rFonts w:hint="default" w:ascii="Times New Roman" w:hAnsi="Times New Roman" w:eastAsia="宋体" w:cs="Times New Roman"/>
                <w:b/>
                <w:bCs/>
                <w:sz w:val="18"/>
                <w:szCs w:val="18"/>
                <w:lang w:val="en-US" w:eastAsia="zh-CN"/>
              </w:rPr>
              <w:t>10</w:t>
            </w:r>
            <w:r>
              <w:rPr>
                <w:rFonts w:hint="default" w:ascii="Times New Roman" w:hAnsi="Times New Roman" w:eastAsia="宋体" w:cs="Times New Roman"/>
                <w:b/>
                <w:bCs/>
                <w:sz w:val="18"/>
                <w:szCs w:val="18"/>
              </w:rPr>
              <w:t>）</w:t>
            </w:r>
            <w:r>
              <w:rPr>
                <w:rFonts w:hint="default" w:ascii="Times New Roman" w:hAnsi="Times New Roman" w:eastAsia="宋体" w:cs="Times New Roman"/>
                <w:b/>
                <w:bCs/>
                <w:sz w:val="18"/>
                <w:szCs w:val="18"/>
                <w:lang w:eastAsia="zh-CN"/>
              </w:rPr>
              <w:t>居民</w:t>
            </w:r>
            <w:r>
              <w:rPr>
                <w:rFonts w:hint="default" w:ascii="Times New Roman" w:hAnsi="Times New Roman" w:eastAsia="宋体" w:cs="Times New Roman"/>
                <w:b/>
                <w:bCs/>
                <w:sz w:val="18"/>
                <w:szCs w:val="18"/>
              </w:rPr>
              <w:t>人均可支配收入增长（%）</w:t>
            </w:r>
          </w:p>
        </w:tc>
        <w:tc>
          <w:tcPr>
            <w:tcW w:w="823" w:type="dxa"/>
            <w:noWrap w:val="0"/>
            <w:vAlign w:val="center"/>
          </w:tcPr>
          <w:p>
            <w:pPr>
              <w:spacing w:line="280" w:lineRule="exact"/>
              <w:jc w:val="center"/>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lang w:val="en-US" w:eastAsia="zh-CN"/>
              </w:rPr>
              <w:t>4</w:t>
            </w:r>
          </w:p>
        </w:tc>
        <w:tc>
          <w:tcPr>
            <w:tcW w:w="1022" w:type="dxa"/>
            <w:noWrap w:val="0"/>
            <w:vAlign w:val="center"/>
          </w:tcPr>
          <w:p>
            <w:pPr>
              <w:spacing w:line="280" w:lineRule="exact"/>
              <w:jc w:val="center"/>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lang w:val="en-US" w:eastAsia="zh-CN"/>
              </w:rPr>
              <w:t>—</w:t>
            </w:r>
          </w:p>
        </w:tc>
        <w:tc>
          <w:tcPr>
            <w:tcW w:w="1378" w:type="dxa"/>
            <w:noWrap w:val="0"/>
            <w:vAlign w:val="center"/>
          </w:tcPr>
          <w:p>
            <w:pPr>
              <w:spacing w:line="280" w:lineRule="exact"/>
              <w:jc w:val="center"/>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lang w:val="en-US" w:eastAsia="zh-CN"/>
              </w:rPr>
              <w:t>6左右</w:t>
            </w:r>
          </w:p>
        </w:tc>
        <w:tc>
          <w:tcPr>
            <w:tcW w:w="1054" w:type="dxa"/>
            <w:noWrap w:val="0"/>
            <w:vAlign w:val="center"/>
          </w:tcPr>
          <w:p>
            <w:pPr>
              <w:spacing w:line="280" w:lineRule="exact"/>
              <w:jc w:val="center"/>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lang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735" w:type="dxa"/>
            <w:vMerge w:val="continue"/>
            <w:noWrap w:val="0"/>
            <w:vAlign w:val="center"/>
          </w:tcPr>
          <w:p>
            <w:pPr>
              <w:spacing w:line="280" w:lineRule="exact"/>
              <w:rPr>
                <w:rFonts w:hint="default" w:ascii="Times New Roman" w:hAnsi="Times New Roman" w:eastAsia="宋体" w:cs="Times New Roman"/>
                <w:b/>
                <w:bCs/>
                <w:sz w:val="15"/>
                <w:szCs w:val="15"/>
              </w:rPr>
            </w:pPr>
          </w:p>
        </w:tc>
        <w:tc>
          <w:tcPr>
            <w:tcW w:w="3685" w:type="dxa"/>
            <w:noWrap w:val="0"/>
            <w:vAlign w:val="center"/>
          </w:tcPr>
          <w:p>
            <w:pPr>
              <w:spacing w:line="280" w:lineRule="exact"/>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rPr>
              <w:t>（</w:t>
            </w:r>
            <w:r>
              <w:rPr>
                <w:rFonts w:hint="default" w:ascii="Times New Roman" w:hAnsi="Times New Roman" w:eastAsia="宋体" w:cs="Times New Roman"/>
                <w:b/>
                <w:bCs/>
                <w:sz w:val="18"/>
                <w:szCs w:val="18"/>
                <w:lang w:val="en-US" w:eastAsia="zh-CN"/>
              </w:rPr>
              <w:t>1</w:t>
            </w:r>
            <w:r>
              <w:rPr>
                <w:rFonts w:hint="default" w:ascii="Times New Roman" w:hAnsi="Times New Roman" w:eastAsia="宋体" w:cs="Times New Roman"/>
                <w:b/>
                <w:bCs/>
                <w:sz w:val="18"/>
                <w:szCs w:val="18"/>
              </w:rPr>
              <w:t>1）城镇</w:t>
            </w:r>
            <w:r>
              <w:rPr>
                <w:rFonts w:hint="default" w:ascii="Times New Roman" w:hAnsi="Times New Roman" w:eastAsia="宋体" w:cs="Times New Roman"/>
                <w:b/>
                <w:bCs/>
                <w:sz w:val="18"/>
                <w:szCs w:val="18"/>
                <w:lang w:eastAsia="zh-CN"/>
              </w:rPr>
              <w:t>登记</w:t>
            </w:r>
            <w:r>
              <w:rPr>
                <w:rFonts w:hint="default" w:ascii="Times New Roman" w:hAnsi="Times New Roman" w:eastAsia="宋体" w:cs="Times New Roman"/>
                <w:b/>
                <w:bCs/>
                <w:sz w:val="18"/>
                <w:szCs w:val="18"/>
              </w:rPr>
              <w:t>失业率（%）</w:t>
            </w:r>
          </w:p>
        </w:tc>
        <w:tc>
          <w:tcPr>
            <w:tcW w:w="823" w:type="dxa"/>
            <w:noWrap w:val="0"/>
            <w:vAlign w:val="center"/>
          </w:tcPr>
          <w:p>
            <w:pPr>
              <w:spacing w:line="280" w:lineRule="exact"/>
              <w:jc w:val="center"/>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lang w:val="en-US" w:eastAsia="zh-CN"/>
              </w:rPr>
              <w:t>3.75</w:t>
            </w:r>
          </w:p>
        </w:tc>
        <w:tc>
          <w:tcPr>
            <w:tcW w:w="1022" w:type="dxa"/>
            <w:noWrap w:val="0"/>
            <w:vAlign w:val="center"/>
          </w:tcPr>
          <w:p>
            <w:pPr>
              <w:spacing w:line="280" w:lineRule="exact"/>
              <w:jc w:val="center"/>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lang w:val="en-US" w:eastAsia="zh-CN"/>
              </w:rPr>
              <w:t>4.5以内</w:t>
            </w:r>
          </w:p>
        </w:tc>
        <w:tc>
          <w:tcPr>
            <w:tcW w:w="1378" w:type="dxa"/>
            <w:noWrap w:val="0"/>
            <w:vAlign w:val="top"/>
          </w:tcPr>
          <w:p>
            <w:pPr>
              <w:spacing w:line="280" w:lineRule="exact"/>
              <w:jc w:val="center"/>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lang w:eastAsia="zh-CN"/>
              </w:rPr>
              <w:t>—</w:t>
            </w:r>
          </w:p>
        </w:tc>
        <w:tc>
          <w:tcPr>
            <w:tcW w:w="1054" w:type="dxa"/>
            <w:noWrap w:val="0"/>
            <w:vAlign w:val="center"/>
          </w:tcPr>
          <w:p>
            <w:pPr>
              <w:spacing w:line="280" w:lineRule="exact"/>
              <w:jc w:val="center"/>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lang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35" w:type="dxa"/>
            <w:vMerge w:val="continue"/>
            <w:noWrap w:val="0"/>
            <w:vAlign w:val="center"/>
          </w:tcPr>
          <w:p>
            <w:pPr>
              <w:spacing w:line="280" w:lineRule="exact"/>
              <w:rPr>
                <w:rFonts w:hint="default" w:ascii="Times New Roman" w:hAnsi="Times New Roman" w:eastAsia="宋体" w:cs="Times New Roman"/>
                <w:b/>
                <w:bCs/>
                <w:sz w:val="15"/>
                <w:szCs w:val="15"/>
              </w:rPr>
            </w:pPr>
          </w:p>
        </w:tc>
        <w:tc>
          <w:tcPr>
            <w:tcW w:w="3685" w:type="dxa"/>
            <w:noWrap w:val="0"/>
            <w:vAlign w:val="center"/>
          </w:tcPr>
          <w:p>
            <w:pPr>
              <w:keepNext w:val="0"/>
              <w:keepLines w:val="0"/>
              <w:widowControl/>
              <w:suppressLineNumbers w:val="0"/>
              <w:jc w:val="left"/>
              <w:textAlignment w:val="center"/>
              <w:rPr>
                <w:rFonts w:hint="default" w:ascii="Times New Roman" w:hAnsi="Times New Roman" w:eastAsia="宋体" w:cs="Times New Roman"/>
                <w:b/>
                <w:bCs/>
                <w:sz w:val="18"/>
                <w:szCs w:val="18"/>
              </w:rPr>
            </w:pPr>
            <w:r>
              <w:rPr>
                <w:rFonts w:hint="default" w:ascii="Times New Roman" w:hAnsi="Times New Roman" w:eastAsia="宋体" w:cs="Times New Roman"/>
                <w:b/>
                <w:bCs/>
                <w:i w:val="0"/>
                <w:color w:val="auto"/>
                <w:sz w:val="18"/>
                <w:szCs w:val="18"/>
                <w:u w:val="none"/>
                <w:lang w:eastAsia="zh-CN"/>
              </w:rPr>
              <w:t>（</w:t>
            </w:r>
            <w:r>
              <w:rPr>
                <w:rFonts w:hint="default" w:ascii="Times New Roman" w:hAnsi="Times New Roman" w:eastAsia="宋体" w:cs="Times New Roman"/>
                <w:b/>
                <w:bCs/>
                <w:i w:val="0"/>
                <w:color w:val="auto"/>
                <w:sz w:val="18"/>
                <w:szCs w:val="18"/>
                <w:u w:val="none"/>
                <w:lang w:val="en-US" w:eastAsia="zh-CN"/>
              </w:rPr>
              <w:t>12</w:t>
            </w:r>
            <w:r>
              <w:rPr>
                <w:rFonts w:hint="default" w:ascii="Times New Roman" w:hAnsi="Times New Roman" w:eastAsia="宋体" w:cs="Times New Roman"/>
                <w:b/>
                <w:bCs/>
                <w:i w:val="0"/>
                <w:color w:val="auto"/>
                <w:sz w:val="18"/>
                <w:szCs w:val="18"/>
                <w:u w:val="none"/>
                <w:lang w:eastAsia="zh-CN"/>
              </w:rPr>
              <w:t>）劳动年龄人口平均受教育年限（年）</w:t>
            </w:r>
          </w:p>
        </w:tc>
        <w:tc>
          <w:tcPr>
            <w:tcW w:w="823" w:type="dxa"/>
            <w:noWrap w:val="0"/>
            <w:vAlign w:val="center"/>
          </w:tcPr>
          <w:p>
            <w:pPr>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i w:val="0"/>
                <w:color w:val="000000"/>
                <w:sz w:val="18"/>
                <w:szCs w:val="18"/>
                <w:u w:val="none"/>
                <w:lang w:eastAsia="zh-CN"/>
              </w:rPr>
              <w:t>—</w:t>
            </w:r>
          </w:p>
        </w:tc>
        <w:tc>
          <w:tcPr>
            <w:tcW w:w="1022" w:type="dxa"/>
            <w:noWrap w:val="0"/>
            <w:vAlign w:val="center"/>
          </w:tcPr>
          <w:p>
            <w:pPr>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i w:val="0"/>
                <w:color w:val="000000"/>
                <w:sz w:val="18"/>
                <w:szCs w:val="18"/>
                <w:u w:val="none"/>
                <w:lang w:val="en-US" w:eastAsia="zh-CN"/>
              </w:rPr>
              <w:t>12</w:t>
            </w:r>
          </w:p>
        </w:tc>
        <w:tc>
          <w:tcPr>
            <w:tcW w:w="1378" w:type="dxa"/>
            <w:noWrap w:val="0"/>
            <w:vAlign w:val="center"/>
          </w:tcPr>
          <w:p>
            <w:pPr>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i w:val="0"/>
                <w:color w:val="000000"/>
                <w:sz w:val="18"/>
                <w:szCs w:val="18"/>
                <w:u w:val="none"/>
                <w:lang w:eastAsia="zh-CN"/>
              </w:rPr>
              <w:t>—</w:t>
            </w:r>
          </w:p>
        </w:tc>
        <w:tc>
          <w:tcPr>
            <w:tcW w:w="1054" w:type="dxa"/>
            <w:noWrap w:val="0"/>
            <w:vAlign w:val="center"/>
          </w:tcPr>
          <w:p>
            <w:pPr>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i w:val="0"/>
                <w:color w:val="000000"/>
                <w:sz w:val="18"/>
                <w:szCs w:val="18"/>
                <w:u w:val="none"/>
                <w:lang w:eastAsia="zh-CN"/>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35" w:type="dxa"/>
            <w:vMerge w:val="continue"/>
            <w:noWrap w:val="0"/>
            <w:vAlign w:val="center"/>
          </w:tcPr>
          <w:p>
            <w:pPr>
              <w:spacing w:line="280" w:lineRule="exact"/>
              <w:rPr>
                <w:rFonts w:hint="default" w:ascii="Times New Roman" w:hAnsi="Times New Roman" w:eastAsia="宋体" w:cs="Times New Roman"/>
                <w:b/>
                <w:bCs/>
                <w:sz w:val="15"/>
                <w:szCs w:val="15"/>
              </w:rPr>
            </w:pPr>
          </w:p>
        </w:tc>
        <w:tc>
          <w:tcPr>
            <w:tcW w:w="3685" w:type="dxa"/>
            <w:noWrap w:val="0"/>
            <w:vAlign w:val="center"/>
          </w:tcPr>
          <w:p>
            <w:pPr>
              <w:keepNext w:val="0"/>
              <w:keepLines w:val="0"/>
              <w:widowControl/>
              <w:suppressLineNumbers w:val="0"/>
              <w:jc w:val="left"/>
              <w:textAlignment w:val="center"/>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i w:val="0"/>
                <w:color w:val="auto"/>
                <w:kern w:val="0"/>
                <w:sz w:val="18"/>
                <w:szCs w:val="18"/>
                <w:u w:val="none"/>
                <w:lang w:val="en-US" w:eastAsia="zh-CN" w:bidi="ar"/>
              </w:rPr>
              <w:t>（13）每千人口拥有执业（助理）医师数（人）</w:t>
            </w:r>
          </w:p>
        </w:tc>
        <w:tc>
          <w:tcPr>
            <w:tcW w:w="823" w:type="dxa"/>
            <w:noWrap w:val="0"/>
            <w:vAlign w:val="center"/>
          </w:tcPr>
          <w:p>
            <w:pPr>
              <w:jc w:val="center"/>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kern w:val="2"/>
                <w:sz w:val="18"/>
                <w:szCs w:val="18"/>
                <w:lang w:val="en-US" w:eastAsia="zh-CN" w:bidi="ar-SA"/>
              </w:rPr>
              <w:t>2.23</w:t>
            </w:r>
          </w:p>
        </w:tc>
        <w:tc>
          <w:tcPr>
            <w:tcW w:w="1022" w:type="dxa"/>
            <w:noWrap w:val="0"/>
            <w:vAlign w:val="center"/>
          </w:tcPr>
          <w:p>
            <w:pPr>
              <w:jc w:val="center"/>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kern w:val="2"/>
                <w:sz w:val="18"/>
                <w:szCs w:val="18"/>
                <w:lang w:val="en-US" w:eastAsia="zh-CN" w:bidi="ar-SA"/>
              </w:rPr>
              <w:t>2.26</w:t>
            </w:r>
          </w:p>
        </w:tc>
        <w:tc>
          <w:tcPr>
            <w:tcW w:w="1378" w:type="dxa"/>
            <w:noWrap w:val="0"/>
            <w:vAlign w:val="center"/>
          </w:tcPr>
          <w:p>
            <w:pPr>
              <w:jc w:val="center"/>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lang w:val="en-US" w:eastAsia="zh-CN"/>
              </w:rPr>
              <w:t>[0.03]</w:t>
            </w:r>
          </w:p>
        </w:tc>
        <w:tc>
          <w:tcPr>
            <w:tcW w:w="1054" w:type="dxa"/>
            <w:noWrap w:val="0"/>
            <w:vAlign w:val="center"/>
          </w:tcPr>
          <w:p>
            <w:pPr>
              <w:jc w:val="center"/>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i w:val="0"/>
                <w:color w:val="000000"/>
                <w:sz w:val="18"/>
                <w:szCs w:val="18"/>
                <w:u w:val="none"/>
                <w:lang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35" w:type="dxa"/>
            <w:vMerge w:val="continue"/>
            <w:noWrap w:val="0"/>
            <w:vAlign w:val="center"/>
          </w:tcPr>
          <w:p>
            <w:pPr>
              <w:spacing w:line="280" w:lineRule="exact"/>
              <w:rPr>
                <w:rFonts w:hint="default" w:ascii="Times New Roman" w:hAnsi="Times New Roman" w:eastAsia="宋体" w:cs="Times New Roman"/>
                <w:b/>
                <w:bCs/>
                <w:sz w:val="15"/>
                <w:szCs w:val="15"/>
              </w:rPr>
            </w:pPr>
          </w:p>
        </w:tc>
        <w:tc>
          <w:tcPr>
            <w:tcW w:w="3685" w:type="dxa"/>
            <w:noWrap w:val="0"/>
            <w:vAlign w:val="center"/>
          </w:tcPr>
          <w:p>
            <w:pPr>
              <w:numPr>
                <w:ilvl w:val="0"/>
                <w:numId w:val="0"/>
              </w:numPr>
              <w:spacing w:line="280" w:lineRule="exact"/>
              <w:ind w:left="0" w:leftChars="0" w:firstLine="0" w:firstLineChars="0"/>
              <w:jc w:val="both"/>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lang w:val="en-US" w:eastAsia="zh-CN"/>
              </w:rPr>
              <w:t>（14）</w:t>
            </w:r>
            <w:r>
              <w:rPr>
                <w:rFonts w:hint="default" w:ascii="Times New Roman" w:hAnsi="Times New Roman" w:eastAsia="宋体" w:cs="Times New Roman"/>
                <w:b/>
                <w:bCs/>
                <w:sz w:val="18"/>
                <w:szCs w:val="18"/>
              </w:rPr>
              <w:t>基本养老保险参保率（%）</w:t>
            </w:r>
          </w:p>
        </w:tc>
        <w:tc>
          <w:tcPr>
            <w:tcW w:w="823" w:type="dxa"/>
            <w:noWrap w:val="0"/>
            <w:vAlign w:val="center"/>
          </w:tcPr>
          <w:p>
            <w:pPr>
              <w:spacing w:line="280" w:lineRule="exact"/>
              <w:jc w:val="center"/>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lang w:val="en-US" w:eastAsia="zh-CN"/>
              </w:rPr>
              <w:t>75</w:t>
            </w:r>
          </w:p>
        </w:tc>
        <w:tc>
          <w:tcPr>
            <w:tcW w:w="1022" w:type="dxa"/>
            <w:noWrap w:val="0"/>
            <w:vAlign w:val="center"/>
          </w:tcPr>
          <w:p>
            <w:pPr>
              <w:spacing w:line="280" w:lineRule="exact"/>
              <w:jc w:val="center"/>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lang w:val="en-US" w:eastAsia="zh-CN"/>
              </w:rPr>
              <w:t>78</w:t>
            </w:r>
          </w:p>
        </w:tc>
        <w:tc>
          <w:tcPr>
            <w:tcW w:w="1378" w:type="dxa"/>
            <w:noWrap w:val="0"/>
            <w:vAlign w:val="center"/>
          </w:tcPr>
          <w:p>
            <w:pPr>
              <w:spacing w:line="280" w:lineRule="exact"/>
              <w:jc w:val="center"/>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lang w:val="en-US" w:eastAsia="zh-CN"/>
              </w:rPr>
              <w:t>[3]</w:t>
            </w:r>
          </w:p>
        </w:tc>
        <w:tc>
          <w:tcPr>
            <w:tcW w:w="1054" w:type="dxa"/>
            <w:noWrap w:val="0"/>
            <w:vAlign w:val="center"/>
          </w:tcPr>
          <w:p>
            <w:pPr>
              <w:spacing w:line="280" w:lineRule="exact"/>
              <w:ind w:firstLine="181" w:firstLineChars="100"/>
              <w:jc w:val="both"/>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lang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35" w:type="dxa"/>
            <w:vMerge w:val="continue"/>
            <w:noWrap w:val="0"/>
            <w:vAlign w:val="center"/>
          </w:tcPr>
          <w:p>
            <w:pPr>
              <w:spacing w:line="280" w:lineRule="exact"/>
              <w:rPr>
                <w:rFonts w:hint="default" w:ascii="Times New Roman" w:hAnsi="Times New Roman" w:eastAsia="宋体" w:cs="Times New Roman"/>
                <w:b/>
                <w:bCs/>
                <w:sz w:val="15"/>
                <w:szCs w:val="15"/>
              </w:rPr>
            </w:pPr>
          </w:p>
        </w:tc>
        <w:tc>
          <w:tcPr>
            <w:tcW w:w="3685" w:type="dxa"/>
            <w:noWrap w:val="0"/>
            <w:vAlign w:val="center"/>
          </w:tcPr>
          <w:p>
            <w:pPr>
              <w:spacing w:line="280" w:lineRule="exact"/>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（15）每千人口拥有3岁以下婴幼儿托位数（个）</w:t>
            </w:r>
          </w:p>
        </w:tc>
        <w:tc>
          <w:tcPr>
            <w:tcW w:w="823" w:type="dxa"/>
            <w:noWrap w:val="0"/>
            <w:vAlign w:val="center"/>
          </w:tcPr>
          <w:p>
            <w:pPr>
              <w:spacing w:line="280" w:lineRule="exact"/>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0.57</w:t>
            </w:r>
          </w:p>
        </w:tc>
        <w:tc>
          <w:tcPr>
            <w:tcW w:w="1022" w:type="dxa"/>
            <w:noWrap w:val="0"/>
            <w:vAlign w:val="center"/>
          </w:tcPr>
          <w:p>
            <w:pPr>
              <w:spacing w:line="280" w:lineRule="exact"/>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3.5</w:t>
            </w:r>
          </w:p>
        </w:tc>
        <w:tc>
          <w:tcPr>
            <w:tcW w:w="1378" w:type="dxa"/>
            <w:noWrap w:val="0"/>
            <w:vAlign w:val="center"/>
          </w:tcPr>
          <w:p>
            <w:pPr>
              <w:spacing w:line="280" w:lineRule="exact"/>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[2.93]</w:t>
            </w:r>
          </w:p>
        </w:tc>
        <w:tc>
          <w:tcPr>
            <w:tcW w:w="1054" w:type="dxa"/>
            <w:noWrap w:val="0"/>
            <w:vAlign w:val="center"/>
          </w:tcPr>
          <w:p>
            <w:pPr>
              <w:spacing w:line="280" w:lineRule="exact"/>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35" w:type="dxa"/>
            <w:vMerge w:val="continue"/>
            <w:noWrap w:val="0"/>
            <w:vAlign w:val="center"/>
          </w:tcPr>
          <w:p>
            <w:pPr>
              <w:spacing w:line="280" w:lineRule="exact"/>
              <w:rPr>
                <w:rFonts w:hint="default" w:ascii="Times New Roman" w:hAnsi="Times New Roman" w:eastAsia="宋体" w:cs="Times New Roman"/>
                <w:b/>
                <w:bCs/>
                <w:sz w:val="15"/>
                <w:szCs w:val="15"/>
              </w:rPr>
            </w:pPr>
          </w:p>
        </w:tc>
        <w:tc>
          <w:tcPr>
            <w:tcW w:w="3685" w:type="dxa"/>
            <w:noWrap w:val="0"/>
            <w:vAlign w:val="center"/>
          </w:tcPr>
          <w:p>
            <w:pPr>
              <w:spacing w:line="280" w:lineRule="exact"/>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rPr>
              <w:t>（</w:t>
            </w:r>
            <w:r>
              <w:rPr>
                <w:rFonts w:hint="default" w:ascii="Times New Roman" w:hAnsi="Times New Roman" w:eastAsia="宋体" w:cs="Times New Roman"/>
                <w:b/>
                <w:bCs/>
                <w:sz w:val="18"/>
                <w:szCs w:val="18"/>
                <w:lang w:val="en-US" w:eastAsia="zh-CN"/>
              </w:rPr>
              <w:t>16</w:t>
            </w:r>
            <w:r>
              <w:rPr>
                <w:rFonts w:hint="default" w:ascii="Times New Roman" w:hAnsi="Times New Roman" w:eastAsia="宋体" w:cs="Times New Roman"/>
                <w:b/>
                <w:bCs/>
                <w:sz w:val="18"/>
                <w:szCs w:val="18"/>
              </w:rPr>
              <w:t>）人均预期寿命（岁）</w:t>
            </w:r>
          </w:p>
        </w:tc>
        <w:tc>
          <w:tcPr>
            <w:tcW w:w="823" w:type="dxa"/>
            <w:noWrap w:val="0"/>
            <w:vAlign w:val="center"/>
          </w:tcPr>
          <w:p>
            <w:pPr>
              <w:spacing w:line="280" w:lineRule="exact"/>
              <w:jc w:val="center"/>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lang w:val="en-US" w:eastAsia="zh-CN"/>
              </w:rPr>
              <w:t>79.8</w:t>
            </w:r>
          </w:p>
        </w:tc>
        <w:tc>
          <w:tcPr>
            <w:tcW w:w="1022" w:type="dxa"/>
            <w:noWrap w:val="0"/>
            <w:vAlign w:val="center"/>
          </w:tcPr>
          <w:p>
            <w:pPr>
              <w:spacing w:line="280" w:lineRule="exact"/>
              <w:jc w:val="center"/>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lang w:val="en-US" w:eastAsia="zh-CN"/>
              </w:rPr>
              <w:t>81</w:t>
            </w:r>
          </w:p>
        </w:tc>
        <w:tc>
          <w:tcPr>
            <w:tcW w:w="1378" w:type="dxa"/>
            <w:noWrap w:val="0"/>
            <w:vAlign w:val="center"/>
          </w:tcPr>
          <w:p>
            <w:pPr>
              <w:spacing w:line="280" w:lineRule="exact"/>
              <w:jc w:val="center"/>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lang w:val="en-US" w:eastAsia="zh-CN"/>
              </w:rPr>
              <w:t>—</w:t>
            </w:r>
          </w:p>
        </w:tc>
        <w:tc>
          <w:tcPr>
            <w:tcW w:w="1054" w:type="dxa"/>
            <w:noWrap w:val="0"/>
            <w:vAlign w:val="center"/>
          </w:tcPr>
          <w:p>
            <w:pPr>
              <w:spacing w:line="280" w:lineRule="exact"/>
              <w:jc w:val="center"/>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lang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735" w:type="dxa"/>
            <w:vMerge w:val="restart"/>
            <w:noWrap w:val="0"/>
            <w:vAlign w:val="center"/>
          </w:tcPr>
          <w:p>
            <w:pPr>
              <w:spacing w:line="280" w:lineRule="exact"/>
              <w:jc w:val="center"/>
              <w:rPr>
                <w:rFonts w:hint="default" w:ascii="Times New Roman" w:hAnsi="Times New Roman" w:eastAsia="宋体" w:cs="Times New Roman"/>
                <w:b/>
                <w:bCs/>
                <w:sz w:val="15"/>
                <w:szCs w:val="15"/>
                <w:lang w:eastAsia="zh-CN"/>
              </w:rPr>
            </w:pPr>
            <w:r>
              <w:rPr>
                <w:rFonts w:hint="default" w:ascii="Times New Roman" w:hAnsi="Times New Roman" w:eastAsia="宋体" w:cs="Times New Roman"/>
                <w:b/>
                <w:bCs/>
                <w:sz w:val="15"/>
                <w:szCs w:val="15"/>
                <w:lang w:eastAsia="zh-CN"/>
              </w:rPr>
              <w:t>绿色</w:t>
            </w:r>
          </w:p>
          <w:p>
            <w:pPr>
              <w:spacing w:line="280" w:lineRule="exact"/>
              <w:jc w:val="center"/>
              <w:rPr>
                <w:rFonts w:hint="default" w:ascii="Times New Roman" w:hAnsi="Times New Roman" w:eastAsia="宋体" w:cs="Times New Roman"/>
                <w:b/>
                <w:bCs/>
                <w:sz w:val="15"/>
                <w:szCs w:val="15"/>
              </w:rPr>
            </w:pPr>
            <w:r>
              <w:rPr>
                <w:rFonts w:hint="default" w:ascii="Times New Roman" w:hAnsi="Times New Roman" w:eastAsia="宋体" w:cs="Times New Roman"/>
                <w:b/>
                <w:bCs/>
                <w:sz w:val="15"/>
                <w:szCs w:val="15"/>
              </w:rPr>
              <w:t>生态</w:t>
            </w:r>
          </w:p>
        </w:tc>
        <w:tc>
          <w:tcPr>
            <w:tcW w:w="3685" w:type="dxa"/>
            <w:noWrap w:val="0"/>
            <w:vAlign w:val="center"/>
          </w:tcPr>
          <w:p>
            <w:pPr>
              <w:spacing w:line="280" w:lineRule="exact"/>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w:t>
            </w:r>
            <w:r>
              <w:rPr>
                <w:rFonts w:hint="default" w:ascii="Times New Roman" w:hAnsi="Times New Roman" w:eastAsia="宋体" w:cs="Times New Roman"/>
                <w:b/>
                <w:bCs/>
                <w:sz w:val="18"/>
                <w:szCs w:val="18"/>
                <w:lang w:val="en-US" w:eastAsia="zh-CN"/>
              </w:rPr>
              <w:t>17</w:t>
            </w:r>
            <w:r>
              <w:rPr>
                <w:rFonts w:hint="default" w:ascii="Times New Roman" w:hAnsi="Times New Roman" w:eastAsia="宋体" w:cs="Times New Roman"/>
                <w:b/>
                <w:bCs/>
                <w:sz w:val="18"/>
                <w:szCs w:val="18"/>
              </w:rPr>
              <w:t>）单位</w:t>
            </w:r>
            <w:r>
              <w:rPr>
                <w:rFonts w:hint="default" w:ascii="Times New Roman" w:hAnsi="Times New Roman" w:eastAsia="宋体" w:cs="Times New Roman"/>
                <w:b/>
                <w:bCs/>
                <w:sz w:val="18"/>
                <w:szCs w:val="18"/>
                <w:lang w:eastAsia="zh-CN"/>
              </w:rPr>
              <w:t>地区生产总值</w:t>
            </w:r>
            <w:r>
              <w:rPr>
                <w:rFonts w:hint="default" w:ascii="Times New Roman" w:hAnsi="Times New Roman" w:eastAsia="宋体" w:cs="Times New Roman"/>
                <w:b/>
                <w:bCs/>
                <w:sz w:val="18"/>
                <w:szCs w:val="18"/>
              </w:rPr>
              <w:t>能源消耗降</w:t>
            </w:r>
            <w:r>
              <w:rPr>
                <w:rFonts w:hint="default" w:ascii="Times New Roman" w:hAnsi="Times New Roman" w:eastAsia="宋体" w:cs="Times New Roman"/>
                <w:b/>
                <w:bCs/>
                <w:sz w:val="18"/>
                <w:szCs w:val="18"/>
                <w:lang w:eastAsia="zh-CN"/>
              </w:rPr>
              <w:t>低</w:t>
            </w:r>
            <w:r>
              <w:rPr>
                <w:rFonts w:hint="default" w:ascii="Times New Roman" w:hAnsi="Times New Roman" w:eastAsia="宋体" w:cs="Times New Roman"/>
                <w:b/>
                <w:bCs/>
                <w:sz w:val="18"/>
                <w:szCs w:val="18"/>
              </w:rPr>
              <w:t>（%）</w:t>
            </w:r>
          </w:p>
        </w:tc>
        <w:tc>
          <w:tcPr>
            <w:tcW w:w="823" w:type="dxa"/>
            <w:noWrap w:val="0"/>
            <w:vAlign w:val="top"/>
          </w:tcPr>
          <w:p>
            <w:pPr>
              <w:spacing w:line="280" w:lineRule="exact"/>
              <w:jc w:val="center"/>
              <w:rPr>
                <w:rFonts w:hint="default" w:ascii="Times New Roman" w:hAnsi="Times New Roman" w:eastAsia="宋体" w:cs="Times New Roman"/>
                <w:b/>
                <w:bCs/>
                <w:sz w:val="18"/>
                <w:szCs w:val="18"/>
                <w:lang w:val="en-US"/>
              </w:rPr>
            </w:pPr>
            <w:r>
              <w:rPr>
                <w:rFonts w:hint="default" w:ascii="Times New Roman" w:hAnsi="Times New Roman" w:eastAsia="宋体" w:cs="Times New Roman"/>
                <w:b/>
                <w:bCs/>
                <w:sz w:val="18"/>
                <w:szCs w:val="18"/>
                <w:lang w:val="en-US" w:eastAsia="zh-CN"/>
              </w:rPr>
              <w:t>1.4</w:t>
            </w:r>
          </w:p>
        </w:tc>
        <w:tc>
          <w:tcPr>
            <w:tcW w:w="1022" w:type="dxa"/>
            <w:vMerge w:val="restart"/>
            <w:noWrap w:val="0"/>
            <w:vAlign w:val="top"/>
          </w:tcPr>
          <w:p>
            <w:pPr>
              <w:spacing w:line="280" w:lineRule="exact"/>
              <w:jc w:val="center"/>
              <w:rPr>
                <w:rFonts w:hint="default" w:ascii="Times New Roman" w:hAnsi="Times New Roman" w:eastAsia="宋体" w:cs="Times New Roman"/>
                <w:b/>
                <w:bCs/>
                <w:sz w:val="18"/>
                <w:szCs w:val="18"/>
                <w:lang w:eastAsia="zh-CN"/>
              </w:rPr>
            </w:pPr>
          </w:p>
          <w:p>
            <w:pPr>
              <w:spacing w:line="280" w:lineRule="exact"/>
              <w:jc w:val="center"/>
              <w:rPr>
                <w:rFonts w:hint="default" w:ascii="Times New Roman" w:hAnsi="Times New Roman" w:eastAsia="宋体" w:cs="Times New Roman"/>
                <w:b/>
                <w:bCs/>
                <w:sz w:val="18"/>
                <w:szCs w:val="18"/>
                <w:lang w:eastAsia="zh-CN"/>
              </w:rPr>
            </w:pPr>
          </w:p>
          <w:p>
            <w:pPr>
              <w:spacing w:line="280" w:lineRule="exact"/>
              <w:jc w:val="center"/>
              <w:rPr>
                <w:rFonts w:hint="default" w:ascii="Times New Roman" w:hAnsi="Times New Roman" w:eastAsia="宋体" w:cs="Times New Roman"/>
                <w:b/>
                <w:bCs/>
                <w:sz w:val="18"/>
                <w:szCs w:val="18"/>
                <w:lang w:eastAsia="zh-CN"/>
              </w:rPr>
            </w:pPr>
          </w:p>
          <w:p>
            <w:pPr>
              <w:spacing w:line="280" w:lineRule="exact"/>
              <w:jc w:val="left"/>
              <w:rPr>
                <w:rFonts w:hint="default" w:ascii="Times New Roman" w:hAnsi="Times New Roman" w:eastAsia="宋体" w:cs="Times New Roman"/>
                <w:b/>
                <w:bCs/>
                <w:sz w:val="18"/>
                <w:szCs w:val="18"/>
                <w:lang w:eastAsia="zh-CN"/>
              </w:rPr>
            </w:pPr>
            <w:r>
              <w:rPr>
                <w:rFonts w:hint="default" w:ascii="Times New Roman" w:hAnsi="Times New Roman" w:eastAsia="宋体" w:cs="Times New Roman"/>
                <w:b/>
                <w:bCs/>
                <w:sz w:val="18"/>
                <w:szCs w:val="18"/>
                <w:lang w:eastAsia="zh-CN"/>
              </w:rPr>
              <w:t>完成省、市分解任务</w:t>
            </w:r>
          </w:p>
        </w:tc>
        <w:tc>
          <w:tcPr>
            <w:tcW w:w="1378" w:type="dxa"/>
            <w:noWrap w:val="0"/>
            <w:vAlign w:val="top"/>
          </w:tcPr>
          <w:p>
            <w:pPr>
              <w:spacing w:line="280" w:lineRule="exact"/>
              <w:jc w:val="center"/>
              <w:rPr>
                <w:rFonts w:hint="default" w:ascii="Times New Roman" w:hAnsi="Times New Roman" w:eastAsia="宋体" w:cs="Times New Roman"/>
                <w:b/>
                <w:bCs/>
                <w:sz w:val="18"/>
                <w:szCs w:val="18"/>
                <w:lang w:eastAsia="zh-CN"/>
              </w:rPr>
            </w:pPr>
            <w:r>
              <w:rPr>
                <w:rFonts w:hint="default" w:ascii="Times New Roman" w:hAnsi="Times New Roman" w:eastAsia="宋体" w:cs="Times New Roman"/>
                <w:b/>
                <w:bCs/>
                <w:sz w:val="18"/>
                <w:szCs w:val="18"/>
                <w:lang w:eastAsia="zh-CN"/>
              </w:rPr>
              <w:t>—</w:t>
            </w:r>
          </w:p>
        </w:tc>
        <w:tc>
          <w:tcPr>
            <w:tcW w:w="1054" w:type="dxa"/>
            <w:noWrap w:val="0"/>
            <w:vAlign w:val="center"/>
          </w:tcPr>
          <w:p>
            <w:pPr>
              <w:spacing w:line="280" w:lineRule="exact"/>
              <w:jc w:val="center"/>
              <w:rPr>
                <w:rFonts w:hint="default" w:ascii="Times New Roman" w:hAnsi="Times New Roman" w:eastAsia="宋体" w:cs="Times New Roman"/>
                <w:b/>
                <w:bCs/>
                <w:sz w:val="18"/>
                <w:szCs w:val="18"/>
                <w:lang w:eastAsia="zh-CN"/>
              </w:rPr>
            </w:pPr>
            <w:r>
              <w:rPr>
                <w:rFonts w:hint="default" w:ascii="Times New Roman" w:hAnsi="Times New Roman" w:eastAsia="宋体" w:cs="Times New Roman"/>
                <w:b/>
                <w:bCs/>
                <w:sz w:val="18"/>
                <w:szCs w:val="18"/>
                <w:lang w:eastAsia="zh-CN"/>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5" w:type="dxa"/>
            <w:vMerge w:val="continue"/>
            <w:noWrap w:val="0"/>
            <w:vAlign w:val="center"/>
          </w:tcPr>
          <w:p>
            <w:pPr>
              <w:spacing w:line="280" w:lineRule="exact"/>
              <w:rPr>
                <w:rFonts w:hint="default" w:ascii="Times New Roman" w:hAnsi="Times New Roman" w:eastAsia="宋体" w:cs="Times New Roman"/>
                <w:b/>
                <w:bCs/>
                <w:sz w:val="15"/>
                <w:szCs w:val="15"/>
              </w:rPr>
            </w:pPr>
          </w:p>
        </w:tc>
        <w:tc>
          <w:tcPr>
            <w:tcW w:w="3685" w:type="dxa"/>
            <w:noWrap w:val="0"/>
            <w:vAlign w:val="center"/>
          </w:tcPr>
          <w:p>
            <w:pPr>
              <w:spacing w:line="280" w:lineRule="exact"/>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（18）单位地区生产总值二氧化碳排放量降低（%）</w:t>
            </w:r>
          </w:p>
        </w:tc>
        <w:tc>
          <w:tcPr>
            <w:tcW w:w="823" w:type="dxa"/>
            <w:noWrap w:val="0"/>
            <w:vAlign w:val="center"/>
          </w:tcPr>
          <w:p>
            <w:pPr>
              <w:spacing w:line="280" w:lineRule="exact"/>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w:t>
            </w:r>
          </w:p>
        </w:tc>
        <w:tc>
          <w:tcPr>
            <w:tcW w:w="1022" w:type="dxa"/>
            <w:vMerge w:val="continue"/>
            <w:noWrap w:val="0"/>
            <w:vAlign w:val="top"/>
          </w:tcPr>
          <w:p>
            <w:pPr>
              <w:spacing w:line="280" w:lineRule="exact"/>
              <w:jc w:val="center"/>
              <w:rPr>
                <w:rFonts w:hint="default" w:ascii="Times New Roman" w:hAnsi="Times New Roman" w:eastAsia="宋体" w:cs="Times New Roman"/>
                <w:b/>
                <w:bCs/>
                <w:sz w:val="18"/>
                <w:szCs w:val="18"/>
                <w:lang w:val="en-US" w:eastAsia="zh-CN"/>
              </w:rPr>
            </w:pPr>
          </w:p>
        </w:tc>
        <w:tc>
          <w:tcPr>
            <w:tcW w:w="1378" w:type="dxa"/>
            <w:noWrap w:val="0"/>
            <w:vAlign w:val="center"/>
          </w:tcPr>
          <w:p>
            <w:pPr>
              <w:spacing w:line="280" w:lineRule="exact"/>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w:t>
            </w:r>
          </w:p>
        </w:tc>
        <w:tc>
          <w:tcPr>
            <w:tcW w:w="1054" w:type="dxa"/>
            <w:noWrap w:val="0"/>
            <w:vAlign w:val="center"/>
          </w:tcPr>
          <w:p>
            <w:pPr>
              <w:spacing w:line="280" w:lineRule="exact"/>
              <w:jc w:val="center"/>
              <w:rPr>
                <w:rFonts w:hint="default" w:ascii="Times New Roman" w:hAnsi="Times New Roman" w:eastAsia="宋体" w:cs="Times New Roman"/>
                <w:b/>
                <w:bCs/>
                <w:sz w:val="18"/>
                <w:szCs w:val="18"/>
                <w:lang w:eastAsia="zh-CN"/>
              </w:rPr>
            </w:pPr>
            <w:r>
              <w:rPr>
                <w:rFonts w:hint="default" w:ascii="Times New Roman" w:hAnsi="Times New Roman" w:eastAsia="宋体" w:cs="Times New Roman"/>
                <w:b/>
                <w:bCs/>
                <w:sz w:val="18"/>
                <w:szCs w:val="18"/>
                <w:lang w:eastAsia="zh-CN"/>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5" w:type="dxa"/>
            <w:vMerge w:val="continue"/>
            <w:noWrap w:val="0"/>
            <w:vAlign w:val="center"/>
          </w:tcPr>
          <w:p>
            <w:pPr>
              <w:spacing w:line="280" w:lineRule="exact"/>
              <w:rPr>
                <w:rFonts w:hint="default" w:ascii="Times New Roman" w:hAnsi="Times New Roman" w:eastAsia="宋体" w:cs="Times New Roman"/>
                <w:b/>
                <w:bCs/>
                <w:sz w:val="15"/>
                <w:szCs w:val="15"/>
              </w:rPr>
            </w:pPr>
          </w:p>
        </w:tc>
        <w:tc>
          <w:tcPr>
            <w:tcW w:w="3685" w:type="dxa"/>
            <w:noWrap w:val="0"/>
            <w:vAlign w:val="center"/>
          </w:tcPr>
          <w:p>
            <w:pPr>
              <w:spacing w:line="280" w:lineRule="exact"/>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w:t>
            </w:r>
            <w:r>
              <w:rPr>
                <w:rFonts w:hint="default" w:ascii="Times New Roman" w:hAnsi="Times New Roman" w:eastAsia="宋体" w:cs="Times New Roman"/>
                <w:b/>
                <w:bCs/>
                <w:sz w:val="18"/>
                <w:szCs w:val="18"/>
                <w:lang w:val="en-US" w:eastAsia="zh-CN"/>
              </w:rPr>
              <w:t>19</w:t>
            </w:r>
            <w:r>
              <w:rPr>
                <w:rFonts w:hint="default" w:ascii="Times New Roman" w:hAnsi="Times New Roman" w:eastAsia="宋体" w:cs="Times New Roman"/>
                <w:b/>
                <w:bCs/>
                <w:sz w:val="18"/>
                <w:szCs w:val="18"/>
              </w:rPr>
              <w:t>）城市空气质量优良天数比率（%）</w:t>
            </w:r>
          </w:p>
        </w:tc>
        <w:tc>
          <w:tcPr>
            <w:tcW w:w="823" w:type="dxa"/>
            <w:noWrap w:val="0"/>
            <w:vAlign w:val="top"/>
          </w:tcPr>
          <w:p>
            <w:pPr>
              <w:spacing w:line="280" w:lineRule="exact"/>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9</w:t>
            </w:r>
            <w:r>
              <w:rPr>
                <w:rFonts w:hint="default" w:ascii="Times New Roman" w:hAnsi="Times New Roman" w:eastAsia="宋体" w:cs="Times New Roman"/>
                <w:b/>
                <w:bCs/>
                <w:sz w:val="18"/>
                <w:szCs w:val="18"/>
                <w:lang w:val="en-US" w:eastAsia="zh-CN"/>
              </w:rPr>
              <w:t>3.4</w:t>
            </w:r>
          </w:p>
        </w:tc>
        <w:tc>
          <w:tcPr>
            <w:tcW w:w="1022" w:type="dxa"/>
            <w:vMerge w:val="continue"/>
            <w:noWrap w:val="0"/>
            <w:vAlign w:val="top"/>
          </w:tcPr>
          <w:p>
            <w:pPr>
              <w:spacing w:line="280" w:lineRule="exact"/>
              <w:jc w:val="center"/>
              <w:rPr>
                <w:rFonts w:hint="default" w:ascii="Times New Roman" w:hAnsi="Times New Roman" w:eastAsia="宋体" w:cs="Times New Roman"/>
                <w:b/>
                <w:bCs/>
                <w:sz w:val="18"/>
                <w:szCs w:val="18"/>
              </w:rPr>
            </w:pPr>
          </w:p>
        </w:tc>
        <w:tc>
          <w:tcPr>
            <w:tcW w:w="1378" w:type="dxa"/>
            <w:noWrap w:val="0"/>
            <w:vAlign w:val="top"/>
          </w:tcPr>
          <w:p>
            <w:pPr>
              <w:spacing w:line="280" w:lineRule="exact"/>
              <w:jc w:val="center"/>
              <w:rPr>
                <w:rFonts w:hint="default" w:ascii="Times New Roman" w:hAnsi="Times New Roman" w:eastAsia="宋体" w:cs="Times New Roman"/>
                <w:b/>
                <w:bCs/>
                <w:sz w:val="18"/>
                <w:szCs w:val="18"/>
                <w:lang w:eastAsia="zh-CN"/>
              </w:rPr>
            </w:pPr>
            <w:r>
              <w:rPr>
                <w:rFonts w:hint="default" w:ascii="Times New Roman" w:hAnsi="Times New Roman" w:eastAsia="宋体" w:cs="Times New Roman"/>
                <w:b/>
                <w:bCs/>
                <w:sz w:val="18"/>
                <w:szCs w:val="18"/>
                <w:lang w:eastAsia="zh-CN"/>
              </w:rPr>
              <w:t>—</w:t>
            </w:r>
          </w:p>
        </w:tc>
        <w:tc>
          <w:tcPr>
            <w:tcW w:w="1054" w:type="dxa"/>
            <w:noWrap w:val="0"/>
            <w:vAlign w:val="center"/>
          </w:tcPr>
          <w:p>
            <w:pPr>
              <w:spacing w:line="280" w:lineRule="exact"/>
              <w:jc w:val="center"/>
              <w:rPr>
                <w:rFonts w:hint="default" w:ascii="Times New Roman" w:hAnsi="Times New Roman" w:eastAsia="宋体" w:cs="Times New Roman"/>
                <w:b/>
                <w:bCs/>
                <w:sz w:val="18"/>
                <w:szCs w:val="18"/>
                <w:lang w:eastAsia="zh-CN"/>
              </w:rPr>
            </w:pPr>
            <w:r>
              <w:rPr>
                <w:rFonts w:hint="default" w:ascii="Times New Roman" w:hAnsi="Times New Roman" w:eastAsia="宋体" w:cs="Times New Roman"/>
                <w:b/>
                <w:bCs/>
                <w:sz w:val="18"/>
                <w:szCs w:val="18"/>
                <w:lang w:eastAsia="zh-CN"/>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735" w:type="dxa"/>
            <w:vMerge w:val="continue"/>
            <w:noWrap w:val="0"/>
            <w:vAlign w:val="center"/>
          </w:tcPr>
          <w:p>
            <w:pPr>
              <w:spacing w:line="280" w:lineRule="exact"/>
              <w:rPr>
                <w:rFonts w:hint="default" w:ascii="Times New Roman" w:hAnsi="Times New Roman" w:eastAsia="宋体" w:cs="Times New Roman"/>
                <w:b/>
                <w:bCs/>
                <w:sz w:val="15"/>
                <w:szCs w:val="15"/>
              </w:rPr>
            </w:pPr>
          </w:p>
        </w:tc>
        <w:tc>
          <w:tcPr>
            <w:tcW w:w="3685" w:type="dxa"/>
            <w:noWrap w:val="0"/>
            <w:vAlign w:val="center"/>
          </w:tcPr>
          <w:p>
            <w:pPr>
              <w:spacing w:line="280" w:lineRule="exact"/>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w:t>
            </w:r>
            <w:r>
              <w:rPr>
                <w:rFonts w:hint="default" w:ascii="Times New Roman" w:hAnsi="Times New Roman" w:eastAsia="宋体" w:cs="Times New Roman"/>
                <w:b/>
                <w:bCs/>
                <w:sz w:val="18"/>
                <w:szCs w:val="18"/>
                <w:lang w:val="en-US" w:eastAsia="zh-CN"/>
              </w:rPr>
              <w:t>20</w:t>
            </w:r>
            <w:r>
              <w:rPr>
                <w:rFonts w:hint="default" w:ascii="Times New Roman" w:hAnsi="Times New Roman" w:eastAsia="宋体" w:cs="Times New Roman"/>
                <w:b/>
                <w:bCs/>
                <w:sz w:val="18"/>
                <w:szCs w:val="18"/>
              </w:rPr>
              <w:t>）</w:t>
            </w:r>
            <w:r>
              <w:rPr>
                <w:rFonts w:hint="default" w:ascii="Times New Roman" w:hAnsi="Times New Roman" w:eastAsia="宋体" w:cs="Times New Roman"/>
                <w:b/>
                <w:bCs/>
                <w:sz w:val="18"/>
                <w:szCs w:val="18"/>
                <w:lang w:eastAsia="zh-CN"/>
              </w:rPr>
              <w:t>地表水</w:t>
            </w:r>
            <w:r>
              <w:rPr>
                <w:rFonts w:hint="default" w:ascii="Times New Roman" w:hAnsi="Times New Roman" w:eastAsia="宋体" w:cs="Times New Roman"/>
                <w:b/>
                <w:bCs/>
                <w:sz w:val="18"/>
                <w:szCs w:val="18"/>
              </w:rPr>
              <w:t>达到或好于三类水体比重（%）</w:t>
            </w:r>
          </w:p>
        </w:tc>
        <w:tc>
          <w:tcPr>
            <w:tcW w:w="823" w:type="dxa"/>
            <w:noWrap w:val="0"/>
            <w:vAlign w:val="top"/>
          </w:tcPr>
          <w:p>
            <w:pPr>
              <w:spacing w:line="280" w:lineRule="exact"/>
              <w:jc w:val="center"/>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100（仅指河流国控断面）</w:t>
            </w:r>
          </w:p>
        </w:tc>
        <w:tc>
          <w:tcPr>
            <w:tcW w:w="1022" w:type="dxa"/>
            <w:vMerge w:val="continue"/>
            <w:noWrap w:val="0"/>
            <w:vAlign w:val="top"/>
          </w:tcPr>
          <w:p>
            <w:pPr>
              <w:spacing w:line="280" w:lineRule="exact"/>
              <w:jc w:val="center"/>
              <w:rPr>
                <w:rFonts w:hint="default" w:ascii="Times New Roman" w:hAnsi="Times New Roman" w:eastAsia="宋体" w:cs="Times New Roman"/>
                <w:b/>
                <w:bCs/>
                <w:sz w:val="18"/>
                <w:szCs w:val="18"/>
              </w:rPr>
            </w:pPr>
          </w:p>
        </w:tc>
        <w:tc>
          <w:tcPr>
            <w:tcW w:w="1378" w:type="dxa"/>
            <w:noWrap w:val="0"/>
            <w:vAlign w:val="top"/>
          </w:tcPr>
          <w:p>
            <w:pPr>
              <w:spacing w:line="280" w:lineRule="exact"/>
              <w:jc w:val="center"/>
              <w:rPr>
                <w:rFonts w:hint="default" w:ascii="Times New Roman" w:hAnsi="Times New Roman" w:eastAsia="宋体" w:cs="Times New Roman"/>
                <w:b/>
                <w:bCs/>
                <w:sz w:val="18"/>
                <w:szCs w:val="18"/>
                <w:lang w:eastAsia="zh-CN"/>
              </w:rPr>
            </w:pPr>
          </w:p>
          <w:p>
            <w:pPr>
              <w:spacing w:line="280" w:lineRule="exact"/>
              <w:jc w:val="center"/>
              <w:rPr>
                <w:rFonts w:hint="default" w:ascii="Times New Roman" w:hAnsi="Times New Roman" w:eastAsia="宋体" w:cs="Times New Roman"/>
                <w:b/>
                <w:bCs/>
                <w:sz w:val="18"/>
                <w:szCs w:val="18"/>
                <w:lang w:eastAsia="zh-CN"/>
              </w:rPr>
            </w:pPr>
            <w:r>
              <w:rPr>
                <w:rFonts w:hint="default" w:ascii="Times New Roman" w:hAnsi="Times New Roman" w:eastAsia="宋体" w:cs="Times New Roman"/>
                <w:b/>
                <w:bCs/>
                <w:sz w:val="18"/>
                <w:szCs w:val="18"/>
                <w:lang w:eastAsia="zh-CN"/>
              </w:rPr>
              <w:t>—</w:t>
            </w:r>
          </w:p>
        </w:tc>
        <w:tc>
          <w:tcPr>
            <w:tcW w:w="1054" w:type="dxa"/>
            <w:noWrap w:val="0"/>
            <w:vAlign w:val="center"/>
          </w:tcPr>
          <w:p>
            <w:pPr>
              <w:spacing w:line="280" w:lineRule="exact"/>
              <w:jc w:val="center"/>
              <w:rPr>
                <w:rFonts w:hint="default" w:ascii="Times New Roman" w:hAnsi="Times New Roman" w:eastAsia="宋体" w:cs="Times New Roman"/>
                <w:b/>
                <w:bCs/>
                <w:sz w:val="18"/>
                <w:szCs w:val="18"/>
                <w:lang w:eastAsia="zh-CN"/>
              </w:rPr>
            </w:pPr>
            <w:r>
              <w:rPr>
                <w:rFonts w:hint="default" w:ascii="Times New Roman" w:hAnsi="Times New Roman" w:eastAsia="宋体" w:cs="Times New Roman"/>
                <w:b/>
                <w:bCs/>
                <w:sz w:val="18"/>
                <w:szCs w:val="18"/>
                <w:lang w:eastAsia="zh-CN"/>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735" w:type="dxa"/>
            <w:vMerge w:val="continue"/>
            <w:noWrap w:val="0"/>
            <w:vAlign w:val="center"/>
          </w:tcPr>
          <w:p>
            <w:pPr>
              <w:spacing w:line="280" w:lineRule="exact"/>
              <w:rPr>
                <w:rFonts w:hint="default" w:ascii="Times New Roman" w:hAnsi="Times New Roman" w:eastAsia="宋体" w:cs="Times New Roman"/>
                <w:b/>
                <w:bCs/>
                <w:sz w:val="15"/>
                <w:szCs w:val="15"/>
              </w:rPr>
            </w:pPr>
          </w:p>
        </w:tc>
        <w:tc>
          <w:tcPr>
            <w:tcW w:w="3685" w:type="dxa"/>
            <w:noWrap w:val="0"/>
            <w:vAlign w:val="center"/>
          </w:tcPr>
          <w:p>
            <w:pPr>
              <w:spacing w:line="280" w:lineRule="exact"/>
              <w:rPr>
                <w:rFonts w:hint="default" w:ascii="Times New Roman" w:hAnsi="Times New Roman" w:eastAsia="宋体" w:cs="Times New Roman"/>
                <w:b/>
                <w:bCs/>
                <w:color w:val="000000"/>
                <w:sz w:val="18"/>
                <w:szCs w:val="18"/>
              </w:rPr>
            </w:pPr>
            <w:r>
              <w:rPr>
                <w:rFonts w:hint="default" w:ascii="Times New Roman" w:hAnsi="Times New Roman" w:eastAsia="宋体" w:cs="Times New Roman"/>
                <w:b/>
                <w:bCs/>
                <w:color w:val="000000"/>
                <w:sz w:val="18"/>
                <w:szCs w:val="18"/>
              </w:rPr>
              <w:t>（</w:t>
            </w:r>
            <w:r>
              <w:rPr>
                <w:rFonts w:hint="default" w:ascii="Times New Roman" w:hAnsi="Times New Roman" w:eastAsia="宋体" w:cs="Times New Roman"/>
                <w:b/>
                <w:bCs/>
                <w:color w:val="000000"/>
                <w:sz w:val="18"/>
                <w:szCs w:val="18"/>
                <w:lang w:val="en-US" w:eastAsia="zh-CN"/>
              </w:rPr>
              <w:t>21</w:t>
            </w:r>
            <w:r>
              <w:rPr>
                <w:rFonts w:hint="default" w:ascii="Times New Roman" w:hAnsi="Times New Roman" w:eastAsia="宋体" w:cs="Times New Roman"/>
                <w:b/>
                <w:bCs/>
                <w:color w:val="000000"/>
                <w:sz w:val="18"/>
                <w:szCs w:val="18"/>
              </w:rPr>
              <w:t>）森林覆盖率（%）</w:t>
            </w:r>
          </w:p>
        </w:tc>
        <w:tc>
          <w:tcPr>
            <w:tcW w:w="823" w:type="dxa"/>
            <w:noWrap w:val="0"/>
            <w:vAlign w:val="top"/>
          </w:tcPr>
          <w:p>
            <w:pPr>
              <w:spacing w:line="280" w:lineRule="exact"/>
              <w:jc w:val="center"/>
              <w:rPr>
                <w:rFonts w:hint="default" w:ascii="Times New Roman" w:hAnsi="Times New Roman" w:eastAsia="宋体" w:cs="Times New Roman"/>
                <w:b/>
                <w:bCs/>
                <w:color w:val="000000"/>
                <w:sz w:val="18"/>
                <w:szCs w:val="18"/>
                <w:lang w:val="en-US" w:eastAsia="zh-CN"/>
              </w:rPr>
            </w:pPr>
            <w:r>
              <w:rPr>
                <w:rFonts w:hint="default" w:ascii="Times New Roman" w:hAnsi="Times New Roman" w:eastAsia="宋体" w:cs="Times New Roman"/>
                <w:b/>
                <w:bCs/>
                <w:color w:val="000000"/>
                <w:sz w:val="18"/>
                <w:szCs w:val="18"/>
                <w:lang w:val="en-US" w:eastAsia="zh-CN"/>
              </w:rPr>
              <w:t xml:space="preserve">29.7 </w:t>
            </w:r>
          </w:p>
        </w:tc>
        <w:tc>
          <w:tcPr>
            <w:tcW w:w="1022" w:type="dxa"/>
            <w:noWrap w:val="0"/>
            <w:vAlign w:val="top"/>
          </w:tcPr>
          <w:p>
            <w:pPr>
              <w:spacing w:line="280" w:lineRule="exact"/>
              <w:jc w:val="center"/>
              <w:rPr>
                <w:rFonts w:hint="default" w:ascii="Times New Roman" w:hAnsi="Times New Roman" w:eastAsia="宋体" w:cs="Times New Roman"/>
                <w:b/>
                <w:bCs/>
                <w:color w:val="000000"/>
                <w:sz w:val="18"/>
                <w:szCs w:val="18"/>
                <w:lang w:val="en-US" w:eastAsia="zh-CN"/>
              </w:rPr>
            </w:pPr>
            <w:r>
              <w:rPr>
                <w:rFonts w:hint="default" w:ascii="Times New Roman" w:hAnsi="Times New Roman" w:eastAsia="宋体" w:cs="Times New Roman"/>
                <w:b/>
                <w:bCs/>
                <w:color w:val="000000"/>
                <w:sz w:val="18"/>
                <w:szCs w:val="18"/>
                <w:lang w:val="en-US" w:eastAsia="zh-CN"/>
              </w:rPr>
              <w:t>30.2</w:t>
            </w:r>
          </w:p>
        </w:tc>
        <w:tc>
          <w:tcPr>
            <w:tcW w:w="1378" w:type="dxa"/>
            <w:noWrap w:val="0"/>
            <w:vAlign w:val="top"/>
          </w:tcPr>
          <w:p>
            <w:pPr>
              <w:spacing w:line="280" w:lineRule="exact"/>
              <w:jc w:val="center"/>
              <w:rPr>
                <w:rFonts w:hint="default" w:ascii="Times New Roman" w:hAnsi="Times New Roman" w:eastAsia="宋体" w:cs="Times New Roman"/>
                <w:b/>
                <w:bCs/>
                <w:color w:val="000000"/>
                <w:sz w:val="18"/>
                <w:szCs w:val="18"/>
                <w:lang w:val="en-US" w:eastAsia="zh-CN"/>
              </w:rPr>
            </w:pPr>
            <w:r>
              <w:rPr>
                <w:rFonts w:hint="default" w:ascii="Times New Roman" w:hAnsi="Times New Roman" w:eastAsia="宋体" w:cs="Times New Roman"/>
                <w:b/>
                <w:bCs/>
                <w:color w:val="000000"/>
                <w:sz w:val="18"/>
                <w:szCs w:val="18"/>
                <w:lang w:val="en-US" w:eastAsia="zh-CN"/>
              </w:rPr>
              <w:t>[0.5]</w:t>
            </w:r>
          </w:p>
        </w:tc>
        <w:tc>
          <w:tcPr>
            <w:tcW w:w="1054" w:type="dxa"/>
            <w:noWrap w:val="0"/>
            <w:vAlign w:val="center"/>
          </w:tcPr>
          <w:p>
            <w:pPr>
              <w:spacing w:line="280" w:lineRule="exact"/>
              <w:jc w:val="center"/>
              <w:rPr>
                <w:rFonts w:hint="default" w:ascii="Times New Roman" w:hAnsi="Times New Roman" w:eastAsia="宋体" w:cs="Times New Roman"/>
                <w:b/>
                <w:bCs/>
                <w:color w:val="000000"/>
                <w:sz w:val="18"/>
                <w:szCs w:val="18"/>
                <w:lang w:eastAsia="zh-CN"/>
              </w:rPr>
            </w:pPr>
            <w:r>
              <w:rPr>
                <w:rFonts w:hint="default" w:ascii="Times New Roman" w:hAnsi="Times New Roman" w:eastAsia="宋体" w:cs="Times New Roman"/>
                <w:b/>
                <w:bCs/>
                <w:color w:val="000000"/>
                <w:sz w:val="18"/>
                <w:szCs w:val="18"/>
                <w:lang w:eastAsia="zh-CN"/>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5" w:type="dxa"/>
            <w:vMerge w:val="restart"/>
            <w:noWrap w:val="0"/>
            <w:vAlign w:val="center"/>
          </w:tcPr>
          <w:p>
            <w:pPr>
              <w:spacing w:line="280" w:lineRule="exact"/>
              <w:jc w:val="center"/>
              <w:rPr>
                <w:rFonts w:hint="default" w:ascii="Times New Roman" w:hAnsi="Times New Roman" w:eastAsia="宋体" w:cs="Times New Roman"/>
                <w:b/>
                <w:bCs/>
                <w:sz w:val="15"/>
                <w:szCs w:val="15"/>
                <w:lang w:eastAsia="zh-CN"/>
              </w:rPr>
            </w:pPr>
            <w:r>
              <w:rPr>
                <w:rFonts w:hint="default" w:ascii="Times New Roman" w:hAnsi="Times New Roman" w:eastAsia="宋体" w:cs="Times New Roman"/>
                <w:b/>
                <w:bCs/>
                <w:sz w:val="15"/>
                <w:szCs w:val="15"/>
                <w:lang w:eastAsia="zh-CN"/>
              </w:rPr>
              <w:t>安全</w:t>
            </w:r>
          </w:p>
          <w:p>
            <w:pPr>
              <w:spacing w:line="280" w:lineRule="exact"/>
              <w:jc w:val="center"/>
              <w:rPr>
                <w:rFonts w:hint="default" w:ascii="Times New Roman" w:hAnsi="Times New Roman" w:eastAsia="宋体" w:cs="Times New Roman"/>
                <w:b/>
                <w:bCs/>
                <w:sz w:val="15"/>
                <w:szCs w:val="15"/>
                <w:lang w:eastAsia="zh-CN"/>
              </w:rPr>
            </w:pPr>
            <w:r>
              <w:rPr>
                <w:rFonts w:hint="default" w:ascii="Times New Roman" w:hAnsi="Times New Roman" w:eastAsia="宋体" w:cs="Times New Roman"/>
                <w:b/>
                <w:bCs/>
                <w:sz w:val="15"/>
                <w:szCs w:val="15"/>
                <w:lang w:eastAsia="zh-CN"/>
              </w:rPr>
              <w:t>保障</w:t>
            </w:r>
          </w:p>
        </w:tc>
        <w:tc>
          <w:tcPr>
            <w:tcW w:w="3685" w:type="dxa"/>
            <w:noWrap w:val="0"/>
            <w:vAlign w:val="center"/>
          </w:tcPr>
          <w:p>
            <w:pPr>
              <w:spacing w:line="280" w:lineRule="exact"/>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rPr>
              <w:t>（</w:t>
            </w:r>
            <w:r>
              <w:rPr>
                <w:rFonts w:hint="default" w:ascii="Times New Roman" w:hAnsi="Times New Roman" w:eastAsia="宋体" w:cs="Times New Roman"/>
                <w:b/>
                <w:bCs/>
                <w:sz w:val="18"/>
                <w:szCs w:val="18"/>
                <w:lang w:val="en-US" w:eastAsia="zh-CN"/>
              </w:rPr>
              <w:t>22</w:t>
            </w:r>
            <w:r>
              <w:rPr>
                <w:rFonts w:hint="default" w:ascii="Times New Roman" w:hAnsi="Times New Roman" w:eastAsia="宋体" w:cs="Times New Roman"/>
                <w:b/>
                <w:bCs/>
                <w:sz w:val="18"/>
                <w:szCs w:val="18"/>
              </w:rPr>
              <w:t>）粮食综合生产能力（万吨）</w:t>
            </w:r>
          </w:p>
        </w:tc>
        <w:tc>
          <w:tcPr>
            <w:tcW w:w="823" w:type="dxa"/>
            <w:noWrap w:val="0"/>
            <w:vAlign w:val="center"/>
          </w:tcPr>
          <w:p>
            <w:pPr>
              <w:spacing w:line="280" w:lineRule="exact"/>
              <w:jc w:val="center"/>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lang w:val="en-US" w:eastAsia="zh-CN"/>
              </w:rPr>
              <w:t>20.6</w:t>
            </w:r>
          </w:p>
        </w:tc>
        <w:tc>
          <w:tcPr>
            <w:tcW w:w="1022" w:type="dxa"/>
            <w:noWrap w:val="0"/>
            <w:vAlign w:val="center"/>
          </w:tcPr>
          <w:p>
            <w:pPr>
              <w:spacing w:line="280" w:lineRule="exact"/>
              <w:jc w:val="center"/>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lang w:val="en-US" w:eastAsia="zh-CN"/>
              </w:rPr>
              <w:t>23</w:t>
            </w:r>
          </w:p>
        </w:tc>
        <w:tc>
          <w:tcPr>
            <w:tcW w:w="1378" w:type="dxa"/>
            <w:noWrap w:val="0"/>
            <w:vAlign w:val="center"/>
          </w:tcPr>
          <w:p>
            <w:pPr>
              <w:spacing w:line="280" w:lineRule="exact"/>
              <w:jc w:val="center"/>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lang w:val="en-US" w:eastAsia="zh-CN"/>
              </w:rPr>
              <w:t>2.2</w:t>
            </w:r>
          </w:p>
        </w:tc>
        <w:tc>
          <w:tcPr>
            <w:tcW w:w="1054" w:type="dxa"/>
            <w:noWrap w:val="0"/>
            <w:vAlign w:val="center"/>
          </w:tcPr>
          <w:p>
            <w:pPr>
              <w:spacing w:line="280" w:lineRule="exact"/>
              <w:jc w:val="center"/>
              <w:rPr>
                <w:rFonts w:hint="default" w:ascii="Times New Roman" w:hAnsi="Times New Roman" w:eastAsia="宋体" w:cs="Times New Roman"/>
                <w:b/>
                <w:bCs/>
                <w:kern w:val="2"/>
                <w:sz w:val="18"/>
                <w:szCs w:val="18"/>
                <w:lang w:val="en-US" w:eastAsia="zh-CN" w:bidi="ar-SA"/>
              </w:rPr>
            </w:pPr>
            <w:r>
              <w:rPr>
                <w:rFonts w:hint="default" w:ascii="Times New Roman" w:hAnsi="Times New Roman" w:eastAsia="宋体" w:cs="Times New Roman"/>
                <w:b/>
                <w:bCs/>
                <w:sz w:val="18"/>
                <w:szCs w:val="18"/>
                <w:lang w:eastAsia="zh-CN"/>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5" w:type="dxa"/>
            <w:vMerge w:val="continue"/>
            <w:noWrap w:val="0"/>
            <w:vAlign w:val="center"/>
          </w:tcPr>
          <w:p>
            <w:pPr>
              <w:spacing w:line="280" w:lineRule="exact"/>
              <w:rPr>
                <w:rFonts w:hint="default" w:ascii="Times New Roman" w:hAnsi="Times New Roman" w:eastAsia="宋体" w:cs="Times New Roman"/>
                <w:b/>
                <w:bCs/>
                <w:sz w:val="15"/>
                <w:szCs w:val="15"/>
                <w:lang w:eastAsia="zh-CN"/>
              </w:rPr>
            </w:pPr>
          </w:p>
        </w:tc>
        <w:tc>
          <w:tcPr>
            <w:tcW w:w="3685" w:type="dxa"/>
            <w:noWrap w:val="0"/>
            <w:vAlign w:val="center"/>
          </w:tcPr>
          <w:p>
            <w:pPr>
              <w:spacing w:line="280" w:lineRule="exact"/>
              <w:rPr>
                <w:rFonts w:hint="default" w:ascii="Times New Roman" w:hAnsi="Times New Roman" w:eastAsia="宋体" w:cs="Times New Roman"/>
                <w:b/>
                <w:bCs/>
                <w:sz w:val="18"/>
                <w:szCs w:val="18"/>
                <w:lang w:eastAsia="zh-CN"/>
              </w:rPr>
            </w:pPr>
            <w:r>
              <w:rPr>
                <w:rFonts w:hint="default" w:ascii="Times New Roman" w:hAnsi="Times New Roman" w:eastAsia="宋体" w:cs="Times New Roman"/>
                <w:b/>
                <w:bCs/>
                <w:sz w:val="18"/>
                <w:szCs w:val="18"/>
                <w:lang w:eastAsia="zh-CN"/>
              </w:rPr>
              <w:t>（</w:t>
            </w:r>
            <w:r>
              <w:rPr>
                <w:rFonts w:hint="default" w:ascii="Times New Roman" w:hAnsi="Times New Roman" w:eastAsia="宋体" w:cs="Times New Roman"/>
                <w:b/>
                <w:bCs/>
                <w:sz w:val="18"/>
                <w:szCs w:val="18"/>
                <w:lang w:val="en-US" w:eastAsia="zh-CN"/>
              </w:rPr>
              <w:t>23</w:t>
            </w:r>
            <w:r>
              <w:rPr>
                <w:rFonts w:hint="default" w:ascii="Times New Roman" w:hAnsi="Times New Roman" w:eastAsia="宋体" w:cs="Times New Roman"/>
                <w:b/>
                <w:bCs/>
                <w:sz w:val="18"/>
                <w:szCs w:val="18"/>
                <w:lang w:eastAsia="zh-CN"/>
              </w:rPr>
              <w:t>）能源综合生产能力（万吨标煤）</w:t>
            </w:r>
          </w:p>
        </w:tc>
        <w:tc>
          <w:tcPr>
            <w:tcW w:w="823" w:type="dxa"/>
            <w:noWrap w:val="0"/>
            <w:vAlign w:val="center"/>
          </w:tcPr>
          <w:p>
            <w:pPr>
              <w:spacing w:line="280" w:lineRule="exact"/>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9.36</w:t>
            </w:r>
          </w:p>
        </w:tc>
        <w:tc>
          <w:tcPr>
            <w:tcW w:w="1022" w:type="dxa"/>
            <w:noWrap w:val="0"/>
            <w:vAlign w:val="center"/>
          </w:tcPr>
          <w:p>
            <w:pPr>
              <w:spacing w:line="280" w:lineRule="exact"/>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sz w:val="18"/>
                <w:szCs w:val="18"/>
                <w:lang w:val="en-US" w:eastAsia="zh-CN"/>
              </w:rPr>
              <w:t>13.76</w:t>
            </w:r>
          </w:p>
        </w:tc>
        <w:tc>
          <w:tcPr>
            <w:tcW w:w="1378" w:type="dxa"/>
            <w:noWrap w:val="0"/>
            <w:vAlign w:val="center"/>
          </w:tcPr>
          <w:p>
            <w:pPr>
              <w:spacing w:line="280" w:lineRule="exact"/>
              <w:jc w:val="center"/>
              <w:rPr>
                <w:rFonts w:hint="default" w:ascii="Times New Roman" w:hAnsi="Times New Roman" w:eastAsia="宋体" w:cs="Times New Roman"/>
                <w:b/>
                <w:bCs/>
                <w:sz w:val="18"/>
                <w:szCs w:val="18"/>
                <w:lang w:val="en-US" w:eastAsia="zh-CN"/>
              </w:rPr>
            </w:pPr>
            <w:r>
              <w:rPr>
                <w:rFonts w:hint="default" w:ascii="Times New Roman" w:hAnsi="Times New Roman" w:eastAsia="宋体" w:cs="Times New Roman"/>
                <w:b/>
                <w:bCs/>
                <w:color w:val="000000"/>
                <w:sz w:val="18"/>
                <w:szCs w:val="18"/>
                <w:lang w:val="en-US" w:eastAsia="zh-CN"/>
              </w:rPr>
              <w:t>[4.4]</w:t>
            </w:r>
          </w:p>
        </w:tc>
        <w:tc>
          <w:tcPr>
            <w:tcW w:w="1054" w:type="dxa"/>
            <w:noWrap w:val="0"/>
            <w:vAlign w:val="center"/>
          </w:tcPr>
          <w:p>
            <w:pPr>
              <w:spacing w:line="280" w:lineRule="exact"/>
              <w:jc w:val="center"/>
              <w:rPr>
                <w:rFonts w:hint="default" w:ascii="Times New Roman" w:hAnsi="Times New Roman" w:eastAsia="宋体" w:cs="Times New Roman"/>
                <w:b/>
                <w:bCs/>
                <w:sz w:val="18"/>
                <w:szCs w:val="18"/>
                <w:lang w:eastAsia="zh-CN"/>
              </w:rPr>
            </w:pPr>
            <w:r>
              <w:rPr>
                <w:rFonts w:hint="default" w:ascii="Times New Roman" w:hAnsi="Times New Roman" w:eastAsia="宋体" w:cs="Times New Roman"/>
                <w:b/>
                <w:bCs/>
                <w:sz w:val="18"/>
                <w:szCs w:val="18"/>
                <w:lang w:eastAsia="zh-CN"/>
              </w:rPr>
              <w:t>约束性</w:t>
            </w:r>
          </w:p>
        </w:tc>
      </w:tr>
    </w:tbl>
    <w:p>
      <w:pPr>
        <w:keepNext w:val="0"/>
        <w:keepLines w:val="0"/>
        <w:pageBreakBefore w:val="0"/>
        <w:widowControl w:val="0"/>
        <w:kinsoku/>
        <w:wordWrap/>
        <w:overflowPunct/>
        <w:topLinePunct w:val="0"/>
        <w:autoSpaceDE w:val="0"/>
        <w:autoSpaceDN w:val="0"/>
        <w:bidi w:val="0"/>
        <w:adjustRightInd w:val="0"/>
        <w:snapToGrid/>
        <w:spacing w:after="157" w:afterLines="50" w:line="320" w:lineRule="exact"/>
        <w:jc w:val="center"/>
        <w:textAlignment w:val="auto"/>
        <w:rPr>
          <w:rFonts w:hint="default" w:ascii="Times New Roman" w:hAnsi="Times New Roman" w:eastAsia="黑体" w:cs="Times New Roman"/>
          <w:bCs/>
          <w:color w:val="000000"/>
          <w:sz w:val="34"/>
          <w:szCs w:val="34"/>
        </w:rPr>
      </w:pPr>
      <w:r>
        <w:rPr>
          <w:rFonts w:hint="default" w:ascii="Times New Roman" w:hAnsi="Times New Roman" w:eastAsia="黑体" w:cs="Times New Roman"/>
          <w:color w:val="auto"/>
          <w:kern w:val="0"/>
          <w:sz w:val="32"/>
          <w:szCs w:val="32"/>
          <w:lang w:val="en-US" w:eastAsia="zh-CN" w:bidi="ar-SA"/>
        </w:rPr>
        <w:t>“十四五”时期经济社会发展主要指标</w:t>
      </w:r>
      <w:bookmarkStart w:id="11" w:name="_Toc54561605"/>
      <w:bookmarkStart w:id="12" w:name="_Toc62919412"/>
    </w:p>
    <w:p>
      <w:pPr>
        <w:spacing w:before="156" w:beforeLines="50" w:after="156" w:afterLines="50" w:line="560" w:lineRule="exact"/>
        <w:ind w:firstLine="680" w:firstLineChars="200"/>
        <w:jc w:val="center"/>
        <w:outlineLvl w:val="0"/>
        <w:rPr>
          <w:rFonts w:hint="default" w:ascii="Times New Roman" w:hAnsi="Times New Roman" w:eastAsia="黑体" w:cs="Times New Roman"/>
          <w:bCs/>
          <w:color w:val="000000"/>
          <w:sz w:val="34"/>
          <w:szCs w:val="34"/>
        </w:rPr>
      </w:pPr>
      <w:r>
        <w:rPr>
          <w:rFonts w:hint="default" w:ascii="Times New Roman" w:hAnsi="Times New Roman" w:eastAsia="黑体" w:cs="Times New Roman"/>
          <w:bCs/>
          <w:color w:val="000000"/>
          <w:sz w:val="34"/>
          <w:szCs w:val="34"/>
        </w:rPr>
        <w:t>第二章 加快新旧动能转换 构建现代产业体系</w:t>
      </w:r>
      <w:bookmarkEnd w:id="11"/>
      <w:bookmarkEnd w:id="12"/>
    </w:p>
    <w:p>
      <w:pPr>
        <w:spacing w:line="560" w:lineRule="exact"/>
        <w:ind w:firstLine="640" w:firstLineChars="200"/>
        <w:rPr>
          <w:rFonts w:hint="default" w:ascii="Times New Roman" w:hAnsi="Times New Roman" w:eastAsia="仿宋_GB2312" w:cs="Times New Roman"/>
          <w:bCs/>
          <w:color w:val="000000"/>
          <w:sz w:val="32"/>
          <w:szCs w:val="32"/>
        </w:rPr>
      </w:pPr>
      <w:bookmarkStart w:id="13" w:name="_Toc54561607"/>
      <w:r>
        <w:rPr>
          <w:rFonts w:hint="default" w:ascii="Times New Roman" w:hAnsi="Times New Roman" w:eastAsia="仿宋_GB2312" w:cs="Times New Roman"/>
          <w:bCs/>
          <w:color w:val="000000"/>
          <w:sz w:val="32"/>
          <w:szCs w:val="32"/>
        </w:rPr>
        <w:t>深入实施“产业立市”战略，坚持把产业作为发展之基，“调旧”和“育新”协同发力，以新技术、新产品、新业态、新模式为引领，加快推进产业转型升级和三次产业融合发展，着力构建支撑高质量发展的现代产业体系。</w:t>
      </w:r>
    </w:p>
    <w:p>
      <w:pPr>
        <w:spacing w:before="156" w:beforeLines="50" w:after="156" w:afterLines="50" w:line="560" w:lineRule="exact"/>
        <w:jc w:val="center"/>
        <w:outlineLvl w:val="1"/>
        <w:rPr>
          <w:rFonts w:hint="default" w:ascii="Times New Roman" w:hAnsi="Times New Roman" w:eastAsia="黑体" w:cs="Times New Roman"/>
          <w:color w:val="000000"/>
          <w:sz w:val="32"/>
          <w:szCs w:val="32"/>
        </w:rPr>
      </w:pPr>
      <w:bookmarkStart w:id="14" w:name="_Toc62919413"/>
      <w:bookmarkStart w:id="15" w:name="_Toc59557068"/>
      <w:r>
        <w:rPr>
          <w:rFonts w:hint="default" w:ascii="Times New Roman" w:hAnsi="Times New Roman" w:eastAsia="黑体" w:cs="Times New Roman"/>
          <w:color w:val="000000"/>
          <w:sz w:val="32"/>
          <w:szCs w:val="32"/>
        </w:rPr>
        <w:t>第一节 优化产业空间布局</w:t>
      </w:r>
      <w:bookmarkEnd w:id="14"/>
      <w:bookmarkEnd w:id="15"/>
    </w:p>
    <w:p>
      <w:pPr>
        <w:spacing w:line="56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坚持全域统筹、重点突破，</w:t>
      </w:r>
      <w:r>
        <w:rPr>
          <w:rFonts w:hint="default" w:ascii="Times New Roman" w:hAnsi="Times New Roman" w:eastAsia="仿宋_GB2312" w:cs="Times New Roman"/>
          <w:color w:val="000000"/>
          <w:sz w:val="32"/>
          <w:szCs w:val="32"/>
        </w:rPr>
        <w:t>打造经济开发区和滨海新区两个产业发展核心聚集区，培育重点产业园区、聚集重点产业，沿山景线、海景线科学布局产业，</w:t>
      </w:r>
      <w:r>
        <w:rPr>
          <w:rFonts w:hint="default" w:ascii="Times New Roman" w:hAnsi="Times New Roman" w:eastAsia="仿宋_GB2312" w:cs="Times New Roman"/>
          <w:bCs/>
          <w:color w:val="000000"/>
          <w:sz w:val="32"/>
          <w:szCs w:val="32"/>
        </w:rPr>
        <w:t>加快形成“双核引领，点线突破”的产业发展空间布局。</w:t>
      </w:r>
    </w:p>
    <w:p>
      <w:pPr>
        <w:spacing w:line="56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楷体_GB2312" w:cs="Times New Roman"/>
          <w:bCs/>
          <w:color w:val="000000"/>
          <w:sz w:val="32"/>
          <w:szCs w:val="32"/>
        </w:rPr>
        <w:t>——“双核引领”</w:t>
      </w:r>
      <w:r>
        <w:rPr>
          <w:rFonts w:hint="default" w:ascii="Times New Roman" w:hAnsi="Times New Roman" w:eastAsia="仿宋_GB2312" w:cs="Times New Roman"/>
          <w:bCs/>
          <w:color w:val="000000"/>
          <w:sz w:val="32"/>
          <w:szCs w:val="32"/>
        </w:rPr>
        <w:t>。</w:t>
      </w:r>
      <w:r>
        <w:rPr>
          <w:rFonts w:hint="default" w:ascii="Times New Roman" w:hAnsi="Times New Roman" w:cs="Times New Roman"/>
          <w:color w:val="000000"/>
          <w:sz w:val="32"/>
          <w:szCs w:val="32"/>
        </w:rPr>
        <w:t>经济开发区，</w:t>
      </w:r>
      <w:r>
        <w:rPr>
          <w:rFonts w:hint="default" w:ascii="Times New Roman" w:hAnsi="Times New Roman" w:eastAsia="仿宋_GB2312" w:cs="Times New Roman"/>
          <w:color w:val="000000"/>
          <w:sz w:val="32"/>
          <w:szCs w:val="32"/>
        </w:rPr>
        <w:t>着力打造科技创新的引领区、深化改革的试验区、对外开放的先行区、新旧动能转换的集聚区、高质量发展的示范区。重点发展新能源（汽车）、海洋食品、装备制造、临港物流、特色商贸、信息技术、教育科研等产业。抓住乳山港、莱荣高铁建设契机，规划建设高铁片区和临港片区，其中高铁片区以高铁场站为核心，以打造重要综合交通枢纽、全市经济社会发展新高地为目标，在产业发展上以特色商贸、商务办公、酒店会议、娱乐休闲、高品质居住、科技研发、教育科研等产业为主；</w:t>
      </w:r>
      <w:r>
        <w:rPr>
          <w:rFonts w:hint="default" w:ascii="Times New Roman" w:hAnsi="Times New Roman" w:eastAsia="仿宋_GB2312" w:cs="Times New Roman"/>
          <w:bCs/>
          <w:color w:val="000000"/>
          <w:sz w:val="32"/>
          <w:szCs w:val="32"/>
        </w:rPr>
        <w:t>临港片区打造集临港工业、现代物流、城市生活于一体的新型港区，重点建设集生产加工、仓储、中转、换装、配送于一体的现代化物流基地。</w:t>
      </w:r>
      <w:r>
        <w:rPr>
          <w:rFonts w:hint="default" w:ascii="Times New Roman" w:hAnsi="Times New Roman" w:cs="Times New Roman"/>
          <w:color w:val="000000"/>
          <w:sz w:val="32"/>
          <w:szCs w:val="32"/>
        </w:rPr>
        <w:t>滨海新区，</w:t>
      </w:r>
      <w:r>
        <w:rPr>
          <w:rFonts w:hint="default" w:ascii="Times New Roman" w:hAnsi="Times New Roman" w:eastAsia="仿宋_GB2312" w:cs="Times New Roman"/>
          <w:color w:val="000000"/>
          <w:sz w:val="32"/>
          <w:szCs w:val="32"/>
        </w:rPr>
        <w:t>加快产业转型升级，提升产业层次，打造健康养生和精品文旅高地、大健康智造产业融合示范区以及海洋创新科研产业集聚区。其中，</w:t>
      </w:r>
      <w:r>
        <w:rPr>
          <w:rFonts w:hint="default" w:ascii="Times New Roman" w:hAnsi="Times New Roman" w:eastAsia="仿宋_GB2312" w:cs="Times New Roman"/>
          <w:bCs/>
          <w:color w:val="000000"/>
          <w:sz w:val="32"/>
          <w:szCs w:val="32"/>
        </w:rPr>
        <w:t>银滩核心区以</w:t>
      </w:r>
      <w:r>
        <w:rPr>
          <w:rFonts w:hint="default" w:ascii="Times New Roman" w:hAnsi="Times New Roman" w:eastAsia="仿宋_GB2312" w:cs="Times New Roman"/>
          <w:color w:val="000000"/>
          <w:sz w:val="32"/>
          <w:szCs w:val="32"/>
        </w:rPr>
        <w:t>发展健康养生、健康旅游为重点，强化养生文化体验、滨海旅游休闲、国际休闲旅居、医疗康养示范功能，打造健康养生和精品文旅高地；</w:t>
      </w:r>
      <w:r>
        <w:rPr>
          <w:rFonts w:hint="default" w:ascii="Times New Roman" w:hAnsi="Times New Roman" w:eastAsia="仿宋_GB2312" w:cs="Times New Roman"/>
          <w:bCs/>
          <w:color w:val="000000"/>
          <w:sz w:val="32"/>
          <w:szCs w:val="32"/>
        </w:rPr>
        <w:t>新兴产业园以</w:t>
      </w:r>
      <w:r>
        <w:rPr>
          <w:rFonts w:hint="default" w:ascii="Times New Roman" w:hAnsi="Times New Roman" w:eastAsia="仿宋_GB2312" w:cs="Times New Roman"/>
          <w:color w:val="000000"/>
          <w:sz w:val="32"/>
          <w:szCs w:val="32"/>
        </w:rPr>
        <w:t>发展健康智造为重点，突出健康器械制造、新信息技术开发应用、健康生物科技研发生产功能，打造大健康智造产业融合示范区；</w:t>
      </w:r>
      <w:r>
        <w:rPr>
          <w:rFonts w:hint="default" w:ascii="Times New Roman" w:hAnsi="Times New Roman" w:eastAsia="仿宋_GB2312" w:cs="Times New Roman"/>
          <w:bCs/>
          <w:color w:val="000000"/>
          <w:sz w:val="32"/>
          <w:szCs w:val="32"/>
        </w:rPr>
        <w:t>海湾新城以海洋和生物科技研发、金融服务、教育培训等现代服务业发展为主，打造海洋创新科研产业集聚区。</w:t>
      </w:r>
    </w:p>
    <w:p>
      <w:pPr>
        <w:spacing w:line="56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楷体_GB2312" w:cs="Times New Roman"/>
          <w:color w:val="000000"/>
          <w:sz w:val="32"/>
          <w:szCs w:val="32"/>
        </w:rPr>
        <w:t>——“点线突破”。</w:t>
      </w:r>
      <w:r>
        <w:rPr>
          <w:rFonts w:hint="default" w:ascii="Times New Roman" w:hAnsi="Times New Roman" w:cs="Times New Roman"/>
          <w:bCs/>
          <w:color w:val="000000"/>
          <w:sz w:val="32"/>
          <w:szCs w:val="32"/>
        </w:rPr>
        <w:t>“点”，</w:t>
      </w:r>
      <w:r>
        <w:rPr>
          <w:rFonts w:hint="default" w:ascii="Times New Roman" w:hAnsi="Times New Roman" w:eastAsia="仿宋_GB2312" w:cs="Times New Roman"/>
          <w:color w:val="000000"/>
          <w:sz w:val="32"/>
          <w:szCs w:val="32"/>
        </w:rPr>
        <w:t>以重点产业全产业链聚集发展为方向，坚持差异化定位和一园一主导产业原则，构筑一批有效拓展高端产业增长的发展节点。“十四五”期间重点培育新能源（汽车）科技产业园、装备制造产业园、海洋食品产业园、临港产业园、新兴产业园、纺织染整工业园6个重点园区。</w:t>
      </w:r>
      <w:r>
        <w:rPr>
          <w:rFonts w:hint="default" w:ascii="Times New Roman" w:hAnsi="Times New Roman" w:cs="Times New Roman"/>
          <w:color w:val="000000"/>
          <w:sz w:val="32"/>
          <w:szCs w:val="32"/>
        </w:rPr>
        <w:t>“线”，</w:t>
      </w:r>
      <w:r>
        <w:rPr>
          <w:rFonts w:hint="default" w:ascii="Times New Roman" w:hAnsi="Times New Roman" w:eastAsia="仿宋_GB2312" w:cs="Times New Roman"/>
          <w:color w:val="000000"/>
          <w:sz w:val="32"/>
          <w:szCs w:val="32"/>
        </w:rPr>
        <w:t>围绕北部山景线布局生态农业、都市农业、创意农业及生态观光、文化体验、乡村旅游、红色旅游等产业业态；围绕南部海景线布局健康养生、滨海旅游、教育培训等产业业态。</w:t>
      </w:r>
    </w:p>
    <w:p>
      <w:pPr>
        <w:spacing w:before="156" w:beforeLines="50" w:after="156" w:afterLines="50" w:line="560" w:lineRule="exact"/>
        <w:jc w:val="center"/>
        <w:outlineLvl w:val="1"/>
        <w:rPr>
          <w:rFonts w:hint="default" w:ascii="Times New Roman" w:hAnsi="Times New Roman" w:eastAsia="黑体" w:cs="Times New Roman"/>
          <w:color w:val="000000"/>
          <w:sz w:val="32"/>
          <w:szCs w:val="32"/>
        </w:rPr>
      </w:pPr>
      <w:bookmarkStart w:id="16" w:name="_Toc54561606"/>
      <w:bookmarkStart w:id="17" w:name="_Toc62919414"/>
      <w:bookmarkStart w:id="18" w:name="_Toc59557069"/>
      <w:r>
        <w:rPr>
          <w:rFonts w:hint="default" w:ascii="Times New Roman" w:hAnsi="Times New Roman" w:eastAsia="黑体" w:cs="Times New Roman"/>
          <w:color w:val="000000"/>
          <w:sz w:val="32"/>
          <w:szCs w:val="32"/>
        </w:rPr>
        <w:t xml:space="preserve">第二节 </w:t>
      </w:r>
      <w:bookmarkEnd w:id="16"/>
      <w:r>
        <w:rPr>
          <w:rFonts w:hint="default" w:ascii="Times New Roman" w:hAnsi="Times New Roman" w:eastAsia="黑体" w:cs="Times New Roman"/>
          <w:color w:val="000000"/>
          <w:sz w:val="32"/>
          <w:szCs w:val="32"/>
        </w:rPr>
        <w:t>构建“3+3”现代产业集群</w:t>
      </w:r>
      <w:bookmarkEnd w:id="17"/>
      <w:bookmarkEnd w:id="18"/>
    </w:p>
    <w:p>
      <w:pPr>
        <w:spacing w:line="56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大力提升骨干龙头企业带动作用，引导中小企业集聚，立足装备制造、食品加工、纺织服装3个传统产业，培育壮大健康文旅、现代海洋、新能源3大新兴产业，大力实施高端化、智能化、绿色化转型，着力构建“3+3”现代产业集群。到“十四五”末，争取每个产业集群培育3-5家在细分市场具有较强竞争优势的龙头企业。</w:t>
      </w:r>
    </w:p>
    <w:p>
      <w:pPr>
        <w:spacing w:line="560" w:lineRule="exact"/>
        <w:ind w:firstLine="640" w:firstLineChars="200"/>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一、改造提升传统行业</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cs="Times New Roman"/>
          <w:color w:val="000000"/>
          <w:sz w:val="32"/>
          <w:szCs w:val="32"/>
        </w:rPr>
        <w:t>装备制造。</w:t>
      </w:r>
      <w:r>
        <w:rPr>
          <w:rFonts w:hint="default" w:ascii="Times New Roman" w:hAnsi="Times New Roman" w:eastAsia="仿宋_GB2312" w:cs="Times New Roman"/>
          <w:color w:val="000000"/>
          <w:sz w:val="32"/>
          <w:szCs w:val="32"/>
        </w:rPr>
        <w:t>以产业结构调整优化、产业链重构和承接青岛、烟台等重点地区产业转移为契机，立足现实产业基础，大力发展汽车配件、高铁配件、工程机械配件、智能制造。汽车配件，立足行业的比较优势，依托伯特利汽车、双连制动、日信工业等骨干企业，做精做细汽车基础部件产品，串联产业链条形成国内有影响力的汽车配件生产基地，为争取引进整车生产巩固基础。高铁配件，以高铁装备产业园为载体，加快推进汉威轻质新材料、宏通轨道和浩达高端零部件等项目建设，逐步招引高铁轨道核心部件制造和关键系统总成项目，为建设高铁维护保养基地打好基础。工程机械配件，以玫德集团规划打造的胶东最大铸造产业基地为基础，整合振兴铸钢、申华轴承、法骏工业等工程机械配件企业资源，拓展产业链、供应链，形成国内有影响力的高端工程机械配件生产基地。智能制造，依托智能装备产业园，着力发展工业机器人、水下检测、深海打捞、水下切割等智能制造产业，重点引进机器人本体、控制器、减速器、激光设备、智能家居系统制造项目，形成完整的智能制造产业链条。到2025年，产业集群主营业务收入达到110亿元。</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cs="Times New Roman"/>
          <w:color w:val="000000"/>
          <w:sz w:val="32"/>
          <w:szCs w:val="32"/>
        </w:rPr>
        <w:t>食品加工。</w:t>
      </w:r>
      <w:r>
        <w:rPr>
          <w:rFonts w:hint="default" w:ascii="Times New Roman" w:hAnsi="Times New Roman" w:eastAsia="仿宋_GB2312" w:cs="Times New Roman"/>
          <w:color w:val="000000"/>
          <w:sz w:val="32"/>
          <w:szCs w:val="32"/>
        </w:rPr>
        <w:t>以经济开发区海洋食品产业园和滨海新区食品与生物科技产业园为载体，依托龙大肉食、沃森氏农牧、华信食品、同仁食品、金果食品和鲁菱果汁等企业，重点发展绿色食品、有机食品、营养食品、功能食品。拉长特色产品精深加工链条，引导企业上游向种、</w:t>
      </w:r>
      <w:r>
        <w:rPr>
          <w:rFonts w:hint="default" w:ascii="Times New Roman" w:hAnsi="Times New Roman" w:eastAsia="仿宋_GB2312" w:cs="Times New Roman"/>
          <w:color w:val="000000"/>
          <w:spacing w:val="6"/>
          <w:sz w:val="32"/>
          <w:szCs w:val="32"/>
        </w:rPr>
        <w:t>养、捕捞等产业链源头方向拓展，下游向提升海洋水产品和农副产品的精深加工能力和产品附加值方面延伸，打造乳山农副产品品牌聚集区和国内</w:t>
      </w:r>
      <w:r>
        <w:rPr>
          <w:rFonts w:hint="default" w:ascii="Times New Roman" w:hAnsi="Times New Roman" w:eastAsia="仿宋_GB2312" w:cs="Times New Roman"/>
          <w:color w:val="000000"/>
          <w:sz w:val="32"/>
          <w:szCs w:val="32"/>
        </w:rPr>
        <w:t>具有影响力的特色农产品精深加工基地。到2025年，产业集群主营业务收入达到100亿元。</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cs="Times New Roman"/>
          <w:color w:val="000000"/>
          <w:sz w:val="32"/>
          <w:szCs w:val="32"/>
        </w:rPr>
        <w:t>纺织服装。</w:t>
      </w:r>
      <w:r>
        <w:rPr>
          <w:rFonts w:hint="default" w:ascii="Times New Roman" w:hAnsi="Times New Roman" w:eastAsia="仿宋_GB2312" w:cs="Times New Roman"/>
          <w:color w:val="000000"/>
          <w:sz w:val="32"/>
          <w:szCs w:val="32"/>
        </w:rPr>
        <w:t>以染整工业园、麻纺织产业园等为载体，依托迪尚达博、汉泰大麻、乳山工艺品等骨干企业，重点抓高端引领、链条协作两个环节，围绕纺织面料、服装、皮革及制品等领域，引入云平台、云计算、可穿戴设备等技术，加大医用服装等功能性面料、智能健康检测和保健服装、绿色生态印染等研发力度，开发功能化、高档化、品牌化、定制化产品，推动产业向“微笑曲线”两端延伸，将我市打造成纺织面料产品功能性强、毛衫产品知名度好、印染产品集聚度高、服装产品加工水平国内领先、具有一定影响力的纺织服装产业聚集区，重塑乳山纺织服装产业新优势。到2025年，产业集群主营业务收入达到50亿元。</w:t>
      </w:r>
    </w:p>
    <w:p>
      <w:pPr>
        <w:spacing w:line="560" w:lineRule="exact"/>
        <w:ind w:firstLine="640" w:firstLineChars="200"/>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二、培育壮大新兴产业</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cs="Times New Roman"/>
          <w:color w:val="000000"/>
          <w:sz w:val="32"/>
          <w:szCs w:val="32"/>
        </w:rPr>
        <w:t>健康文旅</w:t>
      </w:r>
      <w:r>
        <w:rPr>
          <w:rFonts w:hint="default" w:ascii="Times New Roman" w:hAnsi="Times New Roman" w:eastAsia="仿宋_GB2312" w:cs="Times New Roman"/>
          <w:color w:val="000000"/>
          <w:sz w:val="32"/>
          <w:szCs w:val="32"/>
        </w:rPr>
        <w:t>。重点发展健康智造、医养健康和文化旅游。其中健康智造依托粤商大健康辅具产业园，发展助行器具、康复护理器械、可穿戴智能设备等养老辅助品以及体育健身用品等产品。医养健康重点引进发展整形医学、康复养生、医学美容、高端临床体检等现代医疗卫生服务业，开发温泉疗养、养老养生、中医疗养、体育休闲等健康产品，建设一批中医药健康旅游示范基地和健康小镇。文化旅游，重点抓好威海西部环山路、滨海旅游观光带两条主</w:t>
      </w:r>
      <w:r>
        <w:rPr>
          <w:rFonts w:hint="default" w:ascii="Times New Roman" w:hAnsi="Times New Roman" w:eastAsia="仿宋_GB2312" w:cs="Times New Roman"/>
          <w:color w:val="000000"/>
          <w:spacing w:val="6"/>
          <w:sz w:val="32"/>
          <w:szCs w:val="32"/>
        </w:rPr>
        <w:t>轴，实施“文旅+农业”“文旅+工业”“文旅+海洋”“文旅+康养”工程，发挥大乳山母爱文化、岠嵎山佛教文化、圣水宫道教文化以及乳山红色文化优势，打造山海相连、文旅融合的特色线路。到2025年，产业</w:t>
      </w:r>
      <w:r>
        <w:rPr>
          <w:rFonts w:hint="default" w:ascii="Times New Roman" w:hAnsi="Times New Roman" w:eastAsia="仿宋_GB2312" w:cs="Times New Roman"/>
          <w:color w:val="000000"/>
          <w:sz w:val="32"/>
          <w:szCs w:val="32"/>
        </w:rPr>
        <w:t>集群主营业务收入达到150亿元。</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cs="Times New Roman"/>
          <w:color w:val="000000"/>
          <w:sz w:val="32"/>
          <w:szCs w:val="32"/>
        </w:rPr>
        <w:t>现代海洋。</w:t>
      </w:r>
      <w:r>
        <w:rPr>
          <w:rFonts w:hint="default" w:ascii="Times New Roman" w:hAnsi="Times New Roman" w:eastAsia="仿宋_GB2312" w:cs="Times New Roman"/>
          <w:color w:val="000000"/>
          <w:sz w:val="32"/>
          <w:szCs w:val="32"/>
        </w:rPr>
        <w:t>打造乳山牡蛎全产业链条，围绕“育苗育种、养殖、加工、销售、文旅、废物再利用”6个环节建链、补链、强链、延链，将资源优势转化为产业优势，形成乳山现代海洋经济的支柱产业，不断将“乳山牡蛎”推向全国乃至全世界，到“十四五”末，全产业链产值达到110亿元。打造海洋装备制造产业链条，依托临港产业园，重点培育发展海洋工程装备、高新技术船舶配件等项目，加强特种船舶、海洋机械、港口传送设备、船用电机等海工装备研发生产，推动海工装备制造业向高端发展。打造港口物流产业链，依托乳山港规划建设临港物流园区，打造拥有多功能、可提供优质第三方物流服务的临港物流集聚区。到2025年，产业集群主营业务收入达到150亿元。</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cs="Times New Roman"/>
          <w:color w:val="000000"/>
          <w:sz w:val="32"/>
          <w:szCs w:val="32"/>
        </w:rPr>
        <w:t>新能源。</w:t>
      </w:r>
      <w:r>
        <w:rPr>
          <w:rFonts w:hint="default" w:ascii="Times New Roman" w:hAnsi="Times New Roman" w:eastAsia="仿宋_GB2312" w:cs="Times New Roman"/>
          <w:color w:val="000000"/>
          <w:sz w:val="32"/>
          <w:szCs w:val="32"/>
        </w:rPr>
        <w:t>以新能源（汽车）科技产业园为载体，加大新能源汽车三电系统、配件等项目招引力度，发展一批符合产业链聚集要求、具有较强技术创新能力的关键零配件企业，引进一批新能源汽车整车生产、汽车改装等重大项目，打造从关键零配件到整车的完整产业体系。实施泛海阳光光伏组件产能提升项目，推广全域屋顶光伏、农光互补，促进光伏产业发展壮大。超前规划氢能开发利用，对接储能装备龙头企业及上游核心零配件企业，布局动力电池产业发展。坚持“资源聚集产业”理念，统筹规划海上风电资源，引进风电龙头企业，围绕海上风电全产业链布局，打造海上风电装备制造产业基地。到2025年，产业集群主营业务收入达到200亿元。</w:t>
      </w:r>
    </w:p>
    <w:p>
      <w:pPr>
        <w:spacing w:line="560" w:lineRule="exact"/>
        <w:ind w:firstLine="640" w:firstLineChars="200"/>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三、推动产业链更新再造和价值链升级</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立足我市产业规模优势、配套优势和部分领域先发优势，打造新兴产业链，推动产业高端化、智能化、绿色化，发展服务型制造。</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cs="Times New Roman"/>
          <w:color w:val="auto"/>
          <w:sz w:val="32"/>
          <w:szCs w:val="32"/>
        </w:rPr>
        <w:t>推动产业高端化。</w:t>
      </w:r>
      <w:r>
        <w:rPr>
          <w:rFonts w:hint="default" w:ascii="Times New Roman" w:hAnsi="Times New Roman" w:eastAsia="仿宋_GB2312" w:cs="Times New Roman"/>
          <w:color w:val="000000"/>
          <w:sz w:val="32"/>
          <w:szCs w:val="32"/>
        </w:rPr>
        <w:t>坚持创新驱动发展，加快构建现代产业体系，通过技术、模式创新推动产业转型升级、迈向高端。重点围绕铸造、硅胶等传统产业领域，以工艺、装备、产品和管理创新为重点，组织实施重点技术改造项目，持续提升企业技术水平和产品质量，加快创建一批国际、国内知名品牌，重塑产业动能。瞄准制约产业升级的重大关键技术，通过建设公共创新平台和加大新技术成果的推广应用，培育一批掌握核心技术、引领产业发展的领军企业，更好巩固提升我市优势产业的领先地位和先进水平。通过培</w:t>
      </w:r>
      <w:r>
        <w:rPr>
          <w:rFonts w:hint="default" w:ascii="Times New Roman" w:hAnsi="Times New Roman" w:eastAsia="仿宋_GB2312" w:cs="Times New Roman"/>
          <w:color w:val="000000"/>
          <w:spacing w:val="6"/>
          <w:sz w:val="32"/>
          <w:szCs w:val="32"/>
        </w:rPr>
        <w:t>育新业态、新模式，推动产业向高端化转型，不断提升产品品质和附加值，围绕服装等传统行业，推广大规模个性化定制模式，有效满足市场多样化需求。促进产业链向现代化转型，大力发展高端产业集群，培育壮大一</w:t>
      </w:r>
      <w:r>
        <w:rPr>
          <w:rFonts w:hint="default" w:ascii="Times New Roman" w:hAnsi="Times New Roman" w:eastAsia="仿宋_GB2312" w:cs="Times New Roman"/>
          <w:color w:val="000000"/>
          <w:sz w:val="32"/>
          <w:szCs w:val="32"/>
        </w:rPr>
        <w:t>批高端龙头企业，建设一批产业示范基地，以产业集群创新实现传统产业转型升级。</w:t>
      </w:r>
    </w:p>
    <w:p>
      <w:pPr>
        <w:autoSpaceDN w:val="0"/>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cs="Times New Roman"/>
          <w:color w:val="auto"/>
          <w:sz w:val="32"/>
          <w:szCs w:val="32"/>
        </w:rPr>
        <w:t>推动产业智能化。</w:t>
      </w:r>
      <w:r>
        <w:rPr>
          <w:rFonts w:hint="default" w:ascii="Times New Roman" w:hAnsi="Times New Roman" w:eastAsia="仿宋_GB2312" w:cs="Times New Roman"/>
          <w:color w:val="000000"/>
          <w:sz w:val="32"/>
          <w:szCs w:val="32"/>
        </w:rPr>
        <w:t>打造数字化智能平台，利用5G、人工智能、云计算、大数据等技术，将分散或孤立的设备、产品、生产者、企业等以产业链、价值链等方式连接起来，对产业进行全方位、全角度、全链条的升级改造，不断释放数字技术对产业发展的放大、叠加、倍增作用。加快发展工业互联网，</w:t>
      </w:r>
      <w:r>
        <w:rPr>
          <w:rFonts w:hint="default" w:ascii="Times New Roman" w:hAnsi="Times New Roman" w:eastAsia="仿宋_GB2312" w:cs="Times New Roman"/>
          <w:bCs/>
          <w:color w:val="000000"/>
          <w:sz w:val="32"/>
          <w:szCs w:val="32"/>
        </w:rPr>
        <w:t>推动制造业龙头骨干企业提升智能制造应用能力，通过搭建企业级工业互联网平台，贯通产业链、供应链、创新链、服务链，打造新型企业工业互联网生产组织体系和商业模式；共享青岛打造世界工业互联网之都红利，推动更多企业积极“上平台”，引导企业将研发设计、生产制造、运营管理和生产设备等向云端迁移，实现全市小微以上企业普遍实现信息化管理和运营。到2025年，推动全市至少80%的工业企业实施智能化升级。加快产业数字化转型，实施智能制造示范工程，开展智能工厂和数字化车间培育认定，加大政策支持力度，鼓励重点企业建设“无人车间”“无人工厂”。到2025年，重点行业数字化车间、智能工厂和智能制造示范达到5个，工业企业“两化”融合发展指数达到70左右。</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cs="Times New Roman"/>
          <w:color w:val="auto"/>
          <w:sz w:val="32"/>
          <w:szCs w:val="32"/>
        </w:rPr>
        <w:t>推动产业绿色化。</w:t>
      </w:r>
      <w:r>
        <w:rPr>
          <w:rFonts w:hint="default" w:ascii="Times New Roman" w:hAnsi="Times New Roman" w:eastAsia="仿宋_GB2312" w:cs="Times New Roman"/>
          <w:color w:val="000000"/>
          <w:sz w:val="32"/>
          <w:szCs w:val="32"/>
        </w:rPr>
        <w:t>合理使用自然资源和能源，实现清洁生产，提供满足市场需求的绿色产品，自觉保护环境和实现生态平衡。引进绿色清洁生产技术和资源循环利用技术，通过产品设计改进、设备工艺改革、物料循环再利用等，从源头上节约资源能源、减少环境污染。建设绿色科技创新体系，加大绿色技术研发投入，推动先进技术研发和推广应用。深化产学研合作，加强创新链各环节的衔接，鼓励企业与研究机构、高校开展战略合作，探索绿色化改造升级模式。加快实施传统产业再造工程，推动传统产业废旧产品的再制造和再利用，从末端提高资源能源再利用率，减轻环境污染。推进绿色工厂、绿色园区建设，在化工、食品、金属冶炼等传统行业，加快实施以清洁生产、节能降耗为重点的绿色技术改造，实施绿色供应链管理，打造更加高效、清洁、低碳、循环的绿色制造体系。</w:t>
      </w:r>
    </w:p>
    <w:tbl>
      <w:tblPr>
        <w:tblStyle w:val="20"/>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48" w:type="dxa"/>
            <w:noWrap w:val="0"/>
            <w:vAlign w:val="top"/>
          </w:tcPr>
          <w:p>
            <w:pPr>
              <w:spacing w:line="560" w:lineRule="exact"/>
              <w:jc w:val="center"/>
              <w:rPr>
                <w:rFonts w:hint="default" w:ascii="Times New Roman" w:hAnsi="Times New Roman" w:eastAsia="黑体" w:cs="Times New Roman"/>
                <w:color w:val="000000"/>
                <w:kern w:val="0"/>
                <w:sz w:val="30"/>
                <w:szCs w:val="30"/>
              </w:rPr>
            </w:pPr>
            <w:r>
              <w:rPr>
                <w:rFonts w:hint="default" w:ascii="Times New Roman" w:hAnsi="Times New Roman" w:eastAsia="黑体" w:cs="Times New Roman"/>
                <w:color w:val="000000"/>
                <w:kern w:val="0"/>
                <w:sz w:val="28"/>
                <w:szCs w:val="28"/>
              </w:rPr>
              <w:t>专栏1 “3+3”现代产业集群重点项目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48" w:type="dxa"/>
            <w:noWrap w:val="0"/>
            <w:vAlign w:val="top"/>
          </w:tcPr>
          <w:p>
            <w:pPr>
              <w:spacing w:line="360" w:lineRule="exact"/>
              <w:ind w:firstLine="422" w:firstLineChars="200"/>
              <w:rPr>
                <w:rFonts w:hint="default" w:ascii="Times New Roman" w:hAnsi="Times New Roman" w:cs="Times New Roman"/>
                <w:b/>
                <w:bCs/>
                <w:color w:val="000000"/>
                <w:kern w:val="0"/>
                <w:szCs w:val="21"/>
              </w:rPr>
            </w:pPr>
            <w:r>
              <w:rPr>
                <w:rFonts w:hint="default" w:ascii="Times New Roman" w:hAnsi="Times New Roman" w:eastAsia="楷体_GB2312" w:cs="Times New Roman"/>
                <w:b/>
                <w:bCs/>
                <w:color w:val="000000"/>
                <w:kern w:val="0"/>
                <w:szCs w:val="21"/>
              </w:rPr>
              <w:t>1.装备制造。</w:t>
            </w:r>
            <w:r>
              <w:rPr>
                <w:rFonts w:hint="default" w:ascii="Times New Roman" w:hAnsi="Times New Roman" w:cs="Times New Roman"/>
                <w:b/>
                <w:bCs/>
                <w:color w:val="000000"/>
                <w:kern w:val="0"/>
                <w:szCs w:val="21"/>
              </w:rPr>
              <w:t>实施伯特利汽车、双连制动、华邦精冲、日信工业等企业技改扩规项目；加快玫德高性能流体输送配件、信人机电破碎锤等项目建设；提高科威、新东、德彩、天勤等智能制造企业技术和产能。</w:t>
            </w:r>
          </w:p>
          <w:p>
            <w:pPr>
              <w:spacing w:line="360" w:lineRule="exact"/>
              <w:ind w:firstLine="422" w:firstLineChars="200"/>
              <w:rPr>
                <w:rFonts w:hint="default" w:ascii="Times New Roman" w:hAnsi="Times New Roman" w:cs="Times New Roman"/>
                <w:b/>
                <w:bCs/>
                <w:color w:val="000000"/>
                <w:kern w:val="0"/>
                <w:szCs w:val="21"/>
              </w:rPr>
            </w:pPr>
            <w:r>
              <w:rPr>
                <w:rFonts w:hint="default" w:ascii="Times New Roman" w:hAnsi="Times New Roman" w:eastAsia="楷体_GB2312" w:cs="Times New Roman"/>
                <w:b/>
                <w:bCs/>
                <w:color w:val="000000"/>
                <w:kern w:val="0"/>
                <w:szCs w:val="21"/>
              </w:rPr>
              <w:t>2.食品加工。</w:t>
            </w:r>
            <w:r>
              <w:rPr>
                <w:rFonts w:hint="default" w:ascii="Times New Roman" w:hAnsi="Times New Roman" w:cs="Times New Roman"/>
                <w:b/>
                <w:bCs/>
                <w:color w:val="000000"/>
                <w:kern w:val="0"/>
                <w:szCs w:val="21"/>
              </w:rPr>
              <w:t>积极推动龙大肉食加工、沃森氏农牧扩大肉食深加工、龙汇海产现代渔业种业研发及牡蛎产业示范园等项目尽早落地投产。</w:t>
            </w:r>
          </w:p>
          <w:p>
            <w:pPr>
              <w:spacing w:line="360" w:lineRule="exact"/>
              <w:ind w:firstLine="422" w:firstLineChars="200"/>
              <w:rPr>
                <w:rFonts w:hint="default" w:ascii="Times New Roman" w:hAnsi="Times New Roman" w:cs="Times New Roman"/>
                <w:b/>
                <w:bCs/>
                <w:color w:val="000000"/>
                <w:kern w:val="0"/>
                <w:szCs w:val="21"/>
              </w:rPr>
            </w:pPr>
            <w:r>
              <w:rPr>
                <w:rFonts w:hint="default" w:ascii="Times New Roman" w:hAnsi="Times New Roman" w:eastAsia="楷体_GB2312" w:cs="Times New Roman"/>
                <w:b/>
                <w:bCs/>
                <w:color w:val="000000"/>
                <w:kern w:val="0"/>
                <w:szCs w:val="21"/>
              </w:rPr>
              <w:t>3.纺织服装。</w:t>
            </w:r>
            <w:r>
              <w:rPr>
                <w:rFonts w:hint="default" w:ascii="Times New Roman" w:hAnsi="Times New Roman" w:cs="Times New Roman"/>
                <w:b/>
                <w:bCs/>
                <w:color w:val="000000"/>
                <w:kern w:val="0"/>
                <w:szCs w:val="21"/>
              </w:rPr>
              <w:t>重点做好迪尚达博、汉泰大麻、乳山工艺品、海润丝业盘活、辰泰高档毛衫生产、吾星纤维印染改造升级等项目建设。</w:t>
            </w:r>
          </w:p>
          <w:p>
            <w:pPr>
              <w:spacing w:line="360" w:lineRule="exact"/>
              <w:ind w:firstLine="422" w:firstLineChars="200"/>
              <w:rPr>
                <w:rFonts w:hint="default" w:ascii="Times New Roman" w:hAnsi="Times New Roman" w:cs="Times New Roman"/>
                <w:b/>
                <w:bCs/>
                <w:color w:val="000000"/>
                <w:spacing w:val="-6"/>
                <w:kern w:val="0"/>
                <w:szCs w:val="21"/>
              </w:rPr>
            </w:pPr>
            <w:r>
              <w:rPr>
                <w:rFonts w:hint="default" w:ascii="Times New Roman" w:hAnsi="Times New Roman" w:cs="Times New Roman"/>
                <w:b/>
                <w:bCs/>
                <w:color w:val="000000"/>
                <w:kern w:val="0"/>
                <w:szCs w:val="21"/>
              </w:rPr>
              <w:t>4.</w:t>
            </w:r>
            <w:r>
              <w:rPr>
                <w:rFonts w:hint="default" w:ascii="Times New Roman" w:hAnsi="Times New Roman" w:eastAsia="楷体_GB2312" w:cs="Times New Roman"/>
                <w:b/>
                <w:bCs/>
                <w:color w:val="000000"/>
                <w:kern w:val="0"/>
                <w:szCs w:val="21"/>
              </w:rPr>
              <w:t>健康文旅。</w:t>
            </w:r>
            <w:r>
              <w:rPr>
                <w:rFonts w:hint="default" w:ascii="Times New Roman" w:hAnsi="Times New Roman" w:cs="Times New Roman"/>
                <w:b/>
                <w:bCs/>
                <w:color w:val="000000"/>
                <w:spacing w:val="-6"/>
                <w:kern w:val="0"/>
                <w:szCs w:val="21"/>
              </w:rPr>
              <w:t>健康智造和医养健康领域重点推进粤商大健康辅具科技产业园、凯博医疗产业园、爱佩斯高端康养商贸综合体、乳山医疗综合体、东华山中医药健康旅游示范基地等项目建设。文化旅游领域重点做好马石山烈士陵园纪念馆改陈布展、羽毛球体育文化产业基地、宫家岛旅游开发、风从海上来、和尚洞海洋风情小镇等项目建设。推出红色文化之旅路线，将118处红色印迹列入修缮保护范围，传承好红色基因。</w:t>
            </w:r>
          </w:p>
          <w:p>
            <w:pPr>
              <w:spacing w:line="360" w:lineRule="exact"/>
              <w:ind w:firstLine="422" w:firstLineChars="200"/>
              <w:rPr>
                <w:rFonts w:hint="default" w:ascii="Times New Roman" w:hAnsi="Times New Roman" w:cs="Times New Roman"/>
                <w:b/>
                <w:bCs/>
                <w:color w:val="000000"/>
                <w:kern w:val="0"/>
                <w:szCs w:val="21"/>
              </w:rPr>
            </w:pPr>
            <w:r>
              <w:rPr>
                <w:rFonts w:hint="default" w:ascii="Times New Roman" w:hAnsi="Times New Roman" w:eastAsia="楷体_GB2312" w:cs="Times New Roman"/>
                <w:b/>
                <w:bCs/>
                <w:color w:val="000000"/>
                <w:kern w:val="0"/>
                <w:szCs w:val="21"/>
              </w:rPr>
              <w:t>5.现代海洋。</w:t>
            </w:r>
            <w:r>
              <w:rPr>
                <w:rFonts w:hint="default" w:ascii="Times New Roman" w:hAnsi="Times New Roman" w:cs="Times New Roman"/>
                <w:b/>
                <w:bCs/>
                <w:color w:val="000000"/>
                <w:kern w:val="0"/>
                <w:szCs w:val="21"/>
              </w:rPr>
              <w:t>打造牡蛎全产业链条：育苗育种环节，打造牡蛎技术研发平台，建设深远海育苗育种基地。养殖环节，规划建设乳山牡蛎产业发展平台、建设牡蛎安置区、现代化海洋牧场示范区、打造牡蛎特色小镇。加工环节，发展规模化牡蛎净化初加工，冻干牡蛎产品、保健品、药品等深加工。销售环节，配套建立牡蛎质量安全追溯体系，发展冷链物流配送、直销配送、电商销售等。文化旅游环节，开展牡蛎生产观光游，打造乳山牡蛎文化馆，建设牡蛎风情一条街，举办牡蛎系列推介活动。废弃物再利用环节，充分利用牡蛎壳等废弃物，变废为宝，大力发展链条“末端”产业。打造海工装备产业链：着力引进海工装备制造以及上下游配套企业，盘活乳山船厂项目。</w:t>
            </w:r>
          </w:p>
          <w:p>
            <w:pPr>
              <w:spacing w:line="360" w:lineRule="exact"/>
              <w:ind w:firstLine="422" w:firstLineChars="200"/>
              <w:rPr>
                <w:rFonts w:hint="default" w:ascii="Times New Roman" w:hAnsi="Times New Roman" w:cs="Times New Roman"/>
                <w:b/>
                <w:bCs/>
                <w:color w:val="000000"/>
                <w:kern w:val="0"/>
                <w:szCs w:val="21"/>
              </w:rPr>
            </w:pPr>
            <w:r>
              <w:rPr>
                <w:rFonts w:hint="default" w:ascii="Times New Roman" w:hAnsi="Times New Roman" w:eastAsia="楷体_GB2312" w:cs="Times New Roman"/>
                <w:b/>
                <w:bCs/>
                <w:color w:val="000000"/>
                <w:kern w:val="0"/>
                <w:szCs w:val="21"/>
              </w:rPr>
              <w:t>6.新能源。</w:t>
            </w:r>
            <w:r>
              <w:rPr>
                <w:rFonts w:hint="default" w:ascii="Times New Roman" w:hAnsi="Times New Roman" w:cs="Times New Roman"/>
                <w:b/>
                <w:bCs/>
                <w:color w:val="000000"/>
                <w:kern w:val="0"/>
                <w:szCs w:val="21"/>
              </w:rPr>
              <w:t>重点做好新能源（汽车）科技产业园建设，推进明阳智能海上风电</w:t>
            </w:r>
            <w:r>
              <w:rPr>
                <w:rFonts w:hint="default" w:ascii="Times New Roman" w:hAnsi="Times New Roman" w:cs="Times New Roman"/>
                <w:b/>
                <w:bCs/>
                <w:color w:val="000000"/>
                <w:kern w:val="0"/>
                <w:szCs w:val="21"/>
                <w:lang w:eastAsia="zh-CN"/>
              </w:rPr>
              <w:t>产业园</w:t>
            </w:r>
            <w:r>
              <w:rPr>
                <w:rFonts w:hint="default" w:ascii="Times New Roman" w:hAnsi="Times New Roman" w:cs="Times New Roman"/>
                <w:b/>
                <w:bCs/>
                <w:color w:val="000000"/>
                <w:kern w:val="0"/>
                <w:szCs w:val="21"/>
              </w:rPr>
              <w:t>建设，引进金雷科技、大金重工等行业龙头，打造海上风电装备制造产业基地，推进泛海阳光改造升级、光伏小城建设、新能源汽车整车制造及关键零部件制造等项目。</w:t>
            </w:r>
          </w:p>
          <w:p>
            <w:pPr>
              <w:spacing w:line="360" w:lineRule="exact"/>
              <w:ind w:firstLine="422" w:firstLineChars="200"/>
              <w:rPr>
                <w:rFonts w:hint="default" w:ascii="Times New Roman" w:hAnsi="Times New Roman" w:eastAsia="楷体_GB2312" w:cs="Times New Roman"/>
                <w:color w:val="000000"/>
              </w:rPr>
            </w:pPr>
            <w:r>
              <w:rPr>
                <w:rFonts w:hint="default" w:ascii="Times New Roman" w:hAnsi="Times New Roman" w:eastAsia="楷体_GB2312" w:cs="Times New Roman"/>
                <w:b/>
                <w:bCs/>
                <w:color w:val="000000"/>
                <w:kern w:val="0"/>
                <w:szCs w:val="21"/>
              </w:rPr>
              <w:t>7.产业链更新再造和价值链升级项目。</w:t>
            </w:r>
            <w:r>
              <w:rPr>
                <w:rFonts w:hint="default" w:ascii="Times New Roman" w:hAnsi="Times New Roman" w:cs="Times New Roman"/>
                <w:b/>
                <w:bCs/>
                <w:color w:val="000000"/>
                <w:kern w:val="0"/>
                <w:szCs w:val="21"/>
              </w:rPr>
              <w:t>加快硅胶产业链条向高端高质高效延伸，重点抓好柱层层析硅胶、催化专用硅胶、啤酒硅胶等高端硅胶产品的研发生产；加快推进恒邦化工含金多金属矿有价元素综合回收技术改造项目、金洲矿业和金华矿业深部技改提升项目、玫德集团短流程铸造项目；结合产业发展，适时打造产业数据中心，为产业互联网经济提供平台。</w:t>
            </w:r>
          </w:p>
        </w:tc>
      </w:tr>
    </w:tbl>
    <w:p>
      <w:pPr>
        <w:spacing w:after="156" w:afterLines="50" w:line="560" w:lineRule="exact"/>
        <w:jc w:val="center"/>
        <w:outlineLvl w:val="1"/>
        <w:rPr>
          <w:rFonts w:hint="default" w:ascii="Times New Roman" w:hAnsi="Times New Roman" w:eastAsia="黑体" w:cs="Times New Roman"/>
          <w:color w:val="000000"/>
          <w:sz w:val="32"/>
          <w:szCs w:val="32"/>
        </w:rPr>
      </w:pPr>
      <w:bookmarkStart w:id="19" w:name="_Toc62919415"/>
      <w:r>
        <w:rPr>
          <w:rFonts w:hint="default" w:ascii="Times New Roman" w:hAnsi="Times New Roman" w:eastAsia="黑体" w:cs="Times New Roman"/>
          <w:color w:val="000000"/>
          <w:sz w:val="32"/>
          <w:szCs w:val="32"/>
        </w:rPr>
        <w:t>第三节 提升现代服务业发展</w:t>
      </w:r>
      <w:bookmarkEnd w:id="13"/>
      <w:r>
        <w:rPr>
          <w:rFonts w:hint="default" w:ascii="Times New Roman" w:hAnsi="Times New Roman" w:eastAsia="黑体" w:cs="Times New Roman"/>
          <w:color w:val="000000"/>
          <w:sz w:val="32"/>
          <w:szCs w:val="32"/>
        </w:rPr>
        <w:t>能级</w:t>
      </w:r>
      <w:bookmarkEnd w:id="19"/>
    </w:p>
    <w:p>
      <w:pPr>
        <w:autoSpaceDN w:val="0"/>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以促进服务业高质量发展和满足人民高品质生活为核心，壮大优势产业，推动生产性服务业向专业化和价值链高端延伸、生活性服务业向高品质多样化升级，着力构建现代服务业产业体系。</w:t>
      </w:r>
    </w:p>
    <w:p>
      <w:pPr>
        <w:autoSpaceDN w:val="0"/>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bCs/>
          <w:color w:val="000000"/>
          <w:sz w:val="32"/>
          <w:szCs w:val="32"/>
        </w:rPr>
        <w:t>构建“大均衡、小集聚”的现代服务业发展格局。</w:t>
      </w:r>
      <w:r>
        <w:rPr>
          <w:rFonts w:hint="default" w:ascii="Times New Roman" w:hAnsi="Times New Roman" w:eastAsia="仿宋_GB2312" w:cs="Times New Roman"/>
          <w:color w:val="000000"/>
          <w:sz w:val="32"/>
          <w:szCs w:val="32"/>
        </w:rPr>
        <w:t>“大均衡”，以“一圈一铁”为引领，抢抓莱荣高铁建设机遇，结合高铁片区建设，积极融入胶东经济圈一体化发展，在公共服务、文旅资源、市场消费等方面与青烟威等中心城市主动对接，加大消费承接力度，带动我市服务业产业结构转型升级。“小集聚”，合理划分服务业区域板块，明确各区域板块服务业主导产业，引导服务业集聚发展。</w:t>
      </w:r>
    </w:p>
    <w:p>
      <w:pPr>
        <w:autoSpaceDN w:val="0"/>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bCs/>
          <w:color w:val="000000"/>
          <w:sz w:val="32"/>
          <w:szCs w:val="32"/>
        </w:rPr>
        <w:t>推动生产性服务业向</w:t>
      </w:r>
      <w:r>
        <w:rPr>
          <w:rFonts w:hint="default" w:ascii="Times New Roman" w:hAnsi="Times New Roman" w:eastAsia="楷体_GB2312" w:cs="Times New Roman"/>
          <w:b w:val="0"/>
          <w:bCs w:val="0"/>
          <w:sz w:val="32"/>
          <w:szCs w:val="32"/>
          <w:lang w:val="en-US" w:eastAsia="zh-CN"/>
        </w:rPr>
        <w:t>专业化和价值链高端延伸</w:t>
      </w:r>
      <w:r>
        <w:rPr>
          <w:rFonts w:hint="default" w:ascii="Times New Roman" w:hAnsi="Times New Roman" w:eastAsia="楷体_GB2312" w:cs="Times New Roman"/>
          <w:bCs/>
          <w:color w:val="000000"/>
          <w:sz w:val="32"/>
          <w:szCs w:val="32"/>
        </w:rPr>
        <w:t>。</w:t>
      </w:r>
      <w:r>
        <w:rPr>
          <w:rFonts w:hint="default" w:ascii="Times New Roman" w:hAnsi="Times New Roman" w:eastAsia="仿宋_GB2312" w:cs="Times New Roman"/>
          <w:color w:val="000000"/>
          <w:sz w:val="32"/>
          <w:szCs w:val="32"/>
        </w:rPr>
        <w:t>与制造业转型升级相结合，加快生产性服务业与先进制造业、现代农业的融合，促进服务要素对产业链的嵌入和提升，加快推进制造业服务化和服务业制造化。</w:t>
      </w:r>
      <w:r>
        <w:rPr>
          <w:rFonts w:hint="default" w:ascii="Times New Roman" w:hAnsi="Times New Roman" w:cs="Times New Roman"/>
          <w:color w:val="000000"/>
          <w:sz w:val="32"/>
          <w:szCs w:val="32"/>
        </w:rPr>
        <w:t>现代物流。</w:t>
      </w:r>
      <w:r>
        <w:rPr>
          <w:rFonts w:hint="default" w:ascii="Times New Roman" w:hAnsi="Times New Roman" w:eastAsia="仿宋_GB2312" w:cs="Times New Roman"/>
          <w:color w:val="000000"/>
          <w:sz w:val="32"/>
          <w:szCs w:val="32"/>
        </w:rPr>
        <w:t>支持物流企业更新硬件设施，延伸服务功能，向新型、高效的现代物流企业转型。做大做强冷链物流，探索建立果蔬、肉类、水产品等从生产、加工、储藏、运输、销售到最终消费的全程冷链物流模式。发展智慧快递物流，鼓励“物业+快递”“网订店取”等快递配送模式，促进邮政、快递服务与电子商务、交通运输等关联产业协同发展。</w:t>
      </w:r>
      <w:r>
        <w:rPr>
          <w:rFonts w:hint="default" w:ascii="Times New Roman" w:hAnsi="Times New Roman" w:cs="Times New Roman"/>
          <w:color w:val="000000"/>
          <w:sz w:val="32"/>
          <w:szCs w:val="32"/>
        </w:rPr>
        <w:t>电子商务。</w:t>
      </w:r>
      <w:r>
        <w:rPr>
          <w:rFonts w:hint="default" w:ascii="Times New Roman" w:hAnsi="Times New Roman" w:eastAsia="仿宋_GB2312" w:cs="Times New Roman"/>
          <w:color w:val="000000"/>
          <w:sz w:val="32"/>
          <w:szCs w:val="32"/>
        </w:rPr>
        <w:t>推进电子商务集聚发展，加快跨境电子商务产业园建设，建设特色电商小镇、电商村。搭建各类电商平台，积极发展农产品专业性电商平台，依托现有的电商平台，推进电商精准扶贫。支持“乳山牡蛎”等品牌发展，扩大电子商务品牌影响力，促进传统外贸企业扩大自主品牌商品出口。</w:t>
      </w:r>
      <w:r>
        <w:rPr>
          <w:rFonts w:hint="default" w:ascii="Times New Roman" w:hAnsi="Times New Roman" w:cs="Times New Roman"/>
          <w:color w:val="000000"/>
          <w:sz w:val="32"/>
          <w:szCs w:val="32"/>
        </w:rPr>
        <w:t>现代金融。</w:t>
      </w:r>
      <w:r>
        <w:rPr>
          <w:rFonts w:hint="default" w:ascii="Times New Roman" w:hAnsi="Times New Roman" w:eastAsia="仿宋_GB2312" w:cs="Times New Roman"/>
          <w:color w:val="000000"/>
          <w:sz w:val="32"/>
          <w:szCs w:val="32"/>
        </w:rPr>
        <w:t>加快推进金融组织体系创新发展，全面提升金融服务功能，增强金融对地方经济发展的支撑作用。突出金融服务实体经济功能，引导金融机构加大对中小微企业的金融支持力度。提高金融机构集聚水平，建设综合金融服务区和特色金融服务区。发挥企业主体作用，积极引导民间资本创办或参股各类金融机构，推动企业合法利用各类债务融资工具进行融资，促进小额贷款公司和融资性担保机构规范发展。</w:t>
      </w:r>
    </w:p>
    <w:p>
      <w:pPr>
        <w:autoSpaceDN w:val="0"/>
        <w:spacing w:line="56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楷体_GB2312" w:cs="Times New Roman"/>
          <w:bCs/>
          <w:color w:val="000000"/>
          <w:sz w:val="32"/>
          <w:szCs w:val="32"/>
        </w:rPr>
        <w:t>推动生活性服务业向</w:t>
      </w:r>
      <w:r>
        <w:rPr>
          <w:rFonts w:hint="default" w:ascii="Times New Roman" w:hAnsi="Times New Roman" w:eastAsia="楷体_GB2312" w:cs="Times New Roman"/>
          <w:sz w:val="32"/>
          <w:szCs w:val="32"/>
          <w:lang w:val="en-US" w:eastAsia="zh-CN"/>
        </w:rPr>
        <w:t>高品质多样化升级</w:t>
      </w:r>
      <w:r>
        <w:rPr>
          <w:rFonts w:hint="default" w:ascii="Times New Roman" w:hAnsi="Times New Roman" w:eastAsia="楷体_GB2312" w:cs="Times New Roman"/>
          <w:bCs/>
          <w:color w:val="000000"/>
          <w:sz w:val="32"/>
          <w:szCs w:val="32"/>
        </w:rPr>
        <w:t>。</w:t>
      </w:r>
      <w:r>
        <w:rPr>
          <w:rFonts w:hint="default" w:ascii="Times New Roman" w:hAnsi="Times New Roman" w:eastAsia="仿宋_GB2312" w:cs="Times New Roman"/>
          <w:color w:val="000000"/>
          <w:sz w:val="32"/>
          <w:szCs w:val="32"/>
        </w:rPr>
        <w:t>与新型城镇化建设相结合，培育服务消费、信息消费、绿色消费、时尚消费、品质消费、农村消费等新兴消费热点，激发消费需求，提升商贸流通、房地产、家政服务等生活性服务业发展水平。</w:t>
      </w:r>
      <w:r>
        <w:rPr>
          <w:rFonts w:hint="default" w:ascii="Times New Roman" w:hAnsi="Times New Roman" w:cs="Times New Roman"/>
          <w:color w:val="000000"/>
          <w:sz w:val="32"/>
          <w:szCs w:val="32"/>
        </w:rPr>
        <w:t>商贸流通</w:t>
      </w:r>
      <w:r>
        <w:rPr>
          <w:rFonts w:hint="default" w:ascii="Times New Roman" w:hAnsi="Times New Roman" w:eastAsia="楷体_GB2312" w:cs="Times New Roman"/>
          <w:color w:val="000000"/>
          <w:sz w:val="32"/>
          <w:szCs w:val="32"/>
        </w:rPr>
        <w:t>。</w:t>
      </w:r>
      <w:r>
        <w:rPr>
          <w:rFonts w:hint="default" w:ascii="Times New Roman" w:hAnsi="Times New Roman" w:eastAsia="仿宋_GB2312" w:cs="Times New Roman"/>
          <w:bCs/>
          <w:color w:val="000000"/>
          <w:sz w:val="32"/>
          <w:szCs w:val="32"/>
        </w:rPr>
        <w:t>聚焦居民个性化、品质化需求，发展商圈经济，完善商业综合体、专业市场和特色商业街布局。支持中小商贸、零售、餐饮、批发企业聚集发展，与电商平台、快递企业创新合作模式、优势互补，提升现代商贸流通标准化、信息化、网络化、智慧化水平，满足消费需求的个性化、多样化和差异化。</w:t>
      </w:r>
      <w:r>
        <w:rPr>
          <w:rFonts w:hint="default" w:ascii="Times New Roman" w:hAnsi="Times New Roman" w:cs="Times New Roman"/>
          <w:color w:val="000000"/>
          <w:sz w:val="32"/>
          <w:szCs w:val="32"/>
        </w:rPr>
        <w:t>房地产。</w:t>
      </w:r>
      <w:bookmarkStart w:id="20" w:name="_Hlk59209781"/>
      <w:r>
        <w:rPr>
          <w:rFonts w:hint="default" w:ascii="Times New Roman" w:hAnsi="Times New Roman" w:eastAsia="仿宋_GB2312" w:cs="Times New Roman"/>
          <w:bCs/>
          <w:color w:val="000000"/>
          <w:sz w:val="32"/>
          <w:szCs w:val="32"/>
        </w:rPr>
        <w:t>坚持“房子是用来住的、不是用来炒的”定位，以供需保持基本均衡、库存保持合理区间、价格保持总体平稳为导向，促进房地产服务业规范有序健康发展。深化房地产供给侧结构性改革，优化供应结构，合理控制土地供应规模与房地产开发节奏。合理引导居民住房消费，鼓励居民自住型和改善型住房需求，加强配套设施建设，促进存量商品房消化。推进装配式住宅、绿色节能住宅、全装修住宅等示范工程建设。</w:t>
      </w:r>
      <w:r>
        <w:rPr>
          <w:rFonts w:hint="default" w:ascii="Times New Roman" w:hAnsi="Times New Roman" w:cs="Times New Roman"/>
          <w:color w:val="000000"/>
          <w:sz w:val="32"/>
          <w:szCs w:val="32"/>
        </w:rPr>
        <w:t>家政服务</w:t>
      </w:r>
      <w:bookmarkEnd w:id="20"/>
      <w:r>
        <w:rPr>
          <w:rFonts w:hint="default" w:ascii="Times New Roman" w:hAnsi="Times New Roman" w:cs="Times New Roman"/>
          <w:color w:val="000000"/>
          <w:sz w:val="32"/>
          <w:szCs w:val="32"/>
        </w:rPr>
        <w:t>。</w:t>
      </w:r>
      <w:r>
        <w:rPr>
          <w:rFonts w:hint="default" w:ascii="Times New Roman" w:hAnsi="Times New Roman" w:eastAsia="仿宋_GB2312" w:cs="Times New Roman"/>
          <w:bCs/>
          <w:color w:val="000000"/>
          <w:sz w:val="32"/>
          <w:szCs w:val="32"/>
        </w:rPr>
        <w:t>提高家政从业人员素质，改善家政服务人员从业环境，着力发展员工制家政企业，提升家政服务有效供给规模和质量，加强具有区域引领和示范效应的家政服务龙头企业培育，打造家政服务业知名品牌，更好满足广大居民日益增长的家政服务需求。</w:t>
      </w:r>
    </w:p>
    <w:tbl>
      <w:tblPr>
        <w:tblStyle w:val="20"/>
        <w:tblW w:w="89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8978" w:type="dxa"/>
            <w:noWrap w:val="0"/>
            <w:vAlign w:val="top"/>
          </w:tcPr>
          <w:p>
            <w:pPr>
              <w:spacing w:line="560" w:lineRule="exact"/>
              <w:jc w:val="center"/>
              <w:rPr>
                <w:rFonts w:hint="default" w:ascii="Times New Roman" w:hAnsi="Times New Roman" w:eastAsia="黑体" w:cs="Times New Roman"/>
                <w:color w:val="000000"/>
                <w:kern w:val="0"/>
                <w:sz w:val="30"/>
                <w:szCs w:val="30"/>
              </w:rPr>
            </w:pPr>
            <w:r>
              <w:rPr>
                <w:rFonts w:hint="default" w:ascii="Times New Roman" w:hAnsi="Times New Roman" w:eastAsia="黑体" w:cs="Times New Roman"/>
                <w:color w:val="000000"/>
                <w:kern w:val="0"/>
                <w:sz w:val="28"/>
                <w:szCs w:val="28"/>
              </w:rPr>
              <w:t>专栏2 现代服务业重点项目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8" w:type="dxa"/>
            <w:noWrap w:val="0"/>
            <w:vAlign w:val="top"/>
          </w:tcPr>
          <w:p>
            <w:pPr>
              <w:spacing w:line="360" w:lineRule="exact"/>
              <w:ind w:firstLine="422" w:firstLineChars="200"/>
              <w:rPr>
                <w:rFonts w:hint="default" w:ascii="Times New Roman" w:hAnsi="Times New Roman" w:cs="Times New Roman"/>
                <w:b/>
                <w:bCs/>
                <w:color w:val="000000"/>
                <w:kern w:val="0"/>
                <w:szCs w:val="21"/>
              </w:rPr>
            </w:pPr>
            <w:r>
              <w:rPr>
                <w:rFonts w:hint="default" w:ascii="Times New Roman" w:hAnsi="Times New Roman" w:eastAsia="楷体_GB2312" w:cs="Times New Roman"/>
                <w:b/>
                <w:bCs/>
                <w:color w:val="000000"/>
                <w:kern w:val="0"/>
                <w:szCs w:val="21"/>
              </w:rPr>
              <w:t>1.现代物流。</w:t>
            </w:r>
            <w:r>
              <w:rPr>
                <w:rFonts w:hint="default" w:ascii="Times New Roman" w:hAnsi="Times New Roman" w:cs="Times New Roman"/>
                <w:b/>
                <w:bCs/>
                <w:color w:val="000000"/>
                <w:kern w:val="0"/>
                <w:szCs w:val="21"/>
              </w:rPr>
              <w:t>重点抓好高铁物流园与港口物流园建设，大力推进农产品仓储保鲜冷链物流设施建设项目。加快华信区域性农产品产地仓储冷链物流设施、溢香园果业乡镇田头仓储冷链物流设施、易初紫金乡镇田头仓储冷链物流设施项目建设。</w:t>
            </w:r>
          </w:p>
          <w:p>
            <w:pPr>
              <w:spacing w:line="360" w:lineRule="exact"/>
              <w:ind w:firstLine="422" w:firstLineChars="200"/>
              <w:rPr>
                <w:rFonts w:hint="default" w:ascii="Times New Roman" w:hAnsi="Times New Roman" w:cs="Times New Roman"/>
                <w:b/>
                <w:bCs/>
                <w:color w:val="000000"/>
                <w:kern w:val="0"/>
                <w:szCs w:val="21"/>
              </w:rPr>
            </w:pPr>
            <w:r>
              <w:rPr>
                <w:rFonts w:hint="default" w:ascii="Times New Roman" w:hAnsi="Times New Roman" w:eastAsia="楷体_GB2312" w:cs="Times New Roman"/>
                <w:b/>
                <w:bCs/>
                <w:color w:val="000000"/>
                <w:kern w:val="0"/>
                <w:szCs w:val="21"/>
              </w:rPr>
              <w:t>2.电子商务。</w:t>
            </w:r>
            <w:r>
              <w:rPr>
                <w:rFonts w:hint="default" w:ascii="Times New Roman" w:hAnsi="Times New Roman" w:cs="Times New Roman"/>
                <w:b/>
                <w:bCs/>
                <w:color w:val="000000"/>
                <w:kern w:val="0"/>
                <w:szCs w:val="21"/>
              </w:rPr>
              <w:t>发展特色电商小镇、电商村、农产品专业性电商平台，着力推进滨海新区电子商务产业园等项目建设。规范“乳山牡蛎”等品牌标准，建立质量安全追溯体系，推动灯塔水母、久鼎电商、赶海电商等电子商务企业规模化、规范化发展。建立电子商务人才培养体系，依托威海机械工程高级技工学校、山东外事职业大学，积极实施“校企合作”，开展订单式人才培养模式。</w:t>
            </w:r>
          </w:p>
          <w:p>
            <w:pPr>
              <w:spacing w:line="360" w:lineRule="exact"/>
              <w:ind w:firstLine="422" w:firstLineChars="200"/>
              <w:rPr>
                <w:rFonts w:hint="default" w:ascii="Times New Roman" w:hAnsi="Times New Roman" w:cs="Times New Roman"/>
                <w:b/>
                <w:bCs/>
                <w:color w:val="000000"/>
                <w:kern w:val="0"/>
                <w:szCs w:val="21"/>
              </w:rPr>
            </w:pPr>
            <w:r>
              <w:rPr>
                <w:rFonts w:hint="default" w:ascii="Times New Roman" w:hAnsi="Times New Roman" w:eastAsia="楷体_GB2312" w:cs="Times New Roman"/>
                <w:b/>
                <w:bCs/>
                <w:color w:val="000000"/>
                <w:kern w:val="0"/>
                <w:szCs w:val="21"/>
              </w:rPr>
              <w:t>3.现代金融。</w:t>
            </w:r>
            <w:r>
              <w:rPr>
                <w:rFonts w:hint="default" w:ascii="Times New Roman" w:hAnsi="Times New Roman" w:cs="Times New Roman"/>
                <w:b/>
                <w:bCs/>
                <w:color w:val="000000"/>
                <w:kern w:val="0"/>
                <w:szCs w:val="21"/>
              </w:rPr>
              <w:t>重点推动综合金融服务区和特色金融服务区建设</w:t>
            </w:r>
            <w:r>
              <w:rPr>
                <w:rFonts w:hint="default" w:ascii="Times New Roman" w:hAnsi="Times New Roman" w:eastAsia="楷体_GB2312" w:cs="Times New Roman"/>
                <w:b/>
                <w:bCs/>
                <w:color w:val="000000"/>
                <w:kern w:val="0"/>
                <w:szCs w:val="21"/>
              </w:rPr>
              <w:t>。</w:t>
            </w:r>
            <w:r>
              <w:rPr>
                <w:rFonts w:hint="default" w:ascii="Times New Roman" w:hAnsi="Times New Roman" w:cs="Times New Roman"/>
                <w:b/>
                <w:bCs/>
                <w:color w:val="000000"/>
                <w:kern w:val="0"/>
                <w:szCs w:val="21"/>
              </w:rPr>
              <w:t>吸引保险、信托、证券、租赁、期货、基金、资产管理等金融组织进驻，争取到“十四五”末，形成结构合理、功能互补的现代金融组织体系。</w:t>
            </w:r>
          </w:p>
          <w:p>
            <w:pPr>
              <w:spacing w:line="360" w:lineRule="exact"/>
              <w:ind w:firstLine="422" w:firstLineChars="200"/>
              <w:rPr>
                <w:rFonts w:hint="default" w:ascii="Times New Roman" w:hAnsi="Times New Roman" w:cs="Times New Roman"/>
                <w:b/>
                <w:bCs/>
                <w:color w:val="000000"/>
                <w:kern w:val="0"/>
                <w:szCs w:val="21"/>
              </w:rPr>
            </w:pPr>
            <w:r>
              <w:rPr>
                <w:rFonts w:hint="default" w:ascii="Times New Roman" w:hAnsi="Times New Roman" w:eastAsia="楷体_GB2312" w:cs="Times New Roman"/>
                <w:b/>
                <w:bCs/>
                <w:color w:val="000000"/>
                <w:kern w:val="0"/>
                <w:szCs w:val="21"/>
              </w:rPr>
              <w:t>4.商贸流通。</w:t>
            </w:r>
            <w:r>
              <w:rPr>
                <w:rFonts w:hint="default" w:ascii="Times New Roman" w:hAnsi="Times New Roman" w:cs="Times New Roman"/>
                <w:b/>
                <w:bCs/>
                <w:color w:val="000000"/>
                <w:kern w:val="0"/>
                <w:szCs w:val="21"/>
              </w:rPr>
              <w:t>着力推进高铁片区、君梅拉金鼎隐秀商贸城、滨海新区商业街、滨海新区岸线商业提升、恒大地产城市综合体、香榭里商业综合体等项目建设。</w:t>
            </w:r>
          </w:p>
          <w:p>
            <w:pPr>
              <w:spacing w:line="360" w:lineRule="exact"/>
              <w:ind w:firstLine="422" w:firstLineChars="200"/>
              <w:rPr>
                <w:rFonts w:hint="default" w:ascii="Times New Roman" w:hAnsi="Times New Roman" w:cs="Times New Roman"/>
                <w:b/>
                <w:bCs/>
                <w:color w:val="000000"/>
                <w:kern w:val="0"/>
                <w:szCs w:val="21"/>
              </w:rPr>
            </w:pPr>
            <w:r>
              <w:rPr>
                <w:rFonts w:hint="default" w:ascii="Times New Roman" w:hAnsi="Times New Roman" w:eastAsia="楷体_GB2312" w:cs="Times New Roman"/>
                <w:b/>
                <w:bCs/>
                <w:color w:val="000000"/>
                <w:kern w:val="0"/>
                <w:szCs w:val="21"/>
              </w:rPr>
              <w:t>5.房地产。</w:t>
            </w:r>
            <w:r>
              <w:rPr>
                <w:rFonts w:hint="default" w:ascii="Times New Roman" w:hAnsi="Times New Roman" w:cs="Times New Roman"/>
                <w:b/>
                <w:bCs/>
                <w:color w:val="000000"/>
                <w:kern w:val="0"/>
                <w:szCs w:val="21"/>
              </w:rPr>
              <w:t>推进装配式住宅、绿色节能住宅、全装修住宅等示范工程建设，推动瑞驰康城、金鼎大堂观我、春风玖里小区、锦城韶华小区等项目建设。</w:t>
            </w:r>
          </w:p>
          <w:p>
            <w:pPr>
              <w:spacing w:line="360" w:lineRule="exact"/>
              <w:ind w:firstLine="422" w:firstLineChars="200"/>
              <w:rPr>
                <w:rFonts w:hint="default" w:ascii="Times New Roman" w:hAnsi="Times New Roman" w:cs="Times New Roman"/>
                <w:color w:val="000000"/>
                <w:kern w:val="0"/>
                <w:sz w:val="24"/>
                <w:szCs w:val="24"/>
              </w:rPr>
            </w:pPr>
            <w:r>
              <w:rPr>
                <w:rFonts w:hint="default" w:ascii="Times New Roman" w:hAnsi="Times New Roman" w:eastAsia="楷体_GB2312" w:cs="Times New Roman"/>
                <w:b/>
                <w:bCs/>
                <w:color w:val="000000"/>
                <w:kern w:val="0"/>
                <w:szCs w:val="21"/>
              </w:rPr>
              <w:t>6.家政服务。</w:t>
            </w:r>
            <w:r>
              <w:rPr>
                <w:rFonts w:hint="default" w:ascii="Times New Roman" w:hAnsi="Times New Roman" w:cs="Times New Roman"/>
                <w:b/>
                <w:bCs/>
                <w:color w:val="000000"/>
                <w:kern w:val="0"/>
                <w:szCs w:val="21"/>
              </w:rPr>
              <w:t>依托乳山市家庭服务业协会、母爱大姐家政服务、庄臣清洁等重要资源，提升创业孵化中心建设水平，打造集家政服务、家庭装修、家庭教育、养老服务、家庭用品超市、家政服务培训等多功能于一体的一站式家政服务创业孵化中心。</w:t>
            </w:r>
          </w:p>
        </w:tc>
      </w:tr>
    </w:tbl>
    <w:p>
      <w:pPr>
        <w:spacing w:before="156" w:beforeLines="50" w:after="156" w:afterLines="50" w:line="560" w:lineRule="exact"/>
        <w:jc w:val="center"/>
        <w:outlineLvl w:val="1"/>
        <w:rPr>
          <w:rFonts w:hint="default" w:ascii="Times New Roman" w:hAnsi="Times New Roman" w:eastAsia="黑体" w:cs="Times New Roman"/>
          <w:color w:val="000000"/>
          <w:sz w:val="32"/>
          <w:szCs w:val="32"/>
        </w:rPr>
      </w:pPr>
      <w:bookmarkStart w:id="21" w:name="_Toc54561609"/>
      <w:bookmarkStart w:id="22" w:name="_Toc62919416"/>
      <w:r>
        <w:rPr>
          <w:rFonts w:hint="default" w:ascii="Times New Roman" w:hAnsi="Times New Roman" w:eastAsia="黑体" w:cs="Times New Roman"/>
          <w:color w:val="000000"/>
          <w:sz w:val="32"/>
          <w:szCs w:val="32"/>
        </w:rPr>
        <w:t>第四节 着力优化产业生态</w:t>
      </w:r>
      <w:bookmarkEnd w:id="21"/>
      <w:bookmarkEnd w:id="22"/>
    </w:p>
    <w:p>
      <w:pPr>
        <w:autoSpaceDN w:val="0"/>
        <w:spacing w:line="56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着力培育优良产业生态，全面提高在更大范围内整合资源、在更广领域里深化合作、在更高层次上增长的能力，营造更好的供应链环境、市场环境、政策环境，为乳山加速壮大新动能、加快迈上高质量发展阶段提供坚实支撑。</w:t>
      </w:r>
    </w:p>
    <w:p>
      <w:pPr>
        <w:autoSpaceDN w:val="0"/>
        <w:spacing w:line="56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楷体_GB2312" w:cs="Times New Roman"/>
          <w:bCs/>
          <w:color w:val="000000"/>
          <w:sz w:val="32"/>
          <w:szCs w:val="32"/>
        </w:rPr>
        <w:t>增强产业链供应链稳定性和竞争力。</w:t>
      </w:r>
      <w:r>
        <w:rPr>
          <w:rFonts w:hint="default" w:ascii="Times New Roman" w:hAnsi="Times New Roman" w:eastAsia="仿宋_GB2312" w:cs="Times New Roman"/>
          <w:bCs/>
          <w:color w:val="000000"/>
          <w:sz w:val="32"/>
          <w:szCs w:val="32"/>
        </w:rPr>
        <w:t>围绕重点产业，落实市级领导担任产业链链长，全力做强产业链、打通供应链、升级创新链、做优服务链，推动产业迈向中高端。引导龙头骨干企业联合产业链上下游企业、科研院所组建战略合作联盟，强化关键技术领域补短板，在核心零配件供应、关键技术、产销渠道等方面建设备份系统，增强产业链发展韧性和活力，推动产业链做厚、价值链做高、市场份额做大，打造自主可控、安全可靠、竞争力强的产业链供应链。</w:t>
      </w:r>
    </w:p>
    <w:p>
      <w:pPr>
        <w:autoSpaceDN w:val="0"/>
        <w:spacing w:line="56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楷体_GB2312" w:cs="Times New Roman"/>
          <w:color w:val="000000"/>
          <w:sz w:val="32"/>
          <w:szCs w:val="32"/>
        </w:rPr>
        <w:t>推进质量强市和品牌建设。</w:t>
      </w:r>
      <w:r>
        <w:rPr>
          <w:rFonts w:hint="default" w:ascii="Times New Roman" w:hAnsi="Times New Roman" w:eastAsia="仿宋_GB2312" w:cs="Times New Roman"/>
          <w:bCs/>
          <w:color w:val="000000"/>
          <w:sz w:val="32"/>
          <w:szCs w:val="32"/>
        </w:rPr>
        <w:t>积极参与威海市全国质量强市示范城市创建，建立“首席质量官”制度，把“工匠精神”注入企业文化。着力培育、扶持、保护、壮大一批有实力、有带动能力的企业和拥有自主知识产权的商标品牌，进一步增强我市工农业产品和服务业的综合竞争力。</w:t>
      </w:r>
    </w:p>
    <w:p>
      <w:pPr>
        <w:autoSpaceDN w:val="0"/>
        <w:spacing w:line="56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楷体_GB2312" w:cs="Times New Roman"/>
          <w:color w:val="000000"/>
          <w:sz w:val="32"/>
          <w:szCs w:val="32"/>
        </w:rPr>
        <w:t>推进企业梯次成长。</w:t>
      </w:r>
      <w:r>
        <w:rPr>
          <w:rFonts w:hint="default" w:ascii="Times New Roman" w:hAnsi="Times New Roman" w:eastAsia="仿宋_GB2312" w:cs="Times New Roman"/>
          <w:bCs/>
          <w:color w:val="000000"/>
          <w:sz w:val="32"/>
          <w:szCs w:val="32"/>
        </w:rPr>
        <w:t>开展企业冲击新目标行动，针对制约企业发展的难题，从财税、人才、金融、用工等方面，研究出台差异化政策措施。推进“一窗受理”“一网通办”“一链办理”改革，优化营商环境，推动企业冲击新目标实现新突破。坚持政府引导、主体自愿、统筹推进、分类实施，强化重点扶持、完善政策、优化服务和考核激励，推动形成“个转企、小升规、规改股、股上市”的梯次发展格局。</w:t>
      </w:r>
    </w:p>
    <w:p>
      <w:pPr>
        <w:autoSpaceDN w:val="0"/>
        <w:spacing w:line="56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楷体_GB2312" w:cs="Times New Roman"/>
          <w:bCs/>
          <w:color w:val="000000"/>
          <w:sz w:val="32"/>
          <w:szCs w:val="32"/>
        </w:rPr>
        <w:t>持续优化涉企服务。</w:t>
      </w:r>
      <w:r>
        <w:rPr>
          <w:rFonts w:hint="default" w:ascii="Times New Roman" w:hAnsi="Times New Roman" w:eastAsia="仿宋_GB2312" w:cs="Times New Roman"/>
          <w:bCs/>
          <w:color w:val="000000"/>
          <w:sz w:val="32"/>
          <w:szCs w:val="32"/>
        </w:rPr>
        <w:t>完善“市级领导联系企业和项目”制度，进一步强化责任意识、服务意识，真正打通服务企业“最后一公里”。加快实施流程再造，精简审批服务，建立“企业吹哨、部门报到”工作机制，全面落实服务企业相关政策，精准解决企业发展过程中的痛点、难点、堵点问题，推动营商环境持续优化。搭建产学研和金融服务平台，协调解决企业资金紧张、人才资源匮乏、产品研发和市场开拓能力不足等突出问题。</w:t>
      </w:r>
    </w:p>
    <w:p>
      <w:pPr>
        <w:spacing w:before="156" w:beforeLines="50" w:after="156" w:afterLines="50" w:line="560" w:lineRule="exact"/>
        <w:jc w:val="center"/>
        <w:outlineLvl w:val="1"/>
        <w:rPr>
          <w:rFonts w:hint="default" w:ascii="Times New Roman" w:hAnsi="Times New Roman" w:eastAsia="黑体" w:cs="Times New Roman"/>
          <w:color w:val="000000"/>
          <w:sz w:val="32"/>
          <w:szCs w:val="32"/>
        </w:rPr>
      </w:pPr>
      <w:bookmarkStart w:id="23" w:name="_Toc62919417"/>
      <w:r>
        <w:rPr>
          <w:rFonts w:hint="default" w:ascii="Times New Roman" w:hAnsi="Times New Roman" w:eastAsia="黑体" w:cs="Times New Roman"/>
          <w:color w:val="000000"/>
          <w:sz w:val="32"/>
          <w:szCs w:val="32"/>
        </w:rPr>
        <w:t>第五节 强化创新引领产业发展第一动力</w:t>
      </w:r>
      <w:bookmarkEnd w:id="23"/>
    </w:p>
    <w:p>
      <w:pPr>
        <w:autoSpaceDN w:val="0"/>
        <w:spacing w:line="56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坚持创新核心地位，着力提升科技创新能力，加快融入区域创新体系，打造科技、产业、金融紧密融合的创新业态，不断提升产业链水平，为经济长远发展提供有力支撑。</w:t>
      </w:r>
    </w:p>
    <w:p>
      <w:pPr>
        <w:autoSpaceDN w:val="0"/>
        <w:spacing w:line="56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楷体_GB2312" w:cs="Times New Roman"/>
          <w:bCs/>
          <w:color w:val="000000"/>
          <w:sz w:val="32"/>
          <w:szCs w:val="32"/>
        </w:rPr>
        <w:t>高水平建设创新载体。</w:t>
      </w:r>
      <w:r>
        <w:rPr>
          <w:rFonts w:hint="default" w:ascii="Times New Roman" w:hAnsi="Times New Roman" w:eastAsia="仿宋_GB2312" w:cs="Times New Roman"/>
          <w:bCs/>
          <w:color w:val="000000"/>
          <w:sz w:val="32"/>
          <w:szCs w:val="32"/>
        </w:rPr>
        <w:t>紧扣传统产业升级和未来产业培育发展，通过引进共建一批、优化提升一批的方式，打造高水平创新载体。高水平建设科技创新开放合作试验区，主动加强与青岛全国科创中心及周边区域创新中心的对接合作，引进海内外知名创新创业孵化机构，推动中国（乳山）留学人才高新技术研发基地、国际人才港等高端科技平台建设，提升区域科技创新实力和产业代谢能力。加快创新园区建设，形成高新产业集聚地。深化产学研合作平台建设，建立产学研合作战略联盟，围绕重点特色产业和重点企业建设发展需求，加强关键核心和产业共性技术开发；推进牡蛎产业研究院、新能源研究院、新材料研究院等研发平台建设，为产业创新发展提供支撑。</w:t>
      </w:r>
    </w:p>
    <w:p>
      <w:pPr>
        <w:autoSpaceDN w:val="0"/>
        <w:spacing w:line="56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楷体_GB2312" w:cs="Times New Roman"/>
          <w:bCs/>
          <w:color w:val="000000"/>
          <w:sz w:val="32"/>
          <w:szCs w:val="32"/>
        </w:rPr>
        <w:t>着力增强企业创新能力。</w:t>
      </w:r>
      <w:r>
        <w:rPr>
          <w:rFonts w:hint="default" w:ascii="Times New Roman" w:hAnsi="Times New Roman" w:eastAsia="仿宋_GB2312" w:cs="Times New Roman"/>
          <w:bCs/>
          <w:color w:val="000000"/>
          <w:sz w:val="32"/>
          <w:szCs w:val="32"/>
        </w:rPr>
        <w:t>围绕主导产业转型升级和高新技术产业集群培育，壮大创新企业群体。建立覆盖高新技术企业初创、成长、发展等不同阶段的政策扶持体系，重点培育孵化一批本土科技型中小企业和品牌。加快企业研发中心建设，强化企业创新主体地位，鼓励行业龙头企业发挥资金、技术、品牌等优势，与高校院所、上下游企业、行业协会等共建研发机构，建设产业关键共性技术创新平台，支持企业建设创新平台及新型研发机构。加强科技型企业梯次培育，深入实施“千帆计划”、科技型中小企业雏鹰成长计划，加快培育一批拥有自主知识产权、创新能力强、成长性好的科技型中小企业。优化科技创新服务体系，充分发挥政策的导向作用，健全财政科技投入稳定增长机制，鼓励发展金融创新服务，健全多元化、全方位、可持续的金融支撑体系，大力发展信息咨询、科技评估、检测认证等科技服务业。</w:t>
      </w:r>
    </w:p>
    <w:p>
      <w:pPr>
        <w:autoSpaceDN w:val="0"/>
        <w:spacing w:line="56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楷体_GB2312" w:cs="Times New Roman"/>
          <w:bCs/>
          <w:color w:val="000000"/>
          <w:sz w:val="32"/>
          <w:szCs w:val="32"/>
        </w:rPr>
        <w:t>促进创新创业人才集聚。</w:t>
      </w:r>
      <w:r>
        <w:rPr>
          <w:rFonts w:hint="default" w:ascii="Times New Roman" w:hAnsi="Times New Roman" w:eastAsia="仿宋_GB2312" w:cs="Times New Roman"/>
          <w:bCs/>
          <w:color w:val="000000"/>
          <w:sz w:val="32"/>
          <w:szCs w:val="32"/>
        </w:rPr>
        <w:t>着力引进国内外高层次人才，多途径拓宽高层次人才引进渠道，引导和鼓励企业主动对接海内外高校和科研院所，实施柔性引才、离岸孵化等多种模式，吸引高端人才来乳山创业创新，到2025年，力争引进各类人才1万人以上，其中</w:t>
      </w:r>
      <w:r>
        <w:rPr>
          <w:rFonts w:hint="default" w:ascii="Times New Roman" w:hAnsi="Times New Roman" w:eastAsia="仿宋_GB2312" w:cs="Times New Roman"/>
          <w:color w:val="000000"/>
          <w:sz w:val="32"/>
          <w:szCs w:val="32"/>
        </w:rPr>
        <w:t>柔性引进各类高层次人才100人以上、</w:t>
      </w:r>
      <w:r>
        <w:rPr>
          <w:rFonts w:hint="default" w:ascii="Times New Roman" w:hAnsi="Times New Roman" w:eastAsia="仿宋_GB2312" w:cs="Times New Roman"/>
          <w:bCs/>
          <w:color w:val="000000"/>
          <w:sz w:val="32"/>
          <w:szCs w:val="32"/>
        </w:rPr>
        <w:t>外国专家100人以上。大力培育多层次实用型人才，着力培养和集聚领军型企业家、科技企业家、新生代企业家和企业高级经营管理人才，统筹人才队伍建设。到2025年，评选“乳山市产业领军人才”30人以上。</w:t>
      </w:r>
    </w:p>
    <w:p>
      <w:pPr>
        <w:autoSpaceDN w:val="0"/>
        <w:spacing w:line="56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楷体_GB2312" w:cs="Times New Roman"/>
          <w:bCs/>
          <w:color w:val="000000"/>
          <w:sz w:val="32"/>
          <w:szCs w:val="32"/>
        </w:rPr>
        <w:t>优化人才环境和服务体系。</w:t>
      </w:r>
      <w:r>
        <w:rPr>
          <w:rFonts w:hint="default" w:ascii="Times New Roman" w:hAnsi="Times New Roman" w:eastAsia="仿宋_GB2312" w:cs="Times New Roman"/>
          <w:bCs/>
          <w:color w:val="000000"/>
          <w:sz w:val="32"/>
          <w:szCs w:val="32"/>
        </w:rPr>
        <w:t>创新人才评价机制，建立健全政府主导、企业自主、社会组织参与的多元化人才评价机制。引导企业建立创新激励制度，鼓励各类企业通过股权、期权、分红等激励方式，调动科研人员创新积极性。推进人才公寓建设，统筹各方资源，鼓励支持共建、自建或整合现有房源等形式，加快储备一批人才住房。创新提升人才生活服务，完善部门协同联动机制，推行发放“乳山英才卡”，为人才在行政审批、落户入学、就医查体、贷款申请等方面提供优质便利服务。</w:t>
      </w:r>
    </w:p>
    <w:p>
      <w:pPr>
        <w:rPr>
          <w:rFonts w:hint="default" w:ascii="Times New Roman" w:hAnsi="Times New Roman" w:cs="Times New Roman"/>
        </w:rPr>
      </w:pPr>
    </w:p>
    <w:p>
      <w:pPr>
        <w:spacing w:before="156" w:beforeLines="50" w:after="156" w:afterLines="50" w:line="560" w:lineRule="exact"/>
        <w:jc w:val="center"/>
        <w:outlineLvl w:val="0"/>
        <w:rPr>
          <w:rFonts w:hint="default" w:ascii="Times New Roman" w:hAnsi="Times New Roman" w:eastAsia="黑体" w:cs="Times New Roman"/>
          <w:bCs/>
          <w:color w:val="000000"/>
          <w:sz w:val="34"/>
          <w:szCs w:val="34"/>
        </w:rPr>
      </w:pPr>
      <w:r>
        <w:rPr>
          <w:rFonts w:hint="default" w:ascii="Times New Roman" w:hAnsi="Times New Roman" w:eastAsia="仿宋_GB2312" w:cs="Times New Roman"/>
          <w:bCs/>
          <w:color w:val="000000"/>
          <w:sz w:val="32"/>
          <w:szCs w:val="32"/>
        </w:rPr>
        <w:br w:type="page"/>
      </w:r>
      <w:bookmarkStart w:id="24" w:name="_Toc62919418"/>
      <w:r>
        <w:rPr>
          <w:rFonts w:hint="default" w:ascii="Times New Roman" w:hAnsi="Times New Roman" w:eastAsia="黑体" w:cs="Times New Roman"/>
          <w:bCs/>
          <w:color w:val="000000"/>
          <w:sz w:val="34"/>
          <w:szCs w:val="34"/>
        </w:rPr>
        <w:t>第三章 提升新型城镇化质量 着力打造精致城市</w:t>
      </w:r>
      <w:bookmarkEnd w:id="24"/>
    </w:p>
    <w:p>
      <w:pPr>
        <w:pStyle w:val="55"/>
        <w:spacing w:line="560" w:lineRule="exact"/>
        <w:ind w:firstLine="650"/>
        <w:jc w:val="both"/>
        <w:rPr>
          <w:rFonts w:hint="default" w:ascii="Times New Roman" w:hAnsi="Times New Roman" w:eastAsia="仿宋_GB2312" w:cs="Times New Roman"/>
          <w:sz w:val="32"/>
        </w:rPr>
      </w:pPr>
      <w:r>
        <w:rPr>
          <w:rFonts w:hint="default" w:ascii="Times New Roman" w:hAnsi="Times New Roman" w:eastAsia="仿宋_GB2312" w:cs="Times New Roman"/>
          <w:sz w:val="32"/>
        </w:rPr>
        <w:t>实施“精致建市”战略，</w:t>
      </w:r>
      <w:r>
        <w:rPr>
          <w:rFonts w:hint="default" w:ascii="Times New Roman" w:hAnsi="Times New Roman" w:eastAsia="仿宋_GB2312" w:cs="Times New Roman"/>
          <w:kern w:val="36"/>
          <w:sz w:val="32"/>
          <w:szCs w:val="32"/>
        </w:rPr>
        <w:t>打造“母爱圣地</w:t>
      </w:r>
      <w:r>
        <w:rPr>
          <w:rFonts w:hint="default" w:ascii="Times New Roman" w:hAnsi="Times New Roman" w:eastAsia="仿宋_GB2312" w:cs="Times New Roman"/>
          <w:b/>
          <w:bCs/>
          <w:kern w:val="36"/>
          <w:sz w:val="32"/>
          <w:szCs w:val="32"/>
        </w:rPr>
        <w:t>·</w:t>
      </w:r>
      <w:r>
        <w:rPr>
          <w:rFonts w:hint="default" w:ascii="Times New Roman" w:hAnsi="Times New Roman" w:eastAsia="仿宋_GB2312" w:cs="Times New Roman"/>
          <w:kern w:val="36"/>
          <w:sz w:val="32"/>
          <w:szCs w:val="32"/>
        </w:rPr>
        <w:t>美好乳山”精致城市名片</w:t>
      </w:r>
      <w:r>
        <w:rPr>
          <w:rFonts w:hint="default" w:ascii="Times New Roman" w:hAnsi="Times New Roman" w:eastAsia="仿宋_GB2312" w:cs="Times New Roman"/>
          <w:sz w:val="32"/>
        </w:rPr>
        <w:t>。坚持陆海统筹、城乡一体、区域协同，调整优化空间结构，拓展城市发展空间，推进基础设施互联互通、公共服务均衡均等，提升城市功能品质，打造城镇化发展新格局。</w:t>
      </w:r>
    </w:p>
    <w:p>
      <w:pPr>
        <w:spacing w:before="156" w:beforeLines="50" w:after="156" w:afterLines="50" w:line="560" w:lineRule="exact"/>
        <w:jc w:val="center"/>
        <w:outlineLvl w:val="1"/>
        <w:rPr>
          <w:rFonts w:hint="default" w:ascii="Times New Roman" w:hAnsi="Times New Roman" w:eastAsia="黑体" w:cs="Times New Roman"/>
          <w:color w:val="000000"/>
          <w:sz w:val="32"/>
          <w:szCs w:val="32"/>
        </w:rPr>
      </w:pPr>
      <w:bookmarkStart w:id="25" w:name="_Toc62919419"/>
      <w:r>
        <w:rPr>
          <w:rFonts w:hint="default" w:ascii="Times New Roman" w:hAnsi="Times New Roman" w:eastAsia="黑体" w:cs="Times New Roman"/>
          <w:color w:val="000000"/>
          <w:sz w:val="32"/>
          <w:szCs w:val="32"/>
        </w:rPr>
        <w:t>第一节 促进三区融合发展</w:t>
      </w:r>
      <w:bookmarkEnd w:id="25"/>
    </w:p>
    <w:p>
      <w:pPr>
        <w:spacing w:line="56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优化城乡空间布局，提升主城区、滨海新区、经济开发区产业和人口承载能力，加快产城融合发展，吸引人口聚集，形成“三区”对接融合、主城区和滨海新区同质发展的新格局。</w:t>
      </w:r>
    </w:p>
    <w:p>
      <w:pPr>
        <w:spacing w:line="56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楷体_GB2312" w:cs="Times New Roman"/>
          <w:color w:val="000000"/>
          <w:kern w:val="0"/>
          <w:sz w:val="32"/>
          <w:szCs w:val="32"/>
        </w:rPr>
        <w:t>主城区。</w:t>
      </w:r>
      <w:r>
        <w:rPr>
          <w:rFonts w:hint="default" w:ascii="Times New Roman" w:hAnsi="Times New Roman" w:eastAsia="仿宋_GB2312" w:cs="Times New Roman"/>
          <w:color w:val="000000"/>
          <w:kern w:val="0"/>
          <w:sz w:val="32"/>
          <w:szCs w:val="32"/>
        </w:rPr>
        <w:t>以加快构筑城市核心区域为目标，加强规划引领和土地控制，实施腾笼换鸟，让城区板块更清晰、功能更完善。实施“东拓展、西提升、南延伸”，进一步优化城市空间布局，不断提升人口和经济的集聚能力。其中，东部规划建设文化、体育、医疗综合体，重点发展以文化、体育、医疗、健康为代表的公共服务业，有序实施市政道路改造提升，推动基础设施逐步向大孤山镇延伸，</w:t>
      </w:r>
      <w:r>
        <w:rPr>
          <w:rFonts w:hint="default" w:ascii="Times New Roman" w:hAnsi="Times New Roman" w:eastAsia="仿宋_GB2312" w:cs="Times New Roman"/>
          <w:color w:val="000000"/>
          <w:sz w:val="32"/>
          <w:szCs w:val="32"/>
        </w:rPr>
        <w:t>为东部拓展留足城市发展空间</w:t>
      </w:r>
      <w:r>
        <w:rPr>
          <w:rFonts w:hint="default" w:ascii="Times New Roman" w:hAnsi="Times New Roman" w:eastAsia="仿宋_GB2312" w:cs="Times New Roman"/>
          <w:color w:val="000000"/>
          <w:kern w:val="0"/>
          <w:sz w:val="32"/>
          <w:szCs w:val="32"/>
        </w:rPr>
        <w:t>；西部结合恒大城市综合体等项目建设，实施老旧小区改造、提升市政设施水平，改善环境品质，推动基础设施逐步向乳山寨镇延伸；南部结合高铁片区建设，加快基础设施配套，引导高端商业商务设施聚集，实现与经济开发区有机融合。</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kern w:val="0"/>
          <w:sz w:val="32"/>
          <w:szCs w:val="32"/>
        </w:rPr>
        <w:t>滨海新区。</w:t>
      </w:r>
      <w:r>
        <w:rPr>
          <w:rFonts w:hint="default" w:ascii="Times New Roman" w:hAnsi="Times New Roman" w:eastAsia="仿宋_GB2312" w:cs="Times New Roman"/>
          <w:color w:val="000000"/>
          <w:kern w:val="0"/>
          <w:sz w:val="32"/>
          <w:szCs w:val="32"/>
        </w:rPr>
        <w:t>以生态化、宜居化、宜业化为方向，重点抓好城市功能完善、基础设施配套，加强水、电、路、暖、汽、天然气、通信、绿化等基础设施建设，配置商业元素和生活空间，打造全国知名的滨海康养小城。完善职业教育、公共交通、商业金融、医疗卫生、专家职工公寓、餐饮设施、旅游休闲等服务设施，全面改善整体生活环境，提高宜居宜业城市形象。</w:t>
      </w:r>
    </w:p>
    <w:p>
      <w:pPr>
        <w:spacing w:line="56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楷体_GB2312" w:cs="Times New Roman"/>
          <w:color w:val="000000"/>
          <w:kern w:val="0"/>
          <w:sz w:val="32"/>
          <w:szCs w:val="32"/>
        </w:rPr>
        <w:t>经济开发区。</w:t>
      </w:r>
      <w:r>
        <w:rPr>
          <w:rFonts w:hint="default" w:ascii="Times New Roman" w:hAnsi="Times New Roman" w:eastAsia="仿宋_GB2312" w:cs="Times New Roman"/>
          <w:color w:val="000000"/>
          <w:kern w:val="0"/>
          <w:sz w:val="32"/>
          <w:szCs w:val="32"/>
        </w:rPr>
        <w:t>推动经济开发区“产城融合”，坚持“以产促城、产城并进”的原则，抓住乳山港、莱荣高铁建设契机，进一步完善园区基础设施配套；加快推进综合服务中心（人才公寓）、高铁片区、临港配套服务区建设，提升园区综合服务能力，不断改善园区投资环境；推动“港产城”融合发展，助力开发区城市功能不断完善，建设“产业聚集、美丽宜居、生态绿色”的特色新区。</w:t>
      </w:r>
    </w:p>
    <w:p>
      <w:pPr>
        <w:spacing w:before="156" w:beforeLines="50" w:after="156" w:afterLines="50" w:line="560" w:lineRule="exact"/>
        <w:jc w:val="center"/>
        <w:outlineLvl w:val="1"/>
        <w:rPr>
          <w:rFonts w:hint="default" w:ascii="Times New Roman" w:hAnsi="Times New Roman" w:eastAsia="黑体" w:cs="Times New Roman"/>
          <w:bCs/>
          <w:color w:val="000000"/>
          <w:kern w:val="0"/>
          <w:sz w:val="32"/>
          <w:szCs w:val="32"/>
        </w:rPr>
      </w:pPr>
      <w:bookmarkStart w:id="26" w:name="_Toc62919420"/>
      <w:r>
        <w:rPr>
          <w:rFonts w:hint="default" w:ascii="Times New Roman" w:hAnsi="Times New Roman" w:eastAsia="黑体" w:cs="Times New Roman"/>
          <w:bCs/>
          <w:color w:val="000000"/>
          <w:kern w:val="0"/>
          <w:sz w:val="32"/>
          <w:szCs w:val="32"/>
        </w:rPr>
        <w:t>第二节 推进精致城市建设</w:t>
      </w:r>
      <w:bookmarkEnd w:id="26"/>
    </w:p>
    <w:p>
      <w:pPr>
        <w:spacing w:line="56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综合考虑城市布局的经济、生活、生态和安全需要，以绣花精神推进宜居城市、韧性城市、智慧城市建设，为人民群众提供高品质生活空间。</w:t>
      </w:r>
    </w:p>
    <w:p>
      <w:pPr>
        <w:spacing w:line="56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楷体_GB2312" w:cs="Times New Roman"/>
          <w:color w:val="000000"/>
          <w:kern w:val="0"/>
          <w:sz w:val="32"/>
          <w:szCs w:val="32"/>
        </w:rPr>
        <w:t>擦亮“母爱乳山”城市特色。</w:t>
      </w:r>
      <w:r>
        <w:rPr>
          <w:rFonts w:hint="default" w:ascii="Times New Roman" w:hAnsi="Times New Roman" w:eastAsia="仿宋_GB2312" w:cs="Times New Roman"/>
          <w:color w:val="000000"/>
          <w:kern w:val="0"/>
          <w:sz w:val="32"/>
          <w:szCs w:val="32"/>
        </w:rPr>
        <w:t>突出乳山背山面海的景观特色，以滨海岸线景观轴线为骨架、自然山体为背景、母爱文化及城市历史为依托，创造环境宜居、富有文化底蕴的海滨城市景观风貌。加强建筑形式、色彩、材质等的控制，与山海环境相融合，保护城市天际线，做到疏密有度、错落有致，显山、露水、透海，彰显城市山海景观特色。全面开展城市设计工作，将特色商业街区、交通枢纽地区等划定为城市设计的重点地块，精心做好特色街区、园林绿化、景观照明、街道界面、城市雕塑等要素的设计，营造精巧别致的城市空间。加强建筑设计管理，优化城市空间和建筑布局，加强新建高层建筑管控。</w:t>
      </w:r>
    </w:p>
    <w:p>
      <w:pPr>
        <w:spacing w:line="56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楷体_GB2312" w:cs="Times New Roman"/>
          <w:color w:val="000000"/>
          <w:kern w:val="0"/>
          <w:sz w:val="32"/>
          <w:szCs w:val="32"/>
        </w:rPr>
        <w:t>实施城市更新行动。</w:t>
      </w:r>
      <w:r>
        <w:rPr>
          <w:rFonts w:hint="default" w:ascii="Times New Roman" w:hAnsi="Times New Roman" w:eastAsia="仿宋_GB2312" w:cs="Times New Roman"/>
          <w:color w:val="000000"/>
          <w:kern w:val="0"/>
          <w:sz w:val="32"/>
          <w:szCs w:val="32"/>
        </w:rPr>
        <w:t>推进医疗、体育、文化综合体建设，打造城市精品亮点，改善人居环境。分类实施老旧小区改造，完善小区各类配套设施。推进海绵城市建设，加强市区内沟河、滞洪区整治，提高城市蓄水、滞水和渗水能力。实施市政道路升级改造工程，全部打通城市“断头路”“瓶颈路”，提升城市交通微循环能力。结合道路改造同步实施供排水、供暖、燃气、通信等综合管网建设，完成城市雨污分流、污水处理工程，确保城区黑臭水体全部消除。全面推进生活垃圾分类。加强城市道路、河道等重要部位景观特色化营造，推进城市重要公共开放空间环境品质提升，塑造“三季有花、四季有色”的绿化景观，提升城市景观品质。实施道路绿化提升改造、口袋公园建设、临街绿地建设，增加开敞运动娱乐空间。</w:t>
      </w:r>
    </w:p>
    <w:p>
      <w:pPr>
        <w:spacing w:line="56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楷体_GB2312" w:cs="Times New Roman"/>
          <w:color w:val="000000"/>
          <w:kern w:val="0"/>
          <w:sz w:val="32"/>
          <w:szCs w:val="32"/>
        </w:rPr>
        <w:t>创新城市治理模式。</w:t>
      </w:r>
      <w:r>
        <w:rPr>
          <w:rFonts w:hint="default" w:ascii="Times New Roman" w:hAnsi="Times New Roman" w:eastAsia="仿宋_GB2312" w:cs="Times New Roman"/>
          <w:color w:val="000000"/>
          <w:kern w:val="0"/>
          <w:sz w:val="32"/>
          <w:szCs w:val="32"/>
        </w:rPr>
        <w:t>抓好全省新型智慧城市试点建设，按照“一网统管”模式，启用国土空间规划“一张图”信息监管系统，建设完善智慧社区、智慧水务、智慧交通、智慧城市档案等，推进信息技术在城市全领域的广泛应用，推动数据共享共用，提升城市综合服务的便捷化、人性化水平。坚持网格化管理，建立网格事项发现、受理、分流、处置、跟踪、督办、反馈、评价闭环运行机制。健全城市治理综合协调体系，推动精致城市共建共治共享。推动物业服务企业大力发展线上线下社区服务业。建立党委领导、政府组织、业主参与、企业服务的居住社区治理机制，推动城市管理进社区，提高物业管理覆盖率。</w:t>
      </w:r>
    </w:p>
    <w:tbl>
      <w:tblPr>
        <w:tblStyle w:val="20"/>
        <w:tblW w:w="86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49" w:type="dxa"/>
            <w:noWrap w:val="0"/>
            <w:vAlign w:val="top"/>
          </w:tcPr>
          <w:p>
            <w:pPr>
              <w:spacing w:line="560" w:lineRule="exact"/>
              <w:jc w:val="center"/>
              <w:rPr>
                <w:rFonts w:hint="default" w:ascii="Times New Roman" w:hAnsi="Times New Roman" w:eastAsia="黑体" w:cs="Times New Roman"/>
                <w:color w:val="000000"/>
                <w:sz w:val="30"/>
                <w:szCs w:val="30"/>
              </w:rPr>
            </w:pPr>
            <w:r>
              <w:rPr>
                <w:rFonts w:hint="default" w:ascii="Times New Roman" w:hAnsi="Times New Roman" w:eastAsia="黑体" w:cs="Times New Roman"/>
                <w:color w:val="000000"/>
                <w:sz w:val="28"/>
                <w:szCs w:val="28"/>
              </w:rPr>
              <w:t>专栏3 精致城市建设重点项目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9" w:type="dxa"/>
            <w:noWrap w:val="0"/>
            <w:vAlign w:val="top"/>
          </w:tcPr>
          <w:p>
            <w:pPr>
              <w:spacing w:line="360" w:lineRule="exact"/>
              <w:ind w:firstLine="422" w:firstLineChars="200"/>
              <w:rPr>
                <w:rFonts w:hint="default" w:ascii="Times New Roman" w:hAnsi="Times New Roman" w:cs="Times New Roman"/>
                <w:b/>
                <w:bCs/>
                <w:color w:val="000000"/>
                <w:szCs w:val="21"/>
              </w:rPr>
            </w:pPr>
            <w:r>
              <w:rPr>
                <w:rFonts w:hint="default" w:ascii="Times New Roman" w:hAnsi="Times New Roman" w:eastAsia="楷体_GB2312" w:cs="Times New Roman"/>
                <w:b/>
                <w:bCs/>
                <w:color w:val="000000"/>
                <w:szCs w:val="21"/>
              </w:rPr>
              <w:t>1.城中村改造。</w:t>
            </w:r>
            <w:r>
              <w:rPr>
                <w:rFonts w:hint="default" w:ascii="Times New Roman" w:hAnsi="Times New Roman" w:cs="Times New Roman"/>
                <w:b/>
                <w:bCs/>
                <w:color w:val="000000"/>
                <w:szCs w:val="21"/>
              </w:rPr>
              <w:t>分步实施曹城村、桥东庄村、草埠村、岚子后村、北江村、岚子村、东里村、东耿家村、官地村、金碃岭村、夏东村等旧村改造。转变城市开发建设方式，将建设重点由房地产主导的增量建设，逐步转向以提升城市品质为主的存量提质改造，促进资本、土地等要素的优化配置。</w:t>
            </w:r>
          </w:p>
          <w:p>
            <w:pPr>
              <w:spacing w:line="360" w:lineRule="exact"/>
              <w:ind w:firstLine="422" w:firstLineChars="200"/>
              <w:rPr>
                <w:rFonts w:hint="default" w:ascii="Times New Roman" w:hAnsi="Times New Roman" w:cs="Times New Roman"/>
                <w:b/>
                <w:bCs/>
                <w:color w:val="000000"/>
                <w:szCs w:val="21"/>
              </w:rPr>
            </w:pPr>
            <w:r>
              <w:rPr>
                <w:rFonts w:hint="default" w:ascii="Times New Roman" w:hAnsi="Times New Roman" w:eastAsia="楷体_GB2312" w:cs="Times New Roman"/>
                <w:b/>
                <w:bCs/>
                <w:color w:val="000000"/>
                <w:szCs w:val="21"/>
              </w:rPr>
              <w:t>2.老旧小区改造。</w:t>
            </w:r>
            <w:r>
              <w:rPr>
                <w:rFonts w:hint="default" w:ascii="Times New Roman" w:hAnsi="Times New Roman" w:cs="Times New Roman"/>
                <w:b/>
                <w:bCs/>
                <w:color w:val="000000"/>
                <w:szCs w:val="21"/>
              </w:rPr>
              <w:t>按照“先急后缓、先易后难”原则，依次对西南片区、西部片区、西北片区、中南片区和东部片区的居住组团进行改造。区内重点改造基础设施，实现雨污分流，区外重点改造背街小巷，提升临街绿化，增设休闲健身设施，配套社区和物业服务功能，力争实现“每年一小步，三年大变样，五年换新颜”目标。</w:t>
            </w:r>
          </w:p>
          <w:p>
            <w:pPr>
              <w:spacing w:line="360" w:lineRule="exact"/>
              <w:ind w:firstLine="422" w:firstLineChars="200"/>
              <w:rPr>
                <w:rFonts w:hint="default" w:ascii="Times New Roman" w:hAnsi="Times New Roman" w:cs="Times New Roman"/>
                <w:b/>
                <w:bCs/>
                <w:color w:val="000000"/>
                <w:szCs w:val="21"/>
              </w:rPr>
            </w:pPr>
            <w:r>
              <w:rPr>
                <w:rFonts w:hint="default" w:ascii="Times New Roman" w:hAnsi="Times New Roman" w:eastAsia="楷体_GB2312" w:cs="Times New Roman"/>
                <w:b/>
                <w:bCs/>
                <w:color w:val="000000"/>
                <w:szCs w:val="21"/>
              </w:rPr>
              <w:t>3.市政道路建设。</w:t>
            </w:r>
            <w:r>
              <w:rPr>
                <w:rFonts w:hint="default" w:ascii="Times New Roman" w:hAnsi="Times New Roman" w:cs="Times New Roman"/>
                <w:b/>
                <w:bCs/>
                <w:color w:val="000000"/>
                <w:szCs w:val="21"/>
              </w:rPr>
              <w:t>结合城区改造，打通幸福三路、府前路等断头路，实现主城区路网互联互通；实施广州路、新华街、向阳街等道路改造工程，改善道路状况，提升道路通行能力。</w:t>
            </w:r>
          </w:p>
          <w:p>
            <w:pPr>
              <w:spacing w:line="360" w:lineRule="exact"/>
              <w:ind w:firstLine="422" w:firstLineChars="200"/>
              <w:rPr>
                <w:rFonts w:hint="default" w:ascii="Times New Roman" w:hAnsi="Times New Roman" w:cs="Times New Roman"/>
                <w:b/>
                <w:bCs/>
                <w:color w:val="000000"/>
                <w:szCs w:val="21"/>
              </w:rPr>
            </w:pPr>
            <w:r>
              <w:rPr>
                <w:rFonts w:hint="default" w:ascii="Times New Roman" w:hAnsi="Times New Roman" w:eastAsia="楷体_GB2312" w:cs="Times New Roman"/>
                <w:b/>
                <w:bCs/>
                <w:color w:val="000000"/>
                <w:szCs w:val="21"/>
              </w:rPr>
              <w:t>4.城市景观建设。</w:t>
            </w:r>
            <w:r>
              <w:rPr>
                <w:rFonts w:hint="default" w:ascii="Times New Roman" w:hAnsi="Times New Roman" w:cs="Times New Roman"/>
                <w:b/>
                <w:bCs/>
                <w:color w:val="000000"/>
                <w:szCs w:val="21"/>
              </w:rPr>
              <w:t>实施气象</w:t>
            </w:r>
            <w:r>
              <w:rPr>
                <w:rFonts w:hint="default" w:ascii="Times New Roman" w:hAnsi="Times New Roman" w:cs="Times New Roman"/>
                <w:b/>
                <w:bCs/>
                <w:color w:val="000000"/>
                <w:spacing w:val="6"/>
                <w:szCs w:val="21"/>
              </w:rPr>
              <w:t>公园、新华街口袋公园、东方大厦城市书吧绿地景观提升等项目，打造一批贴近群众的口袋公园，进一步提升广大市民的获得感、幸福感；推进城南河景观提升工程向市内延伸，研究实施炉上河景观提升工程，全面提高城市河道水环境质量；结合管道建设，苗木搬迁，有序实施道路绿地提升</w:t>
            </w:r>
            <w:r>
              <w:rPr>
                <w:rFonts w:hint="default" w:ascii="Times New Roman" w:hAnsi="Times New Roman" w:cs="Times New Roman"/>
                <w:b/>
                <w:bCs/>
                <w:color w:val="000000"/>
                <w:szCs w:val="21"/>
              </w:rPr>
              <w:t>改造；实施海岸带综合治理，提升生态环境。</w:t>
            </w:r>
          </w:p>
          <w:p>
            <w:pPr>
              <w:spacing w:line="360" w:lineRule="exact"/>
              <w:ind w:firstLine="422" w:firstLineChars="200"/>
              <w:rPr>
                <w:rFonts w:hint="default" w:ascii="Times New Roman" w:hAnsi="Times New Roman" w:cs="Times New Roman"/>
                <w:b/>
                <w:bCs/>
                <w:color w:val="000000"/>
                <w:szCs w:val="21"/>
              </w:rPr>
            </w:pPr>
            <w:r>
              <w:rPr>
                <w:rFonts w:hint="default" w:ascii="Times New Roman" w:hAnsi="Times New Roman" w:eastAsia="楷体_GB2312" w:cs="Times New Roman"/>
                <w:b/>
                <w:bCs/>
                <w:color w:val="000000"/>
                <w:szCs w:val="21"/>
              </w:rPr>
              <w:t>5.停车场建设。</w:t>
            </w:r>
            <w:r>
              <w:rPr>
                <w:rFonts w:hint="default" w:ascii="Times New Roman" w:hAnsi="Times New Roman" w:cs="Times New Roman"/>
                <w:b/>
                <w:bCs/>
                <w:color w:val="000000"/>
                <w:szCs w:val="21"/>
              </w:rPr>
              <w:t>建设城市智慧停车平台，实施金牛山公园等停车场智慧化改造，实施松山路幼儿园等停车场光伏设备、充电桩设备、变压器设备建设及智慧化改造。</w:t>
            </w:r>
          </w:p>
          <w:p>
            <w:pPr>
              <w:spacing w:line="360" w:lineRule="exact"/>
              <w:ind w:firstLine="422" w:firstLineChars="200"/>
              <w:rPr>
                <w:rFonts w:hint="default" w:ascii="Times New Roman" w:hAnsi="Times New Roman" w:cs="Times New Roman"/>
                <w:b/>
                <w:bCs/>
                <w:color w:val="000000"/>
                <w:szCs w:val="21"/>
              </w:rPr>
            </w:pPr>
            <w:r>
              <w:rPr>
                <w:rFonts w:hint="default" w:ascii="Times New Roman" w:hAnsi="Times New Roman" w:eastAsia="楷体_GB2312" w:cs="Times New Roman"/>
                <w:b/>
                <w:bCs/>
                <w:color w:val="000000"/>
                <w:szCs w:val="21"/>
              </w:rPr>
              <w:t>6.供水品质提升。</w:t>
            </w:r>
            <w:r>
              <w:rPr>
                <w:rFonts w:hint="default" w:ascii="Times New Roman" w:hAnsi="Times New Roman" w:cs="Times New Roman"/>
                <w:b/>
                <w:bCs/>
                <w:color w:val="000000"/>
                <w:szCs w:val="21"/>
              </w:rPr>
              <w:t>实施三水厂深度处理改造，同时根据城市建设发展计划，实施老旧供水管网更新改造，提高供水安全。</w:t>
            </w:r>
          </w:p>
          <w:p>
            <w:pPr>
              <w:spacing w:line="360" w:lineRule="exact"/>
              <w:ind w:firstLine="422" w:firstLineChars="200"/>
              <w:rPr>
                <w:rFonts w:hint="default" w:ascii="Times New Roman" w:hAnsi="Times New Roman" w:cs="Times New Roman"/>
                <w:color w:val="000000"/>
                <w:sz w:val="24"/>
                <w:szCs w:val="24"/>
              </w:rPr>
            </w:pPr>
            <w:r>
              <w:rPr>
                <w:rFonts w:hint="default" w:ascii="Times New Roman" w:hAnsi="Times New Roman" w:eastAsia="楷体_GB2312" w:cs="Times New Roman"/>
                <w:b/>
                <w:bCs/>
                <w:color w:val="000000"/>
                <w:szCs w:val="21"/>
              </w:rPr>
              <w:t>7.污水处理设施建设。</w:t>
            </w:r>
            <w:r>
              <w:rPr>
                <w:rFonts w:hint="default" w:ascii="Times New Roman" w:hAnsi="Times New Roman" w:cs="Times New Roman"/>
                <w:b/>
                <w:bCs/>
                <w:color w:val="000000"/>
                <w:szCs w:val="21"/>
              </w:rPr>
              <w:t>实施存量管网排查问题整修、建成区内城中村雨污分流改造、老旧小区雨污分流改造、企业厂区内雨污分流改造。</w:t>
            </w:r>
          </w:p>
        </w:tc>
      </w:tr>
    </w:tbl>
    <w:p>
      <w:pPr>
        <w:spacing w:after="156" w:afterLines="50" w:line="560" w:lineRule="exact"/>
        <w:jc w:val="center"/>
        <w:outlineLvl w:val="1"/>
        <w:rPr>
          <w:rFonts w:hint="default" w:ascii="Times New Roman" w:hAnsi="Times New Roman" w:eastAsia="黑体" w:cs="Times New Roman"/>
          <w:color w:val="000000"/>
          <w:sz w:val="32"/>
          <w:szCs w:val="32"/>
        </w:rPr>
      </w:pPr>
      <w:bookmarkStart w:id="27" w:name="_Toc62919421"/>
      <w:bookmarkStart w:id="28" w:name="_Toc11187"/>
      <w:r>
        <w:rPr>
          <w:rFonts w:hint="default" w:ascii="Times New Roman" w:hAnsi="Times New Roman" w:eastAsia="黑体" w:cs="Times New Roman"/>
          <w:color w:val="000000"/>
          <w:sz w:val="32"/>
          <w:szCs w:val="32"/>
        </w:rPr>
        <w:t>第三节 提升基础设施水平</w:t>
      </w:r>
      <w:bookmarkEnd w:id="27"/>
    </w:p>
    <w:p>
      <w:pPr>
        <w:spacing w:line="560" w:lineRule="exact"/>
        <w:ind w:right="105" w:rightChars="50" w:firstLine="640" w:firstLineChars="200"/>
        <w:rPr>
          <w:rFonts w:hint="default" w:ascii="Times New Roman" w:hAnsi="Times New Roman" w:eastAsia="仿宋_GB2312" w:cs="Times New Roman"/>
          <w:bCs/>
          <w:color w:val="000000"/>
          <w:kern w:val="0"/>
          <w:sz w:val="32"/>
          <w:szCs w:val="32"/>
        </w:rPr>
      </w:pPr>
      <w:r>
        <w:rPr>
          <w:rFonts w:hint="default" w:ascii="Times New Roman" w:hAnsi="Times New Roman" w:eastAsia="仿宋_GB2312" w:cs="Times New Roman"/>
          <w:bCs/>
          <w:color w:val="000000"/>
          <w:kern w:val="0"/>
          <w:sz w:val="32"/>
          <w:szCs w:val="32"/>
        </w:rPr>
        <w:t>以改善人居环境、增强城市综合承载能力、提高城市运行效率为目标，着力建设通达便捷的交通体系以及安全有效的水利基础设施体系，科学布局能源基础设施和新型网络基础设施，全面提升基础设施水平。</w:t>
      </w:r>
    </w:p>
    <w:bookmarkEnd w:id="28"/>
    <w:p>
      <w:pPr>
        <w:spacing w:line="560" w:lineRule="exact"/>
        <w:ind w:right="105" w:rightChars="50"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楷体_GB2312" w:cs="Times New Roman"/>
          <w:color w:val="000000"/>
          <w:kern w:val="0"/>
          <w:sz w:val="32"/>
          <w:szCs w:val="32"/>
        </w:rPr>
        <w:t>建设通达便捷的交通体系。</w:t>
      </w:r>
      <w:r>
        <w:rPr>
          <w:rFonts w:hint="default" w:ascii="Times New Roman" w:hAnsi="Times New Roman" w:eastAsia="仿宋_GB2312" w:cs="Times New Roman"/>
          <w:bCs/>
          <w:color w:val="000000"/>
          <w:kern w:val="0"/>
          <w:sz w:val="32"/>
          <w:szCs w:val="32"/>
        </w:rPr>
        <w:t>按照连接区域、完善功能、适度超前、服务为本的发展原则，推进综合交通体系立体布局、互联互通，打造胶东经济圈重要货物流通中转站。</w:t>
      </w:r>
      <w:r>
        <w:rPr>
          <w:rFonts w:hint="default" w:ascii="Times New Roman" w:hAnsi="Times New Roman" w:cs="Times New Roman"/>
          <w:color w:val="000000"/>
          <w:kern w:val="0"/>
          <w:sz w:val="32"/>
          <w:szCs w:val="32"/>
        </w:rPr>
        <w:t>融入现代铁路运输网。</w:t>
      </w:r>
      <w:r>
        <w:rPr>
          <w:rFonts w:hint="default" w:ascii="Times New Roman" w:hAnsi="Times New Roman" w:eastAsia="仿宋_GB2312" w:cs="Times New Roman"/>
          <w:color w:val="000000"/>
          <w:kern w:val="0"/>
          <w:sz w:val="32"/>
          <w:szCs w:val="32"/>
        </w:rPr>
        <w:t>加快莱荣高铁和乳山南站建设，尽快融入胶东经济圈高铁网络体系。以威海市铁路提速升级、纳入国铁网络为契机，实施桃威铁路电气化改造，加快乳山站港铁联运，提升铁路货运对地方经济拉动作用。推进乳山港疏港铁路工程建设，促进港口与腹地经济的联动发展。</w:t>
      </w:r>
      <w:r>
        <w:rPr>
          <w:rFonts w:hint="default" w:ascii="Times New Roman" w:hAnsi="Times New Roman" w:eastAsia="仿宋_GB2312" w:cs="Times New Roman"/>
          <w:color w:val="000000"/>
          <w:kern w:val="0"/>
          <w:sz w:val="32"/>
          <w:szCs w:val="32"/>
          <w:lang w:eastAsia="zh-CN"/>
        </w:rPr>
        <w:t>根据国家政策要求，有序参与推进区域城市轨道交通建设，谋划预留发展空间</w:t>
      </w:r>
      <w:r>
        <w:rPr>
          <w:rFonts w:hint="default" w:ascii="Times New Roman" w:hAnsi="Times New Roman" w:eastAsia="仿宋_GB2312" w:cs="Times New Roman"/>
          <w:color w:val="000000"/>
          <w:kern w:val="0"/>
          <w:sz w:val="32"/>
          <w:szCs w:val="32"/>
        </w:rPr>
        <w:t>；围绕辖区内企业货运需求，规划建设从乳山下初镇到牟平水道镇恒邦化工园区的铁路专用线。</w:t>
      </w:r>
      <w:r>
        <w:rPr>
          <w:rFonts w:hint="default" w:ascii="Times New Roman" w:hAnsi="Times New Roman" w:cs="Times New Roman"/>
          <w:color w:val="000000"/>
          <w:kern w:val="0"/>
          <w:sz w:val="32"/>
          <w:szCs w:val="32"/>
        </w:rPr>
        <w:t>规划建设</w:t>
      </w:r>
      <w:r>
        <w:rPr>
          <w:rFonts w:hint="default" w:ascii="Times New Roman" w:hAnsi="Times New Roman" w:cs="Times New Roman"/>
          <w:color w:val="000000"/>
          <w:spacing w:val="6"/>
          <w:kern w:val="0"/>
          <w:sz w:val="32"/>
          <w:szCs w:val="32"/>
        </w:rPr>
        <w:t>通用机场。</w:t>
      </w:r>
      <w:r>
        <w:rPr>
          <w:rFonts w:hint="default" w:ascii="Times New Roman" w:hAnsi="Times New Roman" w:eastAsia="仿宋_GB2312" w:cs="Times New Roman"/>
          <w:color w:val="000000"/>
          <w:spacing w:val="6"/>
          <w:kern w:val="0"/>
          <w:sz w:val="32"/>
          <w:szCs w:val="32"/>
        </w:rPr>
        <w:t>规划建设一类通用机场，加快推进项目立项审批，争取早日开工。以建设通用机场为依托，开展飞行培训、高端旅游、应急救援等航空活动，同时配套引进通用航空器生产、销售、托管、维修、租赁等航空服务企业，打造新型航空特色小镇。</w:t>
      </w:r>
      <w:r>
        <w:rPr>
          <w:rFonts w:hint="default" w:ascii="Times New Roman" w:hAnsi="Times New Roman" w:cs="Times New Roman"/>
          <w:color w:val="000000"/>
          <w:spacing w:val="6"/>
          <w:kern w:val="0"/>
          <w:sz w:val="32"/>
          <w:szCs w:val="32"/>
        </w:rPr>
        <w:t>实施路网畅通工程。</w:t>
      </w:r>
      <w:r>
        <w:rPr>
          <w:rFonts w:hint="default" w:ascii="Times New Roman" w:hAnsi="Times New Roman" w:eastAsia="仿宋_GB2312" w:cs="Times New Roman"/>
          <w:bCs/>
          <w:color w:val="000000"/>
          <w:spacing w:val="6"/>
          <w:kern w:val="0"/>
          <w:sz w:val="32"/>
          <w:szCs w:val="32"/>
        </w:rPr>
        <w:t>优化路网布局，规划形成“四纵六横”市域路网结构布局，围绕“四好农</w:t>
      </w:r>
      <w:r>
        <w:rPr>
          <w:rFonts w:hint="default" w:ascii="Times New Roman" w:hAnsi="Times New Roman" w:eastAsia="仿宋_GB2312" w:cs="Times New Roman"/>
          <w:bCs/>
          <w:color w:val="000000"/>
          <w:kern w:val="0"/>
          <w:sz w:val="32"/>
          <w:szCs w:val="32"/>
        </w:rPr>
        <w:t>村路”建设，推动我市农村公路高质量发展。改建</w:t>
      </w:r>
      <w:r>
        <w:rPr>
          <w:rFonts w:hint="default" w:ascii="Times New Roman" w:hAnsi="Times New Roman" w:eastAsia="仿宋_GB2312" w:cs="Times New Roman"/>
          <w:color w:val="000000"/>
          <w:kern w:val="0"/>
          <w:sz w:val="32"/>
          <w:szCs w:val="32"/>
        </w:rPr>
        <w:t>提升高速公路网服务水平，</w:t>
      </w:r>
      <w:r>
        <w:rPr>
          <w:rFonts w:hint="default" w:ascii="Times New Roman" w:hAnsi="Times New Roman" w:eastAsia="仿宋_GB2312" w:cs="Times New Roman"/>
          <w:bCs/>
          <w:color w:val="000000"/>
          <w:kern w:val="0"/>
          <w:sz w:val="32"/>
          <w:szCs w:val="32"/>
        </w:rPr>
        <w:t>加快推进乳山口大桥等重点工程建设，</w:t>
      </w:r>
      <w:r>
        <w:rPr>
          <w:rFonts w:hint="default" w:ascii="Times New Roman" w:hAnsi="Times New Roman" w:eastAsia="仿宋_GB2312" w:cs="Times New Roman"/>
          <w:color w:val="000000"/>
          <w:kern w:val="0"/>
          <w:sz w:val="32"/>
          <w:szCs w:val="32"/>
        </w:rPr>
        <w:t>构筑乳山与其他城市之间快速便捷的交通网络通道；顺畅主城区与滨海新区有机整合联结的城区快速交通网络，打造城区与组团30分钟交通圈。</w:t>
      </w:r>
    </w:p>
    <w:tbl>
      <w:tblPr>
        <w:tblStyle w:val="20"/>
        <w:tblW w:w="89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25" w:type="dxa"/>
            <w:noWrap w:val="0"/>
            <w:vAlign w:val="top"/>
          </w:tcPr>
          <w:p>
            <w:pPr>
              <w:spacing w:line="560" w:lineRule="exact"/>
              <w:jc w:val="center"/>
              <w:rPr>
                <w:rFonts w:hint="default" w:ascii="Times New Roman" w:hAnsi="Times New Roman" w:eastAsia="黑体" w:cs="Times New Roman"/>
                <w:color w:val="000000"/>
                <w:sz w:val="30"/>
                <w:szCs w:val="30"/>
              </w:rPr>
            </w:pPr>
            <w:r>
              <w:rPr>
                <w:rFonts w:hint="default" w:ascii="Times New Roman" w:hAnsi="Times New Roman" w:eastAsia="黑体" w:cs="Times New Roman"/>
                <w:color w:val="000000"/>
                <w:sz w:val="28"/>
                <w:szCs w:val="28"/>
              </w:rPr>
              <w:t>专栏</w:t>
            </w:r>
            <w:r>
              <w:rPr>
                <w:rFonts w:hint="default" w:ascii="Times New Roman" w:hAnsi="Times New Roman" w:eastAsia="楷体_GB2312" w:cs="Times New Roman"/>
                <w:color w:val="000000"/>
                <w:sz w:val="28"/>
                <w:szCs w:val="28"/>
              </w:rPr>
              <w:t>4</w:t>
            </w:r>
            <w:r>
              <w:rPr>
                <w:rFonts w:hint="default" w:ascii="Times New Roman" w:hAnsi="Times New Roman" w:eastAsia="楷体_GB2312" w:cs="Times New Roman"/>
                <w:color w:val="000000"/>
                <w:sz w:val="24"/>
                <w:szCs w:val="24"/>
              </w:rPr>
              <w:t xml:space="preserve"> </w:t>
            </w:r>
            <w:r>
              <w:rPr>
                <w:rFonts w:hint="default" w:ascii="Times New Roman" w:hAnsi="Times New Roman" w:eastAsia="黑体" w:cs="Times New Roman"/>
                <w:color w:val="000000"/>
                <w:sz w:val="28"/>
                <w:szCs w:val="28"/>
              </w:rPr>
              <w:t>交通基础设施建设项目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5" w:type="dxa"/>
            <w:noWrap w:val="0"/>
            <w:vAlign w:val="top"/>
          </w:tcPr>
          <w:p>
            <w:pPr>
              <w:spacing w:line="360" w:lineRule="exact"/>
              <w:ind w:firstLine="422" w:firstLineChars="200"/>
              <w:rPr>
                <w:rFonts w:hint="default" w:ascii="Times New Roman" w:hAnsi="Times New Roman" w:cs="Times New Roman"/>
                <w:b/>
                <w:bCs w:val="0"/>
                <w:color w:val="000000"/>
                <w:szCs w:val="21"/>
              </w:rPr>
            </w:pPr>
            <w:r>
              <w:rPr>
                <w:rFonts w:hint="default" w:ascii="Times New Roman" w:hAnsi="Times New Roman" w:eastAsia="楷体_GB2312" w:cs="Times New Roman"/>
                <w:b/>
                <w:bCs w:val="0"/>
                <w:color w:val="000000"/>
                <w:szCs w:val="21"/>
              </w:rPr>
              <w:t>1.机场。</w:t>
            </w:r>
            <w:r>
              <w:rPr>
                <w:rFonts w:hint="default" w:ascii="Times New Roman" w:hAnsi="Times New Roman" w:cs="Times New Roman"/>
                <w:b/>
                <w:bCs w:val="0"/>
                <w:color w:val="000000"/>
                <w:szCs w:val="21"/>
              </w:rPr>
              <w:t>规划建设乳山市通用机场，同时依托机场规划航空小镇。</w:t>
            </w:r>
          </w:p>
          <w:p>
            <w:pPr>
              <w:spacing w:line="360" w:lineRule="exact"/>
              <w:ind w:firstLine="422" w:firstLineChars="200"/>
              <w:rPr>
                <w:rFonts w:hint="default" w:ascii="Times New Roman" w:hAnsi="Times New Roman" w:cs="Times New Roman"/>
                <w:b/>
                <w:bCs w:val="0"/>
                <w:color w:val="000000"/>
                <w:szCs w:val="21"/>
              </w:rPr>
            </w:pPr>
            <w:r>
              <w:rPr>
                <w:rFonts w:hint="default" w:ascii="Times New Roman" w:hAnsi="Times New Roman" w:eastAsia="楷体_GB2312" w:cs="Times New Roman"/>
                <w:b/>
                <w:bCs w:val="0"/>
                <w:color w:val="000000"/>
                <w:szCs w:val="21"/>
              </w:rPr>
              <w:t>2.公路。</w:t>
            </w:r>
            <w:r>
              <w:rPr>
                <w:rFonts w:hint="default" w:ascii="Times New Roman" w:hAnsi="Times New Roman" w:cs="Times New Roman"/>
                <w:b/>
                <w:bCs w:val="0"/>
                <w:color w:val="000000"/>
                <w:szCs w:val="21"/>
              </w:rPr>
              <w:t>丹东线威海市乳山口大桥、莱乳线乳山绕城段改建、牟徐线乳山南黄至东南耩段改建、威青乳山绕城段改建、烟海线乳山绕城段改建等重大公路建设工程。</w:t>
            </w:r>
          </w:p>
          <w:p>
            <w:pPr>
              <w:spacing w:line="360" w:lineRule="exact"/>
              <w:ind w:firstLine="422" w:firstLineChars="200"/>
              <w:rPr>
                <w:rFonts w:hint="default" w:ascii="Times New Roman" w:hAnsi="Times New Roman" w:cs="Times New Roman"/>
                <w:bCs/>
                <w:color w:val="000000"/>
                <w:sz w:val="24"/>
                <w:szCs w:val="24"/>
              </w:rPr>
            </w:pPr>
            <w:r>
              <w:rPr>
                <w:rFonts w:hint="default" w:ascii="Times New Roman" w:hAnsi="Times New Roman" w:eastAsia="楷体_GB2312" w:cs="Times New Roman"/>
                <w:b/>
                <w:bCs w:val="0"/>
                <w:color w:val="000000"/>
                <w:szCs w:val="21"/>
              </w:rPr>
              <w:t>3.铁路。</w:t>
            </w:r>
            <w:r>
              <w:rPr>
                <w:rFonts w:hint="default" w:ascii="Times New Roman" w:hAnsi="Times New Roman" w:cs="Times New Roman"/>
                <w:b/>
                <w:bCs w:val="0"/>
                <w:color w:val="000000"/>
                <w:szCs w:val="21"/>
              </w:rPr>
              <w:t>实施莱荣高铁乳山段</w:t>
            </w:r>
            <w:r>
              <w:rPr>
                <w:rFonts w:hint="default" w:ascii="Times New Roman" w:hAnsi="Times New Roman" w:cs="Times New Roman"/>
                <w:b/>
                <w:bCs w:val="0"/>
                <w:color w:val="000000"/>
                <w:szCs w:val="21"/>
                <w:lang w:eastAsia="zh-CN"/>
              </w:rPr>
              <w:t>，有序推进</w:t>
            </w:r>
            <w:r>
              <w:rPr>
                <w:rFonts w:hint="default" w:ascii="Times New Roman" w:hAnsi="Times New Roman" w:cs="Times New Roman"/>
                <w:b/>
                <w:bCs w:val="0"/>
                <w:color w:val="000000"/>
                <w:szCs w:val="21"/>
              </w:rPr>
              <w:t>疏港铁路、下初至水道恒邦化工园区铁路专用线、桃威铁路电气化改造</w:t>
            </w:r>
            <w:r>
              <w:rPr>
                <w:rFonts w:hint="default" w:ascii="Times New Roman" w:hAnsi="Times New Roman" w:cs="Times New Roman"/>
                <w:b/>
                <w:bCs w:val="0"/>
                <w:color w:val="000000"/>
                <w:szCs w:val="21"/>
                <w:lang w:eastAsia="zh-CN"/>
              </w:rPr>
              <w:t>等项目前期工作</w:t>
            </w:r>
            <w:r>
              <w:rPr>
                <w:rFonts w:hint="default" w:ascii="Times New Roman" w:hAnsi="Times New Roman" w:cs="Times New Roman"/>
                <w:b/>
                <w:bCs w:val="0"/>
                <w:color w:val="000000"/>
                <w:szCs w:val="21"/>
              </w:rPr>
              <w:t>。</w:t>
            </w:r>
          </w:p>
        </w:tc>
      </w:tr>
    </w:tbl>
    <w:p>
      <w:pPr>
        <w:spacing w:line="560" w:lineRule="exact"/>
        <w:ind w:right="105" w:rightChars="50"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楷体_GB2312" w:cs="Times New Roman"/>
          <w:color w:val="000000"/>
          <w:kern w:val="0"/>
          <w:sz w:val="32"/>
          <w:szCs w:val="32"/>
        </w:rPr>
        <w:t>加强水利基础设施建设。</w:t>
      </w:r>
      <w:r>
        <w:rPr>
          <w:rFonts w:hint="default" w:ascii="Times New Roman" w:hAnsi="Times New Roman" w:eastAsia="仿宋_GB2312" w:cs="Times New Roman"/>
          <w:color w:val="000000"/>
          <w:sz w:val="32"/>
          <w:szCs w:val="32"/>
        </w:rPr>
        <w:t>深入贯彻“以水定城、以水定地、以水定人、以水定产”要求，</w:t>
      </w:r>
      <w:r>
        <w:rPr>
          <w:rFonts w:hint="default" w:ascii="Times New Roman" w:hAnsi="Times New Roman" w:eastAsia="仿宋_GB2312" w:cs="Times New Roman"/>
          <w:color w:val="000000"/>
          <w:kern w:val="0"/>
          <w:sz w:val="32"/>
          <w:szCs w:val="32"/>
        </w:rPr>
        <w:t>坚持开源与节流并重、兴利与除害统筹、供水保障与生态保护并行、政府主导与市场运作结合，着力构建以供水安全、防洪安全、生态安全为核心，与经济社会发展相匹配的水安全保障体系。以重大水利工程和民生水利建设为重点，着力提升雨洪资源利用、供水保障、水旱灾害防治、水生态环境保护和水利水电开发及水资源综合保障五个能力，加快推进供水保障工程、防洪排涝工程、水生态保护与修复工程、水系连通工程等项目建设，提升水安全保障能力。加强水资源高效节约利用，全面推进用水定额标准体系，加快建设节水型城市。适时启动直饮水入户试点，推进城市供水提质提标，实施农村饮用水巩固提升工程，促进城市供水管网向农村延伸，提高城乡供水一体化水平。</w:t>
      </w:r>
    </w:p>
    <w:tbl>
      <w:tblPr>
        <w:tblStyle w:val="20"/>
        <w:tblpPr w:leftFromText="180" w:rightFromText="180" w:vertAnchor="text" w:horzAnchor="page" w:tblpX="1515" w:tblpY="220"/>
        <w:tblOverlap w:val="never"/>
        <w:tblW w:w="89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925" w:type="dxa"/>
            <w:noWrap w:val="0"/>
            <w:vAlign w:val="top"/>
          </w:tcPr>
          <w:p>
            <w:pPr>
              <w:spacing w:line="560" w:lineRule="exact"/>
              <w:jc w:val="center"/>
              <w:rPr>
                <w:rFonts w:hint="default" w:ascii="Times New Roman" w:hAnsi="Times New Roman" w:eastAsia="黑体" w:cs="Times New Roman"/>
                <w:color w:val="000000"/>
                <w:sz w:val="30"/>
                <w:szCs w:val="30"/>
              </w:rPr>
            </w:pPr>
            <w:r>
              <w:rPr>
                <w:rFonts w:hint="default" w:ascii="Times New Roman" w:hAnsi="Times New Roman" w:eastAsia="黑体" w:cs="Times New Roman"/>
                <w:color w:val="000000"/>
                <w:sz w:val="28"/>
                <w:szCs w:val="28"/>
              </w:rPr>
              <w:t>专栏5 水利基础设施建设项目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5" w:type="dxa"/>
            <w:noWrap w:val="0"/>
            <w:vAlign w:val="top"/>
          </w:tcPr>
          <w:p>
            <w:pPr>
              <w:spacing w:line="360" w:lineRule="exact"/>
              <w:ind w:firstLine="422" w:firstLineChars="200"/>
              <w:rPr>
                <w:rFonts w:hint="default" w:ascii="Times New Roman" w:hAnsi="Times New Roman" w:eastAsia="楷体_GB2312" w:cs="Times New Roman"/>
                <w:b/>
                <w:bCs/>
                <w:color w:val="000000"/>
              </w:rPr>
            </w:pPr>
            <w:r>
              <w:rPr>
                <w:rFonts w:hint="default" w:ascii="Times New Roman" w:hAnsi="Times New Roman" w:eastAsia="楷体_GB2312" w:cs="Times New Roman"/>
                <w:b/>
                <w:bCs/>
                <w:color w:val="000000"/>
              </w:rPr>
              <w:t>1.雨洪资源利用能力提升工程</w:t>
            </w:r>
          </w:p>
          <w:p>
            <w:pPr>
              <w:spacing w:line="360" w:lineRule="exact"/>
              <w:ind w:firstLine="422" w:firstLineChars="200"/>
              <w:rPr>
                <w:rFonts w:hint="default" w:ascii="Times New Roman" w:hAnsi="Times New Roman" w:cs="Times New Roman"/>
                <w:b/>
                <w:bCs/>
                <w:color w:val="000000"/>
              </w:rPr>
            </w:pPr>
            <w:r>
              <w:rPr>
                <w:rFonts w:hint="default" w:ascii="Times New Roman" w:hAnsi="Times New Roman" w:cs="Times New Roman"/>
                <w:b/>
                <w:bCs/>
                <w:color w:val="000000"/>
              </w:rPr>
              <w:t>（1）新建拦蓄工程。包括东尚山水库、黄垒河湾头橡胶坝、段家橡胶坝及河南村拦河坝等项目，新增蓄水量245万m</w:t>
            </w:r>
            <w:r>
              <w:rPr>
                <w:rFonts w:hint="default" w:ascii="Times New Roman" w:hAnsi="Times New Roman" w:cs="Times New Roman"/>
                <w:b/>
                <w:bCs/>
                <w:color w:val="000000"/>
                <w:vertAlign w:val="superscript"/>
              </w:rPr>
              <w:t>3</w:t>
            </w:r>
            <w:r>
              <w:rPr>
                <w:rFonts w:hint="default" w:ascii="Times New Roman" w:hAnsi="Times New Roman" w:cs="Times New Roman"/>
                <w:b/>
                <w:bCs/>
                <w:color w:val="000000"/>
              </w:rPr>
              <w:t>。</w:t>
            </w:r>
          </w:p>
          <w:p>
            <w:pPr>
              <w:spacing w:line="360" w:lineRule="exact"/>
              <w:ind w:firstLine="422" w:firstLineChars="200"/>
              <w:rPr>
                <w:rFonts w:hint="default" w:ascii="Times New Roman" w:hAnsi="Times New Roman" w:cs="Times New Roman"/>
                <w:b/>
                <w:bCs/>
                <w:color w:val="000000"/>
              </w:rPr>
            </w:pPr>
            <w:r>
              <w:rPr>
                <w:rFonts w:hint="default" w:ascii="Times New Roman" w:hAnsi="Times New Roman" w:cs="Times New Roman"/>
                <w:b/>
                <w:bCs/>
                <w:color w:val="000000"/>
              </w:rPr>
              <w:t>（2）台依水库增容工程。新增蓄水量200万m</w:t>
            </w:r>
            <w:r>
              <w:rPr>
                <w:rFonts w:hint="default" w:ascii="Times New Roman" w:hAnsi="Times New Roman" w:cs="Times New Roman"/>
                <w:b/>
                <w:bCs/>
                <w:color w:val="000000"/>
                <w:vertAlign w:val="superscript"/>
              </w:rPr>
              <w:t>3</w:t>
            </w:r>
            <w:r>
              <w:rPr>
                <w:rFonts w:hint="default" w:ascii="Times New Roman" w:hAnsi="Times New Roman" w:cs="Times New Roman"/>
                <w:b/>
                <w:bCs/>
                <w:color w:val="000000"/>
              </w:rPr>
              <w:t>。</w:t>
            </w:r>
          </w:p>
          <w:p>
            <w:pPr>
              <w:spacing w:line="360" w:lineRule="exact"/>
              <w:ind w:firstLine="422" w:firstLineChars="200"/>
              <w:rPr>
                <w:rFonts w:hint="default" w:ascii="Times New Roman" w:hAnsi="Times New Roman" w:eastAsia="楷体_GB2312" w:cs="Times New Roman"/>
                <w:b/>
                <w:bCs/>
                <w:color w:val="000000"/>
              </w:rPr>
            </w:pPr>
            <w:r>
              <w:rPr>
                <w:rFonts w:hint="default" w:ascii="Times New Roman" w:hAnsi="Times New Roman" w:eastAsia="楷体_GB2312" w:cs="Times New Roman"/>
                <w:b/>
                <w:bCs/>
                <w:color w:val="000000"/>
              </w:rPr>
              <w:t>2.供水保障能力提升工程</w:t>
            </w:r>
          </w:p>
          <w:p>
            <w:pPr>
              <w:spacing w:line="360" w:lineRule="exact"/>
              <w:ind w:firstLine="422" w:firstLineChars="200"/>
              <w:rPr>
                <w:rFonts w:hint="default" w:ascii="Times New Roman" w:hAnsi="Times New Roman" w:cs="Times New Roman"/>
                <w:b/>
                <w:bCs/>
                <w:color w:val="000000"/>
              </w:rPr>
            </w:pPr>
            <w:r>
              <w:rPr>
                <w:rFonts w:hint="default" w:ascii="Times New Roman" w:hAnsi="Times New Roman" w:cs="Times New Roman"/>
                <w:b/>
                <w:bCs/>
                <w:color w:val="000000"/>
              </w:rPr>
              <w:t>（1）南部沿海镇调水工程。分为西线乳山河地下水库调水工程和东线黄垒河地下水库调水工程，共敷设管道55公里，设计年调水量520万m</w:t>
            </w:r>
            <w:r>
              <w:rPr>
                <w:rFonts w:hint="default" w:ascii="Times New Roman" w:hAnsi="Times New Roman" w:cs="Times New Roman"/>
                <w:b/>
                <w:bCs/>
                <w:color w:val="000000"/>
                <w:vertAlign w:val="superscript"/>
              </w:rPr>
              <w:t>3</w:t>
            </w:r>
            <w:r>
              <w:rPr>
                <w:rFonts w:hint="default" w:ascii="Times New Roman" w:hAnsi="Times New Roman" w:cs="Times New Roman"/>
                <w:b/>
                <w:bCs/>
                <w:color w:val="000000"/>
              </w:rPr>
              <w:t>。</w:t>
            </w:r>
          </w:p>
          <w:p>
            <w:pPr>
              <w:spacing w:line="360" w:lineRule="exact"/>
              <w:ind w:firstLine="422" w:firstLineChars="200"/>
              <w:rPr>
                <w:rFonts w:hint="default" w:ascii="Times New Roman" w:hAnsi="Times New Roman" w:cs="Times New Roman"/>
                <w:b/>
                <w:bCs/>
                <w:color w:val="000000"/>
              </w:rPr>
            </w:pPr>
            <w:r>
              <w:rPr>
                <w:rFonts w:hint="default" w:ascii="Times New Roman" w:hAnsi="Times New Roman" w:cs="Times New Roman"/>
                <w:b/>
                <w:bCs/>
                <w:color w:val="000000"/>
              </w:rPr>
              <w:t>（2）南水北调东线二期配套工程。年调水指标量1000万m</w:t>
            </w:r>
            <w:r>
              <w:rPr>
                <w:rFonts w:hint="default" w:ascii="Times New Roman" w:hAnsi="Times New Roman" w:cs="Times New Roman"/>
                <w:b/>
                <w:bCs/>
                <w:color w:val="000000"/>
                <w:vertAlign w:val="superscript"/>
              </w:rPr>
              <w:t>3</w:t>
            </w:r>
            <w:r>
              <w:rPr>
                <w:rFonts w:hint="default" w:ascii="Times New Roman" w:hAnsi="Times New Roman" w:cs="Times New Roman"/>
                <w:b/>
                <w:bCs/>
                <w:color w:val="000000"/>
              </w:rPr>
              <w:t>，根据省级规划统一实施。</w:t>
            </w:r>
          </w:p>
          <w:p>
            <w:pPr>
              <w:spacing w:line="360" w:lineRule="exact"/>
              <w:ind w:firstLine="422" w:firstLineChars="200"/>
              <w:rPr>
                <w:rFonts w:hint="default" w:ascii="Times New Roman" w:hAnsi="Times New Roman" w:cs="Times New Roman"/>
                <w:b/>
                <w:bCs/>
                <w:color w:val="000000"/>
              </w:rPr>
            </w:pPr>
            <w:r>
              <w:rPr>
                <w:rFonts w:hint="default" w:ascii="Times New Roman" w:hAnsi="Times New Roman" w:cs="Times New Roman"/>
                <w:b/>
                <w:bCs/>
                <w:color w:val="000000"/>
              </w:rPr>
              <w:t>（3）海水淡化工程。规划建设海水淡化项目，淡化能力2万吨/日。</w:t>
            </w:r>
          </w:p>
          <w:p>
            <w:pPr>
              <w:spacing w:line="360" w:lineRule="exact"/>
              <w:ind w:firstLine="422" w:firstLineChars="200"/>
              <w:rPr>
                <w:rFonts w:hint="default" w:ascii="Times New Roman" w:hAnsi="Times New Roman" w:cs="Times New Roman"/>
                <w:b/>
                <w:bCs/>
                <w:color w:val="000000"/>
              </w:rPr>
            </w:pPr>
            <w:r>
              <w:rPr>
                <w:rFonts w:hint="default" w:ascii="Times New Roman" w:hAnsi="Times New Roman" w:cs="Times New Roman"/>
                <w:b/>
                <w:bCs/>
                <w:color w:val="000000"/>
              </w:rPr>
              <w:t>（4）农村自来水标准化改造工程。对76个村进行供水管网改造、水源改造，通过对接城市大管网、新建水厂和水厂管网延伸，实现农村规模化供水率达到90%。</w:t>
            </w:r>
          </w:p>
          <w:p>
            <w:pPr>
              <w:spacing w:line="360" w:lineRule="exact"/>
              <w:ind w:firstLine="422" w:firstLineChars="200"/>
              <w:rPr>
                <w:rFonts w:hint="default" w:ascii="Times New Roman" w:hAnsi="Times New Roman" w:eastAsia="楷体_GB2312" w:cs="Times New Roman"/>
                <w:b/>
                <w:bCs/>
                <w:color w:val="000000"/>
              </w:rPr>
            </w:pPr>
            <w:r>
              <w:rPr>
                <w:rFonts w:hint="default" w:ascii="Times New Roman" w:hAnsi="Times New Roman" w:eastAsia="楷体_GB2312" w:cs="Times New Roman"/>
                <w:b/>
                <w:bCs/>
                <w:color w:val="000000"/>
              </w:rPr>
              <w:t>3.水旱灾害防治能力提升工程</w:t>
            </w:r>
          </w:p>
          <w:p>
            <w:pPr>
              <w:spacing w:line="360" w:lineRule="exact"/>
              <w:ind w:firstLine="422" w:firstLineChars="200"/>
              <w:rPr>
                <w:rFonts w:hint="default" w:ascii="Times New Roman" w:hAnsi="Times New Roman" w:cs="Times New Roman"/>
                <w:b/>
                <w:bCs/>
                <w:color w:val="000000"/>
              </w:rPr>
            </w:pPr>
            <w:r>
              <w:rPr>
                <w:rFonts w:hint="default" w:ascii="Times New Roman" w:hAnsi="Times New Roman" w:cs="Times New Roman"/>
                <w:b/>
                <w:bCs/>
                <w:color w:val="000000"/>
              </w:rPr>
              <w:t>（1）河道治理工程。结合河道采砂规划，对骨干河道进行清淤疏浚、险工段护砌、生态护坡治理，治理总长度141公里。</w:t>
            </w:r>
          </w:p>
          <w:p>
            <w:pPr>
              <w:spacing w:line="360" w:lineRule="exact"/>
              <w:ind w:firstLine="422" w:firstLineChars="200"/>
              <w:rPr>
                <w:rFonts w:hint="default" w:ascii="Times New Roman" w:hAnsi="Times New Roman" w:cs="Times New Roman"/>
                <w:b/>
                <w:bCs/>
                <w:color w:val="000000"/>
              </w:rPr>
            </w:pPr>
            <w:r>
              <w:rPr>
                <w:rFonts w:hint="default" w:ascii="Times New Roman" w:hAnsi="Times New Roman" w:cs="Times New Roman"/>
                <w:b/>
                <w:bCs/>
                <w:color w:val="000000"/>
              </w:rPr>
              <w:t>（2）小型水库塘坝安全运行工程。开展小型水库标准化管理，提高小型水库安全运行管理水平；全面完成773座塘坝除险加固目标。</w:t>
            </w:r>
          </w:p>
          <w:p>
            <w:pPr>
              <w:spacing w:line="360" w:lineRule="exact"/>
              <w:ind w:firstLine="422" w:firstLineChars="200"/>
              <w:rPr>
                <w:rFonts w:hint="default" w:ascii="Times New Roman" w:hAnsi="Times New Roman" w:cs="Times New Roman"/>
                <w:b/>
                <w:bCs/>
                <w:color w:val="000000"/>
              </w:rPr>
            </w:pPr>
            <w:r>
              <w:rPr>
                <w:rFonts w:hint="default" w:ascii="Times New Roman" w:hAnsi="Times New Roman" w:cs="Times New Roman"/>
                <w:b/>
                <w:bCs/>
                <w:color w:val="000000"/>
              </w:rPr>
              <w:t>（3）山洪灾害防御工程。实施山洪灾害预警项目，新建监测站91处；对老庄、大龙口、万户三条山洪沟进行综合治理。</w:t>
            </w:r>
          </w:p>
          <w:p>
            <w:pPr>
              <w:spacing w:line="360" w:lineRule="exact"/>
              <w:ind w:firstLine="422" w:firstLineChars="200"/>
              <w:rPr>
                <w:rFonts w:hint="default" w:ascii="Times New Roman" w:hAnsi="Times New Roman" w:cs="Times New Roman"/>
                <w:b/>
                <w:bCs/>
                <w:color w:val="000000"/>
              </w:rPr>
            </w:pPr>
            <w:r>
              <w:rPr>
                <w:rFonts w:hint="default" w:ascii="Times New Roman" w:hAnsi="Times New Roman" w:cs="Times New Roman"/>
                <w:b/>
                <w:bCs/>
                <w:color w:val="000000"/>
              </w:rPr>
              <w:t>（4）沿海防潮堤工程。在大乳山南侧—白沙口东岸、滨海新区管委—南黄浪暖口2个封闭圈内新建防潮堤5公里。</w:t>
            </w:r>
          </w:p>
          <w:p>
            <w:pPr>
              <w:spacing w:line="360" w:lineRule="exact"/>
              <w:ind w:firstLine="422" w:firstLineChars="200"/>
              <w:rPr>
                <w:rFonts w:hint="default" w:ascii="Times New Roman" w:hAnsi="Times New Roman" w:eastAsia="楷体_GB2312" w:cs="Times New Roman"/>
                <w:b/>
                <w:bCs/>
                <w:color w:val="000000"/>
              </w:rPr>
            </w:pPr>
            <w:r>
              <w:rPr>
                <w:rFonts w:hint="default" w:ascii="Times New Roman" w:hAnsi="Times New Roman" w:eastAsia="楷体_GB2312" w:cs="Times New Roman"/>
                <w:b/>
                <w:bCs/>
                <w:color w:val="000000"/>
              </w:rPr>
              <w:t>4.水生态环境保护能力提升工程</w:t>
            </w:r>
          </w:p>
          <w:p>
            <w:pPr>
              <w:spacing w:line="360" w:lineRule="exact"/>
              <w:ind w:firstLine="422" w:firstLineChars="200"/>
              <w:jc w:val="left"/>
              <w:rPr>
                <w:rFonts w:hint="default" w:ascii="Times New Roman" w:hAnsi="Times New Roman" w:cs="Times New Roman"/>
                <w:b/>
                <w:bCs/>
                <w:color w:val="000000"/>
              </w:rPr>
            </w:pPr>
            <w:r>
              <w:rPr>
                <w:rFonts w:hint="default" w:ascii="Times New Roman" w:hAnsi="Times New Roman" w:cs="Times New Roman"/>
                <w:b/>
                <w:bCs/>
                <w:color w:val="000000"/>
              </w:rPr>
              <w:t>（1）小流域综合治理工程。实施19条小流域综合治理，预防水土流失面积260平方公里。</w:t>
            </w:r>
          </w:p>
          <w:p>
            <w:pPr>
              <w:spacing w:line="360" w:lineRule="exact"/>
              <w:ind w:firstLine="422" w:firstLineChars="200"/>
              <w:jc w:val="left"/>
              <w:rPr>
                <w:rFonts w:hint="default" w:ascii="Times New Roman" w:hAnsi="Times New Roman" w:cs="Times New Roman"/>
                <w:b/>
                <w:bCs/>
                <w:color w:val="000000"/>
              </w:rPr>
            </w:pPr>
            <w:r>
              <w:rPr>
                <w:rFonts w:hint="default" w:ascii="Times New Roman" w:hAnsi="Times New Roman" w:cs="Times New Roman"/>
                <w:b/>
                <w:bCs/>
                <w:color w:val="000000"/>
              </w:rPr>
              <w:t>（2）城市内河综合治理工程（井子段），治理长度6.3公里。</w:t>
            </w:r>
          </w:p>
          <w:p>
            <w:pPr>
              <w:spacing w:line="360" w:lineRule="exact"/>
              <w:ind w:firstLine="422" w:firstLineChars="200"/>
              <w:jc w:val="left"/>
              <w:rPr>
                <w:rFonts w:hint="default" w:ascii="Times New Roman" w:hAnsi="Times New Roman" w:cs="Times New Roman"/>
                <w:b/>
                <w:bCs/>
                <w:color w:val="000000"/>
              </w:rPr>
            </w:pPr>
            <w:r>
              <w:rPr>
                <w:rFonts w:hint="default" w:ascii="Times New Roman" w:hAnsi="Times New Roman" w:cs="Times New Roman"/>
                <w:b/>
                <w:bCs/>
                <w:color w:val="000000"/>
              </w:rPr>
              <w:t>（3）穿村过镇河道环境提升工程。实施45条穿村河道治理，治理长度240公里。</w:t>
            </w:r>
          </w:p>
          <w:p>
            <w:pPr>
              <w:spacing w:line="360" w:lineRule="exact"/>
              <w:ind w:firstLine="422" w:firstLineChars="200"/>
              <w:rPr>
                <w:rFonts w:hint="default" w:ascii="Times New Roman" w:hAnsi="Times New Roman" w:cs="Times New Roman"/>
                <w:b/>
                <w:bCs/>
                <w:color w:val="000000"/>
              </w:rPr>
            </w:pPr>
            <w:r>
              <w:rPr>
                <w:rFonts w:hint="default" w:ascii="Times New Roman" w:hAnsi="Times New Roman" w:cs="Times New Roman"/>
                <w:b/>
                <w:bCs/>
                <w:color w:val="000000"/>
              </w:rPr>
              <w:t>（4）镇村污水治理工程。对255个村庄进行污水改造，到2022年完成全市50%村庄的污水治理任务，到2025年全部完成村庄的污水治理任务。</w:t>
            </w:r>
          </w:p>
          <w:p>
            <w:pPr>
              <w:spacing w:line="360" w:lineRule="exact"/>
              <w:ind w:firstLine="422" w:firstLineChars="200"/>
              <w:rPr>
                <w:rFonts w:hint="default" w:ascii="Times New Roman" w:hAnsi="Times New Roman" w:cs="Times New Roman"/>
                <w:b/>
                <w:bCs/>
                <w:color w:val="000000"/>
              </w:rPr>
            </w:pPr>
            <w:r>
              <w:rPr>
                <w:rFonts w:hint="default" w:ascii="Times New Roman" w:hAnsi="Times New Roman" w:cs="Times New Roman"/>
                <w:b/>
                <w:bCs/>
                <w:color w:val="000000"/>
              </w:rPr>
              <w:t>（5）龙角山水库水源地保护综合治理建设。推进水源地围网封闭建设，实施水库生态修复工程，完善库区监控设施。</w:t>
            </w:r>
          </w:p>
          <w:p>
            <w:pPr>
              <w:spacing w:line="360" w:lineRule="exact"/>
              <w:ind w:firstLine="422" w:firstLineChars="200"/>
              <w:jc w:val="left"/>
              <w:rPr>
                <w:rFonts w:hint="default" w:ascii="Times New Roman" w:hAnsi="Times New Roman" w:cs="Times New Roman"/>
                <w:color w:val="000000"/>
              </w:rPr>
            </w:pPr>
            <w:r>
              <w:rPr>
                <w:rFonts w:hint="default" w:ascii="Times New Roman" w:hAnsi="Times New Roman" w:eastAsia="楷体_GB2312" w:cs="Times New Roman"/>
                <w:b/>
                <w:bCs/>
                <w:color w:val="000000"/>
              </w:rPr>
              <w:t>5.水利水电开发及水资源综合保障能力提升工程。</w:t>
            </w:r>
            <w:r>
              <w:rPr>
                <w:rFonts w:hint="default" w:ascii="Times New Roman" w:hAnsi="Times New Roman" w:cs="Times New Roman"/>
                <w:b/>
                <w:bCs/>
                <w:color w:val="000000"/>
              </w:rPr>
              <w:t>实施地下水库二期工程。</w:t>
            </w:r>
          </w:p>
        </w:tc>
      </w:tr>
    </w:tbl>
    <w:p>
      <w:pPr>
        <w:rPr>
          <w:rFonts w:hint="default" w:ascii="Times New Roman" w:hAnsi="Times New Roman" w:cs="Times New Roman"/>
        </w:rPr>
      </w:pP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kern w:val="0"/>
          <w:sz w:val="32"/>
          <w:szCs w:val="32"/>
        </w:rPr>
        <w:t>推进能源基础设施建设。</w:t>
      </w:r>
      <w:r>
        <w:rPr>
          <w:rFonts w:hint="default" w:ascii="Times New Roman" w:hAnsi="Times New Roman" w:eastAsia="仿宋_GB2312" w:cs="Times New Roman"/>
          <w:color w:val="000000"/>
          <w:kern w:val="0"/>
          <w:sz w:val="32"/>
          <w:szCs w:val="32"/>
        </w:rPr>
        <w:t>坚持绿色清洁、低碳循环、智能发展，加强能源管理、项目建设、节能降耗、碳排放控制，优化重大能源基础设施布局，提高供电、供气、供热（汽）能力，支撑城乡经济和社会发展。</w:t>
      </w:r>
      <w:r>
        <w:rPr>
          <w:rFonts w:hint="default" w:ascii="Times New Roman" w:hAnsi="Times New Roman" w:cs="Times New Roman"/>
          <w:color w:val="000000"/>
          <w:kern w:val="0"/>
          <w:sz w:val="32"/>
          <w:szCs w:val="32"/>
        </w:rPr>
        <w:t>推进电力基础设施建设。</w:t>
      </w:r>
      <w:r>
        <w:rPr>
          <w:rFonts w:hint="default" w:ascii="Times New Roman" w:hAnsi="Times New Roman" w:eastAsia="仿宋_GB2312" w:cs="Times New Roman"/>
          <w:color w:val="000000"/>
          <w:kern w:val="0"/>
          <w:sz w:val="32"/>
          <w:szCs w:val="32"/>
        </w:rPr>
        <w:t>以服务乳山经济社会发展用电为出发点，实施重大电网改造工程、城市老旧小区电网微改造以及农村配电网改造升级行动，打造骨干网架互联互供、智慧配网全停全转的“精致电网”。适时启动抽水蓄能电站工程，发挥好抽水蓄能电站电网调峰、安全运行的重要保障作用。对域内半岛南海上风电资源进行统一规划，预留风电装备产业基地建设空间，按照省、市统一部署适时启动开发。对红石顶核电站场址进行科学保护，按照国家、省统一部署择机启动。</w:t>
      </w:r>
      <w:r>
        <w:rPr>
          <w:rFonts w:hint="default" w:ascii="Times New Roman" w:hAnsi="Times New Roman" w:cs="Times New Roman"/>
          <w:color w:val="000000"/>
          <w:kern w:val="0"/>
          <w:sz w:val="32"/>
          <w:szCs w:val="32"/>
        </w:rPr>
        <w:t>推进热力基础设施建设</w:t>
      </w:r>
      <w:r>
        <w:rPr>
          <w:rFonts w:hint="default" w:ascii="Times New Roman" w:hAnsi="Times New Roman" w:eastAsia="仿宋_GB2312" w:cs="Times New Roman"/>
          <w:color w:val="000000"/>
          <w:kern w:val="0"/>
          <w:sz w:val="32"/>
          <w:szCs w:val="32"/>
        </w:rPr>
        <w:t>。根据居民供暖、工业生产需求，对主城区现有热源企业进行改扩建，提升供热供汽能力，加快推进城区供暖主管网和区间管网建设改造提升，形成供暖管网互联互通，确保供暖质量持续提升。加快滨海新区热源建设，积极推进分布式清洁能源供热项目，改造提升银滩供热设施。</w:t>
      </w:r>
      <w:r>
        <w:rPr>
          <w:rFonts w:hint="default" w:ascii="Times New Roman" w:hAnsi="Times New Roman" w:eastAsia="仿宋_GB2312" w:cs="Times New Roman"/>
          <w:color w:val="000000"/>
          <w:sz w:val="32"/>
          <w:szCs w:val="32"/>
        </w:rPr>
        <w:t>组织开展核电余热供暖专题规划论证，</w:t>
      </w:r>
      <w:r>
        <w:rPr>
          <w:rFonts w:hint="default" w:ascii="Times New Roman" w:hAnsi="Times New Roman" w:eastAsia="仿宋_GB2312" w:cs="Times New Roman"/>
          <w:color w:val="000000"/>
          <w:kern w:val="0"/>
          <w:sz w:val="32"/>
          <w:szCs w:val="32"/>
        </w:rPr>
        <w:t>积极推进海阳核电余热利用。</w:t>
      </w:r>
      <w:r>
        <w:rPr>
          <w:rFonts w:hint="default" w:ascii="Times New Roman" w:hAnsi="Times New Roman" w:cs="Times New Roman"/>
          <w:color w:val="000000"/>
          <w:kern w:val="0"/>
          <w:sz w:val="32"/>
          <w:szCs w:val="32"/>
        </w:rPr>
        <w:t>推进燃气基础设施建设。</w:t>
      </w:r>
      <w:r>
        <w:rPr>
          <w:rFonts w:hint="default" w:ascii="Times New Roman" w:hAnsi="Times New Roman" w:eastAsia="仿宋_GB2312" w:cs="Times New Roman"/>
          <w:color w:val="000000"/>
          <w:kern w:val="0"/>
          <w:sz w:val="32"/>
          <w:szCs w:val="32"/>
        </w:rPr>
        <w:t>加快城区、滨海新区燃气气源建设，到2025年，城区供气能力达到150万立方米/天，滨海新区供气能力达到120万立方米/天。加强燃气城乡统筹，逐步建设完成乳山寨、诸往、崖子等镇次高压调压站，推进燃气管网铺设，形成管道天然气城乡一体化布局。</w:t>
      </w:r>
      <w:r>
        <w:rPr>
          <w:rFonts w:hint="default" w:ascii="Times New Roman" w:hAnsi="Times New Roman" w:cs="Times New Roman"/>
          <w:color w:val="000000"/>
          <w:kern w:val="0"/>
          <w:sz w:val="32"/>
          <w:szCs w:val="32"/>
        </w:rPr>
        <w:t>推进充电基础设施建设。</w:t>
      </w:r>
      <w:r>
        <w:rPr>
          <w:rFonts w:hint="default" w:ascii="Times New Roman" w:hAnsi="Times New Roman" w:eastAsia="仿宋_GB2312" w:cs="Times New Roman"/>
          <w:color w:val="000000"/>
          <w:sz w:val="32"/>
          <w:szCs w:val="32"/>
        </w:rPr>
        <w:t>按照“统筹规划、分期分批”的原则，拓宽筹融资渠道，吸引多方力量参与，快速推动全市充电基础设施规划建设。推动居民小区充电设施规划建设，对全市现有的老旧小区，符合公共充电站建设条件的，合理进行规划，制定科学可行的充电站建设方案。在具备条件的政府机关、公共机构和企事业单位，规划建设电动汽车专用停车位和充电设施。坚持“谁投资、谁运营”的原则，推进公共服务区域充电基础设施规划建设。</w:t>
      </w:r>
    </w:p>
    <w:tbl>
      <w:tblPr>
        <w:tblStyle w:val="20"/>
        <w:tblpPr w:leftFromText="180" w:rightFromText="180" w:vertAnchor="text" w:tblpX="249" w:tblpY="5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80" w:type="dxa"/>
            <w:noWrap w:val="0"/>
            <w:vAlign w:val="center"/>
          </w:tcPr>
          <w:p>
            <w:pPr>
              <w:jc w:val="center"/>
              <w:rPr>
                <w:rFonts w:hint="default" w:ascii="Times New Roman" w:hAnsi="Times New Roman" w:eastAsia="黑体" w:cs="Times New Roman"/>
                <w:color w:val="000000"/>
                <w:sz w:val="28"/>
                <w:szCs w:val="28"/>
              </w:rPr>
            </w:pPr>
            <w:r>
              <w:rPr>
                <w:rFonts w:hint="default" w:ascii="Times New Roman" w:hAnsi="Times New Roman" w:eastAsia="黑体" w:cs="Times New Roman"/>
                <w:color w:val="000000"/>
                <w:sz w:val="28"/>
                <w:szCs w:val="28"/>
              </w:rPr>
              <w:t>专栏6 能源基础设施建设项目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trPr>
        <w:tc>
          <w:tcPr>
            <w:tcW w:w="8680" w:type="dxa"/>
            <w:noWrap w:val="0"/>
            <w:vAlign w:val="top"/>
          </w:tcPr>
          <w:p>
            <w:pPr>
              <w:spacing w:line="360" w:lineRule="exact"/>
              <w:ind w:firstLine="422" w:firstLineChars="200"/>
              <w:rPr>
                <w:rFonts w:hint="default" w:ascii="Times New Roman" w:hAnsi="Times New Roman" w:cs="Times New Roman"/>
                <w:b/>
                <w:bCs/>
                <w:color w:val="000000"/>
                <w:szCs w:val="21"/>
              </w:rPr>
            </w:pPr>
            <w:r>
              <w:rPr>
                <w:rFonts w:hint="default" w:ascii="Times New Roman" w:hAnsi="Times New Roman" w:cs="Times New Roman"/>
                <w:b/>
                <w:bCs/>
                <w:color w:val="000000"/>
                <w:szCs w:val="21"/>
              </w:rPr>
              <w:t>1.</w:t>
            </w:r>
            <w:r>
              <w:rPr>
                <w:rFonts w:hint="default" w:ascii="Times New Roman" w:hAnsi="Times New Roman" w:eastAsia="楷体_GB2312" w:cs="Times New Roman"/>
                <w:b/>
                <w:bCs/>
                <w:color w:val="000000"/>
                <w:szCs w:val="21"/>
              </w:rPr>
              <w:t>电力。</w:t>
            </w:r>
            <w:r>
              <w:rPr>
                <w:rFonts w:hint="default" w:ascii="Times New Roman" w:hAnsi="Times New Roman" w:cs="Times New Roman"/>
                <w:b/>
                <w:bCs/>
                <w:color w:val="000000"/>
                <w:szCs w:val="21"/>
              </w:rPr>
              <w:t>推进乳山500千伏输变电工程、乳山500千伏变电站220千伏送出工程、莱荣高铁项目牵引站（乳山）供电工程建设，推动装机容量100万千瓦的乳山单塔抽水蓄能项目纳入省和国家相关产业规划，并适时启动建设。</w:t>
            </w:r>
          </w:p>
          <w:p>
            <w:pPr>
              <w:spacing w:line="360" w:lineRule="exact"/>
              <w:ind w:firstLine="422" w:firstLineChars="200"/>
              <w:rPr>
                <w:rFonts w:hint="default" w:ascii="Times New Roman" w:hAnsi="Times New Roman" w:cs="Times New Roman"/>
                <w:b/>
                <w:bCs/>
                <w:color w:val="000000"/>
                <w:szCs w:val="21"/>
              </w:rPr>
            </w:pPr>
            <w:r>
              <w:rPr>
                <w:rFonts w:hint="default" w:ascii="Times New Roman" w:hAnsi="Times New Roman" w:cs="Times New Roman"/>
                <w:b/>
                <w:bCs/>
                <w:color w:val="000000"/>
                <w:szCs w:val="21"/>
              </w:rPr>
              <w:t>2.</w:t>
            </w:r>
            <w:r>
              <w:rPr>
                <w:rFonts w:hint="default" w:ascii="Times New Roman" w:hAnsi="Times New Roman" w:eastAsia="楷体_GB2312" w:cs="Times New Roman"/>
                <w:b/>
                <w:bCs/>
                <w:color w:val="000000"/>
                <w:szCs w:val="21"/>
              </w:rPr>
              <w:t>热力。</w:t>
            </w:r>
            <w:r>
              <w:rPr>
                <w:rFonts w:hint="default" w:ascii="Times New Roman" w:hAnsi="Times New Roman" w:cs="Times New Roman"/>
                <w:b/>
                <w:bCs/>
                <w:color w:val="000000"/>
                <w:szCs w:val="21"/>
              </w:rPr>
              <w:t>实施热力集团热源企业改扩建工程，满足供暖和供</w:t>
            </w:r>
            <w:r>
              <w:rPr>
                <w:rFonts w:hint="default" w:ascii="Times New Roman" w:hAnsi="Times New Roman" w:cs="Times New Roman"/>
                <w:b/>
                <w:bCs/>
                <w:color w:val="000000"/>
                <w:szCs w:val="21"/>
                <w:lang w:eastAsia="zh-CN"/>
              </w:rPr>
              <w:t>汽</w:t>
            </w:r>
            <w:r>
              <w:rPr>
                <w:rFonts w:hint="default" w:ascii="Times New Roman" w:hAnsi="Times New Roman" w:cs="Times New Roman"/>
                <w:b/>
                <w:bCs/>
                <w:color w:val="000000"/>
                <w:szCs w:val="21"/>
              </w:rPr>
              <w:t>需求。</w:t>
            </w:r>
          </w:p>
          <w:p>
            <w:pPr>
              <w:spacing w:line="360" w:lineRule="exact"/>
              <w:ind w:firstLine="422" w:firstLineChars="200"/>
              <w:rPr>
                <w:rFonts w:hint="default" w:ascii="Times New Roman" w:hAnsi="Times New Roman" w:eastAsia="楷体_GB2312" w:cs="Times New Roman"/>
                <w:color w:val="000000"/>
                <w:kern w:val="0"/>
                <w:sz w:val="32"/>
                <w:szCs w:val="32"/>
              </w:rPr>
            </w:pPr>
            <w:r>
              <w:rPr>
                <w:rFonts w:hint="default" w:ascii="Times New Roman" w:hAnsi="Times New Roman" w:cs="Times New Roman"/>
                <w:b/>
                <w:bCs/>
                <w:color w:val="000000"/>
                <w:szCs w:val="21"/>
              </w:rPr>
              <w:t>3.</w:t>
            </w:r>
            <w:r>
              <w:rPr>
                <w:rFonts w:hint="default" w:ascii="Times New Roman" w:hAnsi="Times New Roman" w:eastAsia="楷体_GB2312" w:cs="Times New Roman"/>
                <w:b/>
                <w:bCs/>
                <w:color w:val="000000"/>
                <w:szCs w:val="21"/>
              </w:rPr>
              <w:t>燃气。</w:t>
            </w:r>
            <w:r>
              <w:rPr>
                <w:rFonts w:hint="default" w:ascii="Times New Roman" w:hAnsi="Times New Roman" w:cs="Times New Roman"/>
                <w:b/>
                <w:bCs/>
                <w:color w:val="000000"/>
                <w:szCs w:val="21"/>
              </w:rPr>
              <w:t>新建约80公里燃气管线，建设徐家镇门站、LNG调峰站（2个100m</w:t>
            </w:r>
            <w:r>
              <w:rPr>
                <w:rFonts w:hint="default" w:ascii="Times New Roman" w:hAnsi="Times New Roman" w:cs="Times New Roman"/>
                <w:b/>
                <w:bCs/>
                <w:color w:val="000000"/>
                <w:szCs w:val="21"/>
                <w:vertAlign w:val="superscript"/>
              </w:rPr>
              <w:t>3</w:t>
            </w:r>
            <w:r>
              <w:rPr>
                <w:rFonts w:hint="default" w:ascii="Times New Roman" w:hAnsi="Times New Roman" w:cs="Times New Roman"/>
                <w:b/>
                <w:bCs/>
                <w:color w:val="000000"/>
                <w:szCs w:val="21"/>
              </w:rPr>
              <w:t>）、台湾路无人值守调压计量站，提升燃气供给能力；在乳山门站西侧新建一座LNG气化站，用于乳山市天然气调峰。</w:t>
            </w:r>
          </w:p>
        </w:tc>
      </w:tr>
    </w:tbl>
    <w:p>
      <w:pPr>
        <w:spacing w:line="560" w:lineRule="exact"/>
        <w:ind w:right="105" w:rightChars="50" w:firstLine="640" w:firstLineChars="200"/>
        <w:rPr>
          <w:rFonts w:hint="default" w:ascii="Times New Roman" w:hAnsi="Times New Roman" w:eastAsia="楷体_GB2312" w:cs="Times New Roman"/>
          <w:color w:val="000000"/>
          <w:kern w:val="0"/>
          <w:sz w:val="32"/>
          <w:szCs w:val="32"/>
        </w:rPr>
      </w:pPr>
      <w:r>
        <w:rPr>
          <w:rFonts w:hint="default" w:ascii="Times New Roman" w:hAnsi="Times New Roman" w:eastAsia="楷体_GB2312" w:cs="Times New Roman"/>
          <w:color w:val="000000"/>
          <w:sz w:val="32"/>
          <w:szCs w:val="32"/>
        </w:rPr>
        <w:t>实施新型网络基础设施提升工程</w:t>
      </w:r>
      <w:r>
        <w:rPr>
          <w:rFonts w:hint="default" w:ascii="Times New Roman" w:hAnsi="Times New Roman" w:eastAsia="仿宋_GB2312" w:cs="Times New Roman"/>
          <w:color w:val="000000"/>
          <w:sz w:val="32"/>
          <w:szCs w:val="32"/>
        </w:rPr>
        <w:t>。力争到2025年，基本形成“数字基础设施泛在先进、数字治理协同联动、数字服务便民利民”的数字乳山崭新发展局面。</w:t>
      </w:r>
      <w:r>
        <w:rPr>
          <w:rFonts w:hint="default" w:ascii="Times New Roman" w:hAnsi="Times New Roman" w:cs="Times New Roman"/>
          <w:color w:val="000000"/>
          <w:sz w:val="32"/>
          <w:szCs w:val="32"/>
        </w:rPr>
        <w:t>实施5G网络覆盖工程。</w:t>
      </w:r>
      <w:r>
        <w:rPr>
          <w:rFonts w:hint="default" w:ascii="Times New Roman" w:hAnsi="Times New Roman" w:eastAsia="仿宋_GB2312" w:cs="Times New Roman"/>
          <w:color w:val="000000"/>
          <w:sz w:val="32"/>
          <w:szCs w:val="32"/>
        </w:rPr>
        <w:t>按照省新型智慧城市试点指标要求，加快5G组网部署、5G规模化商用和产业化融合进程，推动城市千兆宽带网络接入和“百兆乡村”建设，推进移动和固定网络的IPv6发展。到2025年，建成5G基站1000个，实现5G全域覆盖，应用软件、云计算、大数据、人工智能、智能装备等关联产业加快发展，形成一批具有自主知识产权的5G产品和解决方案，打造数字化基础设施体系。</w:t>
      </w:r>
      <w:r>
        <w:rPr>
          <w:rFonts w:hint="default" w:ascii="Times New Roman" w:hAnsi="Times New Roman" w:cs="Times New Roman"/>
          <w:color w:val="000000"/>
          <w:sz w:val="32"/>
          <w:szCs w:val="32"/>
        </w:rPr>
        <w:t>实施数字治理工程。</w:t>
      </w:r>
      <w:r>
        <w:rPr>
          <w:rFonts w:hint="default" w:ascii="Times New Roman" w:hAnsi="Times New Roman" w:eastAsia="仿宋_GB2312" w:cs="Times New Roman"/>
          <w:color w:val="000000"/>
          <w:sz w:val="32"/>
          <w:szCs w:val="32"/>
        </w:rPr>
        <w:t>建设乳山市信息平台“一张图”监督信息系统，实现多规合一，为国土空间用途管制和监测评估预警提供信息化支撑，实现国土空间资源有效统筹、城市功能结构合理布局、规划建设管理全程监管，构建现代化国土空间治理体系；推动应急指挥平台建设，打造系统化、扁平化、立体化、智能化、人性化的数字防灾减灾体系、数字应急指挥体系、数字安全生产体系，全面提升自然灾害防治、安全生产事故预防和应急管理能力；完善市政排水管网地理信息系统，使市政管网管线智能化监测管理率达100%。</w:t>
      </w:r>
      <w:r>
        <w:rPr>
          <w:rFonts w:hint="default" w:ascii="Times New Roman" w:hAnsi="Times New Roman" w:cs="Times New Roman"/>
          <w:color w:val="000000"/>
          <w:sz w:val="32"/>
          <w:szCs w:val="32"/>
        </w:rPr>
        <w:t>实施数字惠民工程。</w:t>
      </w:r>
      <w:r>
        <w:rPr>
          <w:rFonts w:hint="default" w:ascii="Times New Roman" w:hAnsi="Times New Roman" w:eastAsia="仿宋_GB2312" w:cs="Times New Roman"/>
          <w:color w:val="000000"/>
          <w:sz w:val="32"/>
          <w:szCs w:val="32"/>
        </w:rPr>
        <w:t>根据互联网产业经济发展情况，适时引进产业数据中心，为产业互联网经济提供平台落地和数据存储服务；建设智慧园区服务中心，提供各类政务智能代办服务；建设医保处方流转平台和电子凭证智慧项目，形成完整的药事服务链条；每年</w:t>
      </w:r>
      <w:r>
        <w:rPr>
          <w:rFonts w:hint="default" w:ascii="Times New Roman" w:hAnsi="Times New Roman" w:eastAsia="仿宋_GB2312" w:cs="Times New Roman"/>
          <w:color w:val="000000"/>
          <w:spacing w:val="6"/>
          <w:sz w:val="32"/>
          <w:szCs w:val="32"/>
        </w:rPr>
        <w:t>建设2个科普E站，助推便民服务走向网络化、信息化、快捷化；推进智慧旅游服务平台、智慧交通、智慧停车和家庭能源自动化采集系统建设，增强群众获得感，提高人民满意度；打造集智慧收集系统、</w:t>
      </w:r>
      <w:r>
        <w:rPr>
          <w:rFonts w:hint="default" w:ascii="Times New Roman" w:hAnsi="Times New Roman" w:eastAsia="仿宋_GB2312" w:cs="Times New Roman"/>
          <w:color w:val="000000"/>
          <w:sz w:val="32"/>
          <w:szCs w:val="32"/>
        </w:rPr>
        <w:t>存储系统、利用系统、支撑保障系统为一体的数字档案馆，为社会各界利用档案提供“一站式”服务。</w:t>
      </w:r>
    </w:p>
    <w:p>
      <w:pPr>
        <w:spacing w:before="156" w:beforeLines="50" w:after="156" w:afterLines="50" w:line="560" w:lineRule="exact"/>
        <w:jc w:val="center"/>
        <w:outlineLvl w:val="1"/>
        <w:rPr>
          <w:rFonts w:hint="default" w:ascii="Times New Roman" w:hAnsi="Times New Roman" w:eastAsia="黑体" w:cs="Times New Roman"/>
          <w:bCs/>
          <w:color w:val="000000"/>
          <w:kern w:val="0"/>
          <w:sz w:val="32"/>
          <w:szCs w:val="32"/>
        </w:rPr>
      </w:pPr>
      <w:bookmarkStart w:id="29" w:name="_Toc62919422"/>
      <w:r>
        <w:rPr>
          <w:rFonts w:hint="default" w:ascii="Times New Roman" w:hAnsi="Times New Roman" w:eastAsia="黑体" w:cs="Times New Roman"/>
          <w:bCs/>
          <w:color w:val="000000"/>
          <w:kern w:val="0"/>
          <w:sz w:val="32"/>
          <w:szCs w:val="32"/>
        </w:rPr>
        <w:t>第四节 加快推进人口市民化进程</w:t>
      </w:r>
      <w:bookmarkEnd w:id="29"/>
    </w:p>
    <w:p>
      <w:pPr>
        <w:spacing w:line="560" w:lineRule="exact"/>
        <w:ind w:firstLine="640" w:firstLineChars="200"/>
        <w:rPr>
          <w:rFonts w:hint="default" w:ascii="Times New Roman" w:hAnsi="Times New Roman" w:eastAsia="楷体_GB2312" w:cs="Times New Roman"/>
          <w:color w:val="000000"/>
          <w:sz w:val="32"/>
          <w:szCs w:val="32"/>
        </w:rPr>
      </w:pPr>
      <w:r>
        <w:rPr>
          <w:rFonts w:hint="default" w:ascii="Times New Roman" w:hAnsi="Times New Roman" w:eastAsia="仿宋_GB2312" w:cs="Times New Roman"/>
          <w:color w:val="000000"/>
          <w:kern w:val="0"/>
          <w:sz w:val="32"/>
          <w:szCs w:val="32"/>
        </w:rPr>
        <w:t>健全城乡一体化体制机制，加快推进外来人口、城中村城郊村居民、就地转移就业人口以及外来居民市民化。</w:t>
      </w:r>
    </w:p>
    <w:p>
      <w:pPr>
        <w:spacing w:line="560" w:lineRule="exact"/>
        <w:ind w:firstLine="640" w:firstLineChars="200"/>
        <w:rPr>
          <w:rFonts w:hint="default" w:ascii="Times New Roman" w:hAnsi="Times New Roman" w:eastAsia="仿宋" w:cs="Times New Roman"/>
          <w:color w:val="000000"/>
          <w:kern w:val="36"/>
          <w:sz w:val="32"/>
          <w:szCs w:val="32"/>
        </w:rPr>
      </w:pPr>
      <w:r>
        <w:rPr>
          <w:rFonts w:hint="default" w:ascii="Times New Roman" w:hAnsi="Times New Roman" w:eastAsia="楷体_GB2312" w:cs="Times New Roman"/>
          <w:color w:val="000000"/>
          <w:sz w:val="32"/>
          <w:szCs w:val="32"/>
        </w:rPr>
        <w:t>加快城中村城郊村居民的市民化。</w:t>
      </w:r>
      <w:r>
        <w:rPr>
          <w:rFonts w:hint="default" w:ascii="Times New Roman" w:hAnsi="Times New Roman" w:eastAsia="仿宋_GB2312" w:cs="Times New Roman"/>
          <w:color w:val="000000"/>
          <w:sz w:val="32"/>
          <w:szCs w:val="32"/>
        </w:rPr>
        <w:t>创新</w:t>
      </w:r>
      <w:r>
        <w:rPr>
          <w:rFonts w:hint="default" w:ascii="Times New Roman" w:hAnsi="Times New Roman" w:eastAsia="仿宋_GB2312" w:cs="Times New Roman"/>
          <w:color w:val="000000"/>
          <w:kern w:val="0"/>
          <w:sz w:val="32"/>
          <w:szCs w:val="32"/>
        </w:rPr>
        <w:t>城郊村</w:t>
      </w:r>
      <w:r>
        <w:rPr>
          <w:rFonts w:hint="default" w:ascii="Times New Roman" w:hAnsi="Times New Roman" w:eastAsia="仿宋_GB2312" w:cs="Times New Roman"/>
          <w:color w:val="000000"/>
          <w:sz w:val="32"/>
          <w:szCs w:val="32"/>
        </w:rPr>
        <w:t>开发激励机制，吸引工商资本参与</w:t>
      </w:r>
      <w:r>
        <w:rPr>
          <w:rFonts w:hint="default" w:ascii="Times New Roman" w:hAnsi="Times New Roman" w:eastAsia="仿宋_GB2312" w:cs="Times New Roman"/>
          <w:color w:val="000000"/>
          <w:kern w:val="0"/>
          <w:sz w:val="32"/>
          <w:szCs w:val="32"/>
        </w:rPr>
        <w:t>城郊村</w:t>
      </w:r>
      <w:r>
        <w:rPr>
          <w:rFonts w:hint="default" w:ascii="Times New Roman" w:hAnsi="Times New Roman" w:eastAsia="仿宋_GB2312" w:cs="Times New Roman"/>
          <w:color w:val="000000"/>
          <w:sz w:val="32"/>
          <w:szCs w:val="32"/>
        </w:rPr>
        <w:t>改造。探索城中村改造的新路子、新模式，结合经济社会高质量发展和创新驱动战略实施，在城中村改造中植入创意文化、特色产业、优美生态等功能，探索</w:t>
      </w:r>
      <w:r>
        <w:rPr>
          <w:rFonts w:hint="default" w:ascii="Times New Roman" w:hAnsi="Times New Roman" w:eastAsia="仿宋_GB2312" w:cs="Times New Roman"/>
          <w:color w:val="000000"/>
          <w:kern w:val="0"/>
          <w:sz w:val="32"/>
          <w:szCs w:val="32"/>
        </w:rPr>
        <w:t>城郊村</w:t>
      </w:r>
      <w:r>
        <w:rPr>
          <w:rFonts w:hint="default" w:ascii="Times New Roman" w:hAnsi="Times New Roman" w:eastAsia="仿宋_GB2312" w:cs="Times New Roman"/>
          <w:color w:val="000000"/>
          <w:sz w:val="32"/>
          <w:szCs w:val="32"/>
        </w:rPr>
        <w:t>多元化改造模式。体现村域特色，充分保留原有的地形地貌和村落标志物，注重对历史文化碎片的整理和挖掘，着力打造各具特色的村域文化空间和载体。配齐城中村城郊村基本公共服务，提高义务教育水平和质量，引导优质城市教育资源向</w:t>
      </w:r>
      <w:r>
        <w:rPr>
          <w:rFonts w:hint="default" w:ascii="Times New Roman" w:hAnsi="Times New Roman" w:eastAsia="仿宋_GB2312" w:cs="Times New Roman"/>
          <w:color w:val="000000"/>
          <w:kern w:val="0"/>
          <w:sz w:val="32"/>
          <w:szCs w:val="32"/>
        </w:rPr>
        <w:t>城中村城郊村</w:t>
      </w:r>
      <w:r>
        <w:rPr>
          <w:rFonts w:hint="default" w:ascii="Times New Roman" w:hAnsi="Times New Roman" w:eastAsia="仿宋_GB2312" w:cs="Times New Roman"/>
          <w:color w:val="000000"/>
          <w:sz w:val="32"/>
          <w:szCs w:val="32"/>
        </w:rPr>
        <w:t>流动，加强卫生服务中心建设，推进远程诊疗系统建设，定期安排医疗专家远程会诊或定期坐诊。</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创新就地转移就业居民市民化路径</w:t>
      </w:r>
      <w:r>
        <w:rPr>
          <w:rFonts w:hint="default" w:ascii="Times New Roman" w:hAnsi="Times New Roman" w:eastAsia="仿宋_GB2312" w:cs="Times New Roman"/>
          <w:color w:val="000000"/>
          <w:sz w:val="32"/>
          <w:szCs w:val="32"/>
        </w:rPr>
        <w:t>。推动城镇基础设施和公共服务向农村延伸，继续完善城乡公交线路，减少公交服务盲区，提高公交线网覆盖范围。加强就业培训，根据就地转移就业人员的行业特点，提高就业培训的针对性，着力提升其就业技能。加快特色小镇、田园综合体等建设，努力增加就地就业机会。加快农村产业园区建设，着力增加就业岗位，增强就近就业支撑能力。</w:t>
      </w:r>
    </w:p>
    <w:p>
      <w:pPr>
        <w:spacing w:line="56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楷体_GB2312" w:cs="Times New Roman"/>
          <w:color w:val="000000"/>
          <w:sz w:val="32"/>
          <w:szCs w:val="32"/>
        </w:rPr>
        <w:t>积极推进外来居民市民化</w:t>
      </w:r>
      <w:r>
        <w:rPr>
          <w:rFonts w:hint="default" w:ascii="Times New Roman" w:hAnsi="Times New Roman" w:eastAsia="仿宋_GB2312" w:cs="Times New Roman"/>
          <w:color w:val="000000"/>
          <w:kern w:val="0"/>
          <w:sz w:val="32"/>
          <w:szCs w:val="32"/>
        </w:rPr>
        <w:t>。以经常居住地登记常住户口为基本形式，使银滩外地业主享受与本地居民同等待遇，加强对外地业主的关心、关怀，推进外地业主子女融入学校、家庭融入社区、群体融入社会，建设包容性、开放性、移民性城市。提升城市旅游设施、基础设施承载能力，提高乳山滨海旅游度假品质。提升外来务工人员市民化质量，为外来务工人员提供优质的城镇公共服务、基础设施保障，着力创造就业岗位。实施新市民住房保障行动，满足单身新市民或家庭的基本居住需求。提高城镇就业创业培训的针对性，促进产业需求与就业培训的对接。实施职业技能提升计划，加强对新生代农民工的职业技能培训。</w:t>
      </w:r>
      <w:bookmarkStart w:id="30" w:name="_Toc54561620"/>
    </w:p>
    <w:p>
      <w:pPr>
        <w:spacing w:before="156" w:beforeLines="50" w:after="156" w:afterLines="50" w:line="560" w:lineRule="exact"/>
        <w:jc w:val="center"/>
        <w:outlineLvl w:val="0"/>
        <w:rPr>
          <w:rFonts w:hint="default" w:ascii="Times New Roman" w:hAnsi="Times New Roman" w:eastAsia="黑体" w:cs="Times New Roman"/>
          <w:bCs/>
          <w:color w:val="000000"/>
          <w:sz w:val="34"/>
          <w:szCs w:val="34"/>
        </w:rPr>
      </w:pPr>
      <w:r>
        <w:rPr>
          <w:rFonts w:hint="default" w:ascii="Times New Roman" w:hAnsi="Times New Roman" w:cs="Times New Roman"/>
          <w:color w:val="000000"/>
        </w:rPr>
        <w:br w:type="page"/>
      </w:r>
      <w:bookmarkStart w:id="31" w:name="_Toc62919423"/>
      <w:r>
        <w:rPr>
          <w:rFonts w:hint="default" w:ascii="Times New Roman" w:hAnsi="Times New Roman" w:eastAsia="黑体" w:cs="Times New Roman"/>
          <w:bCs/>
          <w:color w:val="000000"/>
          <w:sz w:val="34"/>
          <w:szCs w:val="34"/>
        </w:rPr>
        <w:t>第四章 优先发展农业农村 全面推进乡村振兴</w:t>
      </w:r>
      <w:bookmarkEnd w:id="30"/>
      <w:bookmarkEnd w:id="31"/>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实施“富民兴市”战略，坚持农业农村优先发展，深入实施乡村振兴战略，促进城乡生产要素双向自由流动和公共资源合理配置，率先建立起城乡融合发展体制机制和政策体系，全面推进农业现代化与农村现代化融合统筹发展，争创全省城乡融合发展试验区。“十四五”期间，全市农村居民实现人均可支配收入年均增长6%左右。</w:t>
      </w:r>
    </w:p>
    <w:p>
      <w:pPr>
        <w:spacing w:before="156" w:beforeLines="50" w:after="156" w:afterLines="50" w:line="560" w:lineRule="exact"/>
        <w:jc w:val="center"/>
        <w:outlineLvl w:val="1"/>
        <w:rPr>
          <w:rFonts w:hint="default" w:ascii="Times New Roman" w:hAnsi="Times New Roman" w:eastAsia="黑体" w:cs="Times New Roman"/>
          <w:bCs/>
          <w:color w:val="000000"/>
          <w:sz w:val="32"/>
          <w:szCs w:val="32"/>
        </w:rPr>
      </w:pPr>
      <w:bookmarkStart w:id="32" w:name="_Toc59557084"/>
      <w:bookmarkStart w:id="33" w:name="_Toc62919424"/>
      <w:r>
        <w:rPr>
          <w:rFonts w:hint="default" w:ascii="Times New Roman" w:hAnsi="Times New Roman" w:eastAsia="黑体" w:cs="Times New Roman"/>
          <w:bCs/>
          <w:color w:val="000000"/>
          <w:sz w:val="32"/>
          <w:szCs w:val="32"/>
        </w:rPr>
        <w:t>第一节 提升</w:t>
      </w:r>
      <w:bookmarkEnd w:id="32"/>
      <w:r>
        <w:rPr>
          <w:rFonts w:hint="default" w:ascii="Times New Roman" w:hAnsi="Times New Roman" w:eastAsia="黑体" w:cs="Times New Roman"/>
          <w:bCs/>
          <w:color w:val="000000"/>
          <w:sz w:val="32"/>
          <w:szCs w:val="32"/>
        </w:rPr>
        <w:t>农产品综合生产能力</w:t>
      </w:r>
      <w:bookmarkEnd w:id="33"/>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kern w:val="36"/>
          <w:sz w:val="32"/>
          <w:szCs w:val="32"/>
        </w:rPr>
        <w:t>深入实施“藏粮于地、藏粮于技”战略，</w:t>
      </w:r>
      <w:r>
        <w:rPr>
          <w:rFonts w:hint="default" w:ascii="Times New Roman" w:hAnsi="Times New Roman" w:eastAsia="仿宋_GB2312" w:cs="Times New Roman"/>
          <w:color w:val="000000"/>
          <w:sz w:val="32"/>
          <w:szCs w:val="32"/>
        </w:rPr>
        <w:t>推进高标准农田建设，深化农业科技创新，全方位保障农产品质量安全。</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kern w:val="0"/>
          <w:sz w:val="32"/>
          <w:szCs w:val="32"/>
        </w:rPr>
        <w:t>推进高标准农田建设。</w:t>
      </w:r>
      <w:r>
        <w:rPr>
          <w:rFonts w:hint="default" w:ascii="Times New Roman" w:hAnsi="Times New Roman" w:eastAsia="仿宋_GB2312" w:cs="Times New Roman"/>
          <w:color w:val="000000"/>
          <w:sz w:val="32"/>
          <w:szCs w:val="32"/>
        </w:rPr>
        <w:t>“十四五”期间全市常年粮食播种面积稳定在55万亩。确保划定的77.16万亩永久基本农田红线不动摇，加强21万亩粮食生产功能区建设和管护，深化“高产稳产粮田+绿色技术集成+适度规模经营”产能提升模式，统筹推进土地平整、土壤改良、灌溉排水、田间道路、农田防护与生态环境保持、农田输配电等各类工程建设，全面改善农田基础设施条件。到2025年，全市新增集中连片、旱涝保收、节水高效、稳产高产、生态友好的高标准农田10万亩。</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color w:val="000000"/>
          <w:sz w:val="32"/>
          <w:szCs w:val="32"/>
        </w:rPr>
        <w:t>实施农业科技创新工程。</w:t>
      </w:r>
      <w:r>
        <w:rPr>
          <w:rFonts w:hint="default" w:ascii="Times New Roman" w:hAnsi="Times New Roman" w:eastAsia="仿宋_GB2312" w:cs="Times New Roman"/>
          <w:color w:val="000000"/>
          <w:sz w:val="32"/>
          <w:szCs w:val="32"/>
        </w:rPr>
        <w:t>完善农技推广体系，强化农业科技推广应用，提高农业科技对农业增产增收的贡献率，到2025年农业科技进步贡献率达到70%以上。</w:t>
      </w:r>
      <w:r>
        <w:rPr>
          <w:rFonts w:hint="default" w:ascii="Times New Roman" w:hAnsi="Times New Roman" w:eastAsia="仿宋_GB2312" w:cs="Times New Roman"/>
          <w:sz w:val="32"/>
          <w:szCs w:val="32"/>
        </w:rPr>
        <w:t>发展现代种业，加强农作物种子芯片工程建设，实施国家级花生制（繁）种能力提升项目，助力新品种推广与应用，到“十四五”末，农作物良种覆盖率达到98%以上。提高农业机械化水平，重点支持发展适合乳山丘陵山区特点的现代特色农业装备，加快农机新机具和新技术的推广应用步伐，推动农业装备向数字化转型，主要农作物耕种管收机械化率达到95%。推进农业创新数字化平台建设，利用信息网络技术，开展市场信息、高效植保、废弃物资源化利用、农产品烘干加工、农业气象“私人定制”等领域的农业社会化服务。</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color w:val="000000"/>
          <w:kern w:val="0"/>
          <w:sz w:val="32"/>
          <w:szCs w:val="32"/>
        </w:rPr>
        <w:t>全方位保障农产品质量安全。</w:t>
      </w:r>
      <w:r>
        <w:rPr>
          <w:rFonts w:hint="default" w:ascii="Times New Roman" w:hAnsi="Times New Roman" w:eastAsia="仿宋_GB2312" w:cs="Times New Roman"/>
          <w:sz w:val="32"/>
          <w:szCs w:val="32"/>
        </w:rPr>
        <w:t>健全农产品质量安全监管体系和农产品追溯管理体系，规模化生产经营主体实行国家追溯平台管理达到80%以上，全面推行食用农产品合格证制度，确保农产品质量安全检测合格率稳定在98.5%以上；构建农产品质量安全信用管理体系，落实农产品质量安全信用红黑名单管理制度，建立“守信激励、失信惩戒”监管机制。</w:t>
      </w:r>
    </w:p>
    <w:p>
      <w:pPr>
        <w:spacing w:before="156" w:beforeLines="50" w:after="156" w:afterLines="50" w:line="560" w:lineRule="exact"/>
        <w:jc w:val="center"/>
        <w:outlineLvl w:val="1"/>
        <w:rPr>
          <w:rFonts w:hint="default" w:ascii="Times New Roman" w:hAnsi="Times New Roman" w:eastAsia="黑体" w:cs="Times New Roman"/>
          <w:bCs/>
          <w:color w:val="000000"/>
          <w:sz w:val="32"/>
          <w:szCs w:val="32"/>
        </w:rPr>
      </w:pPr>
      <w:bookmarkStart w:id="34" w:name="_Toc54561621"/>
      <w:bookmarkStart w:id="35" w:name="_Toc59557085"/>
      <w:bookmarkStart w:id="36" w:name="_Toc62919425"/>
      <w:r>
        <w:rPr>
          <w:rFonts w:hint="default" w:ascii="Times New Roman" w:hAnsi="Times New Roman" w:eastAsia="黑体" w:cs="Times New Roman"/>
          <w:bCs/>
          <w:color w:val="000000"/>
          <w:sz w:val="32"/>
          <w:szCs w:val="32"/>
        </w:rPr>
        <w:t xml:space="preserve">第二节 </w:t>
      </w:r>
      <w:bookmarkEnd w:id="34"/>
      <w:r>
        <w:rPr>
          <w:rFonts w:hint="default" w:ascii="Times New Roman" w:hAnsi="Times New Roman" w:eastAsia="黑体" w:cs="Times New Roman"/>
          <w:bCs/>
          <w:color w:val="000000"/>
          <w:sz w:val="32"/>
          <w:szCs w:val="32"/>
        </w:rPr>
        <w:t>打造现代农业产业体系</w:t>
      </w:r>
      <w:bookmarkEnd w:id="35"/>
      <w:bookmarkEnd w:id="36"/>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深入推进农业供给侧结构性改革，夯实农业发展基础，加快构建特色精致高效的现代农业产业体系，率先实现农业现代化。</w:t>
      </w:r>
    </w:p>
    <w:p>
      <w:pPr>
        <w:spacing w:line="56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color w:val="000000"/>
          <w:sz w:val="32"/>
          <w:szCs w:val="32"/>
        </w:rPr>
        <w:t>聚力推动样板片区建设。</w:t>
      </w:r>
      <w:r>
        <w:rPr>
          <w:rFonts w:hint="default" w:ascii="Times New Roman" w:hAnsi="Times New Roman" w:eastAsia="仿宋_GB2312" w:cs="Times New Roman"/>
          <w:sz w:val="32"/>
          <w:szCs w:val="32"/>
        </w:rPr>
        <w:t>重点推进滨海田园样板片区、绿城台依湖酒庄酒产业小镇样板片区、岠嵎山休闲旅游样板片区和循环农业样板片区建设，统筹推进海阳所牡蛎小镇、崖子苹果小镇、大孤山姜品小镇等特色小镇建设，完成“省部共同打造乡村振兴齐鲁样板示范县暨率先基本实现农业农村现代化试点县”任务目标的建设工作，着力打造乳山河、黄垒河和西部环山路、滨海旅游路“两河两路”农文旅融合、山海河统筹多元化农业产业发展新格局。</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color w:val="000000"/>
          <w:sz w:val="32"/>
          <w:szCs w:val="32"/>
        </w:rPr>
        <w:t>完善产业链条扩大品牌优势</w:t>
      </w:r>
      <w:r>
        <w:rPr>
          <w:rFonts w:hint="default" w:ascii="Times New Roman" w:hAnsi="Times New Roman" w:eastAsia="楷体_GB2312" w:cs="Times New Roman"/>
          <w:color w:val="000000"/>
          <w:kern w:val="36"/>
          <w:sz w:val="32"/>
          <w:szCs w:val="32"/>
        </w:rPr>
        <w:t>。</w:t>
      </w:r>
      <w:r>
        <w:rPr>
          <w:rFonts w:hint="default" w:ascii="Times New Roman" w:hAnsi="Times New Roman" w:eastAsia="仿宋_GB2312" w:cs="Times New Roman"/>
          <w:sz w:val="32"/>
          <w:szCs w:val="32"/>
        </w:rPr>
        <w:t>以“粮头食尾”“农头工尾”为抓手，实施优势特色产业强链补链工程、短平快特色产业探索培育工程、全产业链开发创新工程，实现牡蛎、大姜、茶叶、草莓等23个国家地理标志产品链条化发展。围绕“乳山三宝”等优势农产品，</w:t>
      </w:r>
      <w:r>
        <w:rPr>
          <w:rFonts w:hint="default" w:ascii="Times New Roman" w:hAnsi="Times New Roman" w:eastAsia="仿宋_GB2312" w:cs="Times New Roman"/>
          <w:snapToGrid w:val="0"/>
          <w:sz w:val="32"/>
          <w:szCs w:val="32"/>
        </w:rPr>
        <w:t>制定发布特色农产品地方技术规范标准，</w:t>
      </w:r>
      <w:r>
        <w:rPr>
          <w:rFonts w:hint="default" w:ascii="Times New Roman" w:hAnsi="Times New Roman" w:eastAsia="仿宋_GB2312" w:cs="Times New Roman"/>
          <w:sz w:val="32"/>
          <w:szCs w:val="32"/>
        </w:rPr>
        <w:t>探索建立农业品牌目录制度及品牌评价体系，</w:t>
      </w:r>
      <w:r>
        <w:rPr>
          <w:rFonts w:hint="default" w:ascii="Times New Roman" w:hAnsi="Times New Roman" w:eastAsia="仿宋_GB2312" w:cs="Times New Roman"/>
          <w:snapToGrid w:val="0"/>
          <w:sz w:val="32"/>
          <w:szCs w:val="32"/>
        </w:rPr>
        <w:t>指导建设标准化基地，</w:t>
      </w:r>
      <w:r>
        <w:rPr>
          <w:rFonts w:hint="default" w:ascii="Times New Roman" w:hAnsi="Times New Roman" w:eastAsia="仿宋_GB2312" w:cs="Times New Roman"/>
          <w:sz w:val="32"/>
          <w:szCs w:val="32"/>
        </w:rPr>
        <w:t>提升农业品牌建设与管理的能力和水平。</w:t>
      </w:r>
      <w:r>
        <w:rPr>
          <w:rFonts w:hint="default" w:ascii="Times New Roman" w:hAnsi="Times New Roman" w:eastAsia="仿宋_GB2312" w:cs="Times New Roman"/>
          <w:snapToGrid w:val="0"/>
          <w:sz w:val="32"/>
          <w:szCs w:val="32"/>
        </w:rPr>
        <w:t>“十四五”期间力争新增“三品一标”认证产品30个。探索建立花生、苹果等特色农产品期货交割库，打造区域农产品交易集散地。</w:t>
      </w:r>
    </w:p>
    <w:p>
      <w:pPr>
        <w:spacing w:line="560" w:lineRule="exact"/>
        <w:ind w:firstLine="640" w:firstLineChars="200"/>
        <w:rPr>
          <w:rFonts w:hint="default" w:ascii="Times New Roman" w:hAnsi="Times New Roman" w:eastAsia="楷体_GB2312" w:cs="Times New Roman"/>
          <w:bCs/>
          <w:color w:val="000000"/>
          <w:sz w:val="32"/>
          <w:szCs w:val="32"/>
          <w:shd w:val="clear" w:color="auto" w:fill="FFFFFF"/>
        </w:rPr>
      </w:pPr>
      <w:r>
        <w:rPr>
          <w:rFonts w:hint="default" w:ascii="Times New Roman" w:hAnsi="Times New Roman" w:eastAsia="楷体_GB2312" w:cs="Times New Roman"/>
          <w:bCs/>
          <w:color w:val="000000"/>
          <w:sz w:val="32"/>
          <w:szCs w:val="32"/>
          <w:shd w:val="clear" w:color="auto" w:fill="FFFFFF"/>
        </w:rPr>
        <w:t>稳步发展畜禽养殖业</w:t>
      </w:r>
      <w:r>
        <w:rPr>
          <w:rFonts w:hint="default" w:ascii="Times New Roman" w:hAnsi="Times New Roman" w:eastAsia="楷体_GB2312" w:cs="Times New Roman"/>
          <w:bCs/>
          <w:color w:val="000000"/>
          <w:sz w:val="32"/>
          <w:szCs w:val="32"/>
        </w:rPr>
        <w:t>。</w:t>
      </w:r>
      <w:r>
        <w:rPr>
          <w:rFonts w:hint="default" w:ascii="Times New Roman" w:hAnsi="Times New Roman" w:eastAsia="仿宋_GB2312" w:cs="Times New Roman"/>
          <w:color w:val="000000"/>
          <w:sz w:val="32"/>
          <w:szCs w:val="32"/>
          <w:shd w:val="clear" w:color="auto" w:fill="FFFFFF"/>
        </w:rPr>
        <w:t>围绕肉鸡、生猪、奶牛、蛋鸡等优势产业，加快推进“粮改饲”，促进种养结合的生态循环畜牧业发展。大力推行畜牧养殖场标准化改造，依托龙大肉食、沃森氏农牧、乐天生态农牧等龙头企业，打造一批养殖规模化、产品标准化、环境生态化的规模养殖场。以畜禽养殖业可持续发展和改善生态环境质量为目标，调整优化畜禽养殖业生产布局，开展畜禽养殖污染综合防治，促进畜牧业生产与生态环境建设全面协调发展。到“十四五”末，畜禽标准化规模养殖比重达到90%以上。</w:t>
      </w:r>
    </w:p>
    <w:p>
      <w:pPr>
        <w:spacing w:line="560" w:lineRule="exact"/>
        <w:ind w:firstLine="640" w:firstLineChars="200"/>
        <w:rPr>
          <w:rFonts w:hint="default" w:ascii="Times New Roman" w:hAnsi="Times New Roman" w:eastAsia="仿宋_GB2312" w:cs="Times New Roman"/>
          <w:sz w:val="32"/>
          <w:szCs w:val="32"/>
          <w:shd w:val="clear" w:color="auto" w:fill="FFFFFF"/>
        </w:rPr>
      </w:pPr>
      <w:r>
        <w:rPr>
          <w:rFonts w:hint="default" w:ascii="Times New Roman" w:hAnsi="Times New Roman" w:eastAsia="楷体_GB2312" w:cs="Times New Roman"/>
          <w:bCs/>
          <w:color w:val="000000"/>
          <w:sz w:val="32"/>
          <w:szCs w:val="32"/>
          <w:shd w:val="clear" w:color="auto" w:fill="FFFFFF"/>
        </w:rPr>
        <w:t>培育规模化新型农业经营主体。</w:t>
      </w:r>
      <w:r>
        <w:rPr>
          <w:rFonts w:hint="default" w:ascii="Times New Roman" w:hAnsi="Times New Roman" w:eastAsia="仿宋_GB2312" w:cs="Times New Roman"/>
          <w:sz w:val="32"/>
          <w:szCs w:val="32"/>
          <w:shd w:val="clear" w:color="auto" w:fill="FFFFFF"/>
        </w:rPr>
        <w:t>鼓励大学毕业生、外出务工农民等回乡创办家庭农场，引导有一定规模的专业大户向家庭农场转型。支持家庭农场领办合作社，具备条件的向公司制企业发展。加大示范社（农场）扶持力度，着力培养一批经营效益好、产品质量优、带动作用大的新型农业经营主体。积极落实扶持新型农业经营主体发展的各项优惠扶持政策，重点支持有一定生产经营规模、收益相对稳定、财务管理规范的新型农业经营主体，推进国家、省级农民合作社示范社创建。支持村级党组织领办合作社，加快推进土地规模化经营。着力推进农业社会化服务标准化试点，培育一批推进农业全程标准化生产的社会化服务组织。到2025年，全市省级农民合作社示范社达到25家，省级家庭农场示范场达到13家，村级党组织领办合作社的数量达到行政村总数的60%以上。</w:t>
      </w:r>
    </w:p>
    <w:tbl>
      <w:tblPr>
        <w:tblStyle w:val="20"/>
        <w:tblpPr w:leftFromText="180" w:rightFromText="180" w:vertAnchor="text" w:horzAnchor="page" w:tblpX="1530" w:tblpY="166"/>
        <w:tblOverlap w:val="never"/>
        <w:tblW w:w="89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25" w:type="dxa"/>
            <w:noWrap w:val="0"/>
            <w:vAlign w:val="top"/>
          </w:tcPr>
          <w:p>
            <w:pPr>
              <w:spacing w:line="560" w:lineRule="exact"/>
              <w:jc w:val="center"/>
              <w:rPr>
                <w:rFonts w:hint="default" w:ascii="Times New Roman" w:hAnsi="Times New Roman" w:eastAsia="黑体" w:cs="Times New Roman"/>
                <w:color w:val="000000"/>
                <w:kern w:val="0"/>
                <w:sz w:val="30"/>
                <w:szCs w:val="30"/>
              </w:rPr>
            </w:pPr>
            <w:r>
              <w:rPr>
                <w:rFonts w:hint="default" w:ascii="Times New Roman" w:hAnsi="Times New Roman" w:eastAsia="黑体" w:cs="Times New Roman"/>
                <w:color w:val="000000"/>
                <w:kern w:val="0"/>
                <w:sz w:val="28"/>
                <w:szCs w:val="28"/>
              </w:rPr>
              <w:t>专栏7 现代农业产业重点建设工程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8925" w:type="dxa"/>
            <w:noWrap w:val="0"/>
            <w:vAlign w:val="top"/>
          </w:tcPr>
          <w:p>
            <w:pPr>
              <w:spacing w:line="360" w:lineRule="exact"/>
              <w:ind w:firstLine="422" w:firstLineChars="200"/>
              <w:rPr>
                <w:rFonts w:hint="default" w:ascii="Times New Roman" w:hAnsi="Times New Roman" w:cs="Times New Roman"/>
                <w:b/>
                <w:bCs w:val="0"/>
                <w:color w:val="000000"/>
                <w:kern w:val="0"/>
                <w:szCs w:val="21"/>
              </w:rPr>
            </w:pPr>
            <w:r>
              <w:rPr>
                <w:rFonts w:hint="default" w:ascii="Times New Roman" w:hAnsi="Times New Roman" w:eastAsia="楷体_GB2312" w:cs="Times New Roman"/>
                <w:b/>
                <w:bCs w:val="0"/>
                <w:color w:val="000000"/>
                <w:kern w:val="0"/>
                <w:szCs w:val="21"/>
              </w:rPr>
              <w:t>1.特色小镇。</w:t>
            </w:r>
            <w:r>
              <w:rPr>
                <w:rFonts w:hint="default" w:ascii="Times New Roman" w:hAnsi="Times New Roman" w:cs="Times New Roman"/>
                <w:b/>
                <w:bCs w:val="0"/>
                <w:color w:val="000000"/>
                <w:kern w:val="0"/>
                <w:szCs w:val="21"/>
              </w:rPr>
              <w:t>深入发挥区域资源禀赋和产业基础优势，结合一镇一业、一村一品建设，促进特色产业集聚融合发展，鼓励各镇街打造各类特色小镇，重点支持绿城台依湖酒庄酒产业小镇、海阳所牡蛎小镇、乳山寨草莓小镇、大孤山姜品小镇、崖子苹果小镇、北茶小镇等特色小镇建设。</w:t>
            </w:r>
          </w:p>
          <w:p>
            <w:pPr>
              <w:spacing w:line="360" w:lineRule="exact"/>
              <w:ind w:firstLine="422" w:firstLineChars="200"/>
              <w:rPr>
                <w:rFonts w:hint="default" w:ascii="Times New Roman" w:hAnsi="Times New Roman" w:cs="Times New Roman"/>
                <w:b/>
                <w:bCs w:val="0"/>
                <w:color w:val="000000"/>
                <w:kern w:val="0"/>
                <w:szCs w:val="21"/>
              </w:rPr>
            </w:pPr>
            <w:r>
              <w:rPr>
                <w:rFonts w:hint="default" w:ascii="Times New Roman" w:hAnsi="Times New Roman" w:eastAsia="楷体_GB2312" w:cs="Times New Roman"/>
                <w:b/>
                <w:bCs w:val="0"/>
                <w:color w:val="000000"/>
                <w:kern w:val="0"/>
                <w:szCs w:val="21"/>
              </w:rPr>
              <w:t>2.两河流域特色产业带建设。</w:t>
            </w:r>
            <w:r>
              <w:rPr>
                <w:rFonts w:hint="default" w:ascii="Times New Roman" w:hAnsi="Times New Roman" w:cs="Times New Roman"/>
                <w:b/>
                <w:bCs w:val="0"/>
                <w:color w:val="000000"/>
                <w:kern w:val="0"/>
                <w:szCs w:val="21"/>
              </w:rPr>
              <w:t>依托北宗茶业基地，建设“乳山雪茶·纯净茶乡”为主题的北宗茶业田园综合体。依托大孤山“姜品小镇”建设项目，推动大姜全产业链融合发展。以山东众信粮油龙头企业为载体，做优做大高油酸花生生产项目。以威一现代农业为载体，打造万亩现代苹果示范地。依托岠嵎山休闲旅游片区，抓好设施草莓核心区、示范区和露天草莓区建设，带动片区产业转型升级。依托胶东伯瑞蓝莓公司，建设蓝莓标准化基地、威海农副产品冷链交易平台，实现年周转1万吨小浆果的综合周转能力。</w:t>
            </w:r>
          </w:p>
          <w:p>
            <w:pPr>
              <w:spacing w:line="360" w:lineRule="exact"/>
              <w:ind w:firstLine="422" w:firstLineChars="200"/>
              <w:rPr>
                <w:rFonts w:hint="default" w:ascii="Times New Roman" w:hAnsi="Times New Roman" w:cs="Times New Roman"/>
                <w:b/>
                <w:bCs w:val="0"/>
                <w:color w:val="000000"/>
                <w:kern w:val="0"/>
                <w:szCs w:val="21"/>
              </w:rPr>
            </w:pPr>
            <w:r>
              <w:rPr>
                <w:rFonts w:hint="default" w:ascii="Times New Roman" w:hAnsi="Times New Roman" w:eastAsia="楷体_GB2312" w:cs="Times New Roman"/>
                <w:b/>
                <w:bCs w:val="0"/>
                <w:color w:val="000000"/>
                <w:kern w:val="0"/>
                <w:szCs w:val="21"/>
              </w:rPr>
              <w:t>3.两路沿线特色产业带建设。</w:t>
            </w:r>
            <w:r>
              <w:rPr>
                <w:rFonts w:hint="default" w:ascii="Times New Roman" w:hAnsi="Times New Roman" w:cs="Times New Roman"/>
                <w:b/>
                <w:bCs w:val="0"/>
                <w:color w:val="000000"/>
                <w:kern w:val="0"/>
                <w:szCs w:val="21"/>
              </w:rPr>
              <w:t>依托山东兴业源公司，发展1500亩母爱智慧农业产业园，打造一体化的苹果产业全链条体系。依托腾裕农业，打造休闲、采摘、旅游于一体的田园综合体。依托花生和牡蛎两大优势产业，申报省级现代农业产业园，促进牡蛎产业、花生产业等主导产业的国内领先发展地位，力争创建国家级现代农业产业园，实现“生产+加工+科技+营销+品牌”全产业链开发。以兰家村、西耿家村700亩不老莓基地为依托，在“不老</w:t>
            </w:r>
            <w:r>
              <w:rPr>
                <w:rFonts w:hint="default" w:ascii="Times New Roman" w:hAnsi="Times New Roman" w:cs="Times New Roman"/>
                <w:b/>
                <w:bCs w:val="0"/>
                <w:color w:val="000000"/>
                <w:szCs w:val="21"/>
              </w:rPr>
              <w:t>·</w:t>
            </w:r>
            <w:r>
              <w:rPr>
                <w:rFonts w:hint="default" w:ascii="Times New Roman" w:hAnsi="Times New Roman" w:cs="Times New Roman"/>
                <w:b/>
                <w:bCs w:val="0"/>
                <w:color w:val="000000"/>
                <w:kern w:val="0"/>
                <w:szCs w:val="21"/>
              </w:rPr>
              <w:t>渔乡”样板片区发展不老莓种植、加工、制造、科研为一体的产业链。</w:t>
            </w:r>
          </w:p>
          <w:p>
            <w:pPr>
              <w:spacing w:line="360" w:lineRule="exact"/>
              <w:ind w:firstLine="422" w:firstLineChars="200"/>
              <w:rPr>
                <w:rFonts w:hint="default" w:ascii="Times New Roman" w:hAnsi="Times New Roman" w:cs="Times New Roman"/>
                <w:b/>
                <w:bCs w:val="0"/>
                <w:color w:val="000000"/>
                <w:kern w:val="0"/>
                <w:szCs w:val="21"/>
              </w:rPr>
            </w:pPr>
            <w:r>
              <w:rPr>
                <w:rFonts w:hint="default" w:ascii="Times New Roman" w:hAnsi="Times New Roman" w:eastAsia="楷体_GB2312" w:cs="Times New Roman"/>
                <w:b/>
                <w:bCs w:val="0"/>
                <w:color w:val="000000"/>
                <w:kern w:val="0"/>
                <w:szCs w:val="21"/>
              </w:rPr>
              <w:t>4.特色产业强链补链工程。</w:t>
            </w:r>
            <w:r>
              <w:rPr>
                <w:rFonts w:hint="default" w:ascii="Times New Roman" w:hAnsi="Times New Roman" w:cs="Times New Roman"/>
                <w:b/>
                <w:bCs w:val="0"/>
                <w:color w:val="000000"/>
                <w:kern w:val="0"/>
                <w:szCs w:val="21"/>
              </w:rPr>
              <w:t>发挥农业资源优势，依托华隆食品、金果食品、恒裕食品、华美淀粉等农字号龙头企业，深度挖掘经济作物的生产加工价值，大力发展花生、果品等精深加工，提升农业生产效益。</w:t>
            </w:r>
          </w:p>
          <w:p>
            <w:pPr>
              <w:spacing w:line="360" w:lineRule="exact"/>
              <w:ind w:firstLine="422" w:firstLineChars="200"/>
              <w:rPr>
                <w:rFonts w:hint="default" w:ascii="Times New Roman" w:hAnsi="Times New Roman" w:cs="Times New Roman"/>
                <w:b/>
                <w:bCs w:val="0"/>
                <w:color w:val="000000"/>
                <w:kern w:val="0"/>
                <w:szCs w:val="21"/>
              </w:rPr>
            </w:pPr>
            <w:r>
              <w:rPr>
                <w:rFonts w:hint="default" w:ascii="Times New Roman" w:hAnsi="Times New Roman" w:eastAsia="楷体_GB2312" w:cs="Times New Roman"/>
                <w:b/>
                <w:bCs w:val="0"/>
                <w:color w:val="000000"/>
                <w:kern w:val="0"/>
                <w:szCs w:val="21"/>
              </w:rPr>
              <w:t>5.特色产业探索培育工程。</w:t>
            </w:r>
            <w:r>
              <w:rPr>
                <w:rFonts w:hint="default" w:ascii="Times New Roman" w:hAnsi="Times New Roman" w:cs="Times New Roman"/>
                <w:b/>
                <w:bCs w:val="0"/>
                <w:color w:val="000000"/>
                <w:kern w:val="0"/>
                <w:szCs w:val="21"/>
              </w:rPr>
              <w:t>依托李家村黑木耳种植基地、广源红草莓专业合作社、云耕菌业、易初紫金大姜专业合作社等龙头，鼓励黑木耳、草莓、羊肚菌、大姜等特色产业规模化种植，引导开展精深加工，拓展农业增收渠道。</w:t>
            </w:r>
          </w:p>
          <w:p>
            <w:pPr>
              <w:spacing w:line="360" w:lineRule="exact"/>
              <w:ind w:firstLine="422" w:firstLineChars="200"/>
              <w:rPr>
                <w:rFonts w:hint="default" w:ascii="Times New Roman" w:hAnsi="Times New Roman" w:cs="Times New Roman"/>
                <w:b/>
                <w:bCs w:val="0"/>
                <w:color w:val="000000"/>
                <w:kern w:val="0"/>
                <w:szCs w:val="21"/>
              </w:rPr>
            </w:pPr>
            <w:r>
              <w:rPr>
                <w:rFonts w:hint="default" w:ascii="Times New Roman" w:hAnsi="Times New Roman" w:eastAsia="楷体_GB2312" w:cs="Times New Roman"/>
                <w:b/>
                <w:bCs w:val="0"/>
                <w:color w:val="000000"/>
                <w:kern w:val="0"/>
                <w:szCs w:val="21"/>
              </w:rPr>
              <w:t>6.全产业链开发创新工程。</w:t>
            </w:r>
            <w:r>
              <w:rPr>
                <w:rFonts w:hint="default" w:ascii="Times New Roman" w:hAnsi="Times New Roman" w:cs="Times New Roman"/>
                <w:b/>
                <w:bCs w:val="0"/>
                <w:color w:val="000000"/>
                <w:kern w:val="0"/>
                <w:szCs w:val="21"/>
              </w:rPr>
              <w:t>立足花生、苹果、大姜、茶叶、蓝莓、葡萄、草莓、甘薯八大优势产业，围绕育种、种植、加工、营销和社会化服务、文化休闲等完整产业链中每一环节，打造3个以上区域优势显著的农业全产业链条。</w:t>
            </w:r>
          </w:p>
          <w:p>
            <w:pPr>
              <w:spacing w:line="360" w:lineRule="exact"/>
              <w:ind w:firstLine="422" w:firstLineChars="200"/>
              <w:rPr>
                <w:rFonts w:hint="default" w:ascii="Times New Roman" w:hAnsi="Times New Roman" w:cs="Times New Roman"/>
                <w:color w:val="000000"/>
                <w:kern w:val="0"/>
                <w:sz w:val="24"/>
                <w:szCs w:val="24"/>
              </w:rPr>
            </w:pPr>
            <w:r>
              <w:rPr>
                <w:rFonts w:hint="default" w:ascii="Times New Roman" w:hAnsi="Times New Roman" w:eastAsia="楷体_GB2312" w:cs="Times New Roman"/>
                <w:b/>
                <w:bCs w:val="0"/>
                <w:color w:val="000000"/>
                <w:kern w:val="0"/>
                <w:szCs w:val="21"/>
              </w:rPr>
              <w:t>7.农业品牌提升行动。</w:t>
            </w:r>
            <w:r>
              <w:rPr>
                <w:rFonts w:hint="default" w:ascii="Times New Roman" w:hAnsi="Times New Roman" w:cs="Times New Roman"/>
                <w:b/>
                <w:bCs w:val="0"/>
                <w:color w:val="000000"/>
                <w:kern w:val="0"/>
                <w:szCs w:val="21"/>
              </w:rPr>
              <w:t>持续培育农业品牌，加大品牌宣传力度。借助乳山绿茶、乳山大姜、乳山大花生3个威海市级区域公用品牌，争创省级区域公用品牌1个，威海市级知名农产品品牌15个。积极组织企业参加全国农产品展会，举办北方茶产业发展论坛、农民丰收节等活动，进一步提升农产品品牌的影响力和竞争力。</w:t>
            </w:r>
          </w:p>
        </w:tc>
      </w:tr>
    </w:tbl>
    <w:p>
      <w:pPr>
        <w:spacing w:before="156" w:beforeLines="50" w:after="156" w:afterLines="50" w:line="560" w:lineRule="exact"/>
        <w:jc w:val="center"/>
        <w:outlineLvl w:val="1"/>
        <w:rPr>
          <w:rFonts w:hint="default" w:ascii="Times New Roman" w:hAnsi="Times New Roman" w:eastAsia="黑体" w:cs="Times New Roman"/>
          <w:bCs/>
          <w:color w:val="000000"/>
          <w:sz w:val="32"/>
          <w:szCs w:val="32"/>
        </w:rPr>
      </w:pPr>
      <w:bookmarkStart w:id="37" w:name="_Toc54561622"/>
      <w:bookmarkStart w:id="38" w:name="_Toc62919426"/>
      <w:bookmarkStart w:id="39" w:name="_Toc59557086"/>
      <w:r>
        <w:rPr>
          <w:rFonts w:hint="default" w:ascii="Times New Roman" w:hAnsi="Times New Roman" w:eastAsia="黑体" w:cs="Times New Roman"/>
          <w:bCs/>
          <w:color w:val="000000"/>
          <w:sz w:val="32"/>
          <w:szCs w:val="32"/>
        </w:rPr>
        <w:t>第三节 实施乡村建设</w:t>
      </w:r>
      <w:bookmarkEnd w:id="37"/>
      <w:r>
        <w:rPr>
          <w:rFonts w:hint="default" w:ascii="Times New Roman" w:hAnsi="Times New Roman" w:eastAsia="黑体" w:cs="Times New Roman"/>
          <w:bCs/>
          <w:color w:val="000000"/>
          <w:sz w:val="32"/>
          <w:szCs w:val="32"/>
        </w:rPr>
        <w:t>行动</w:t>
      </w:r>
      <w:bookmarkEnd w:id="38"/>
      <w:bookmarkEnd w:id="39"/>
    </w:p>
    <w:p>
      <w:pPr>
        <w:spacing w:line="560" w:lineRule="exact"/>
        <w:ind w:firstLine="640" w:firstLineChars="200"/>
        <w:rPr>
          <w:rFonts w:hint="default" w:ascii="Times New Roman" w:hAnsi="Times New Roman" w:eastAsia="仿宋_GB2312" w:cs="Times New Roman"/>
          <w:color w:val="000000"/>
          <w:kern w:val="36"/>
          <w:sz w:val="32"/>
          <w:szCs w:val="32"/>
        </w:rPr>
      </w:pPr>
      <w:r>
        <w:rPr>
          <w:rFonts w:hint="default" w:ascii="Times New Roman" w:hAnsi="Times New Roman" w:eastAsia="仿宋_GB2312" w:cs="Times New Roman"/>
          <w:color w:val="000000"/>
          <w:kern w:val="36"/>
          <w:sz w:val="32"/>
          <w:szCs w:val="32"/>
        </w:rPr>
        <w:t>以农民群众生活宜居为导向，完善镇驻地基础设施建设，强化小城镇服务功能，开展农村人居环境整治提升行动</w:t>
      </w:r>
      <w:r>
        <w:rPr>
          <w:rFonts w:hint="default" w:ascii="Times New Roman" w:hAnsi="Times New Roman" w:eastAsia="仿宋_GB2312" w:cs="Times New Roman"/>
          <w:color w:val="000000"/>
          <w:kern w:val="36"/>
          <w:sz w:val="32"/>
          <w:szCs w:val="32"/>
          <w:lang w:eastAsia="zh-CN"/>
        </w:rPr>
        <w:t>，</w:t>
      </w:r>
      <w:r>
        <w:rPr>
          <w:rFonts w:hint="default" w:ascii="Times New Roman" w:hAnsi="Times New Roman" w:eastAsia="仿宋_GB2312" w:cs="Times New Roman"/>
          <w:color w:val="000000"/>
          <w:kern w:val="36"/>
          <w:sz w:val="32"/>
          <w:szCs w:val="32"/>
        </w:rPr>
        <w:t>推进特色美丽乡村建设。</w:t>
      </w:r>
    </w:p>
    <w:p>
      <w:pPr>
        <w:spacing w:line="560" w:lineRule="exact"/>
        <w:ind w:firstLine="640" w:firstLineChars="200"/>
        <w:rPr>
          <w:rFonts w:hint="default" w:ascii="Times New Roman" w:hAnsi="Times New Roman" w:eastAsia="仿宋_GB2312" w:cs="Times New Roman"/>
          <w:color w:val="auto"/>
          <w:kern w:val="36"/>
          <w:sz w:val="32"/>
          <w:szCs w:val="32"/>
        </w:rPr>
      </w:pPr>
      <w:r>
        <w:rPr>
          <w:rFonts w:hint="default" w:ascii="Times New Roman" w:hAnsi="Times New Roman" w:eastAsia="楷体_GB2312" w:cs="Times New Roman"/>
          <w:color w:val="000000"/>
          <w:kern w:val="36"/>
          <w:sz w:val="32"/>
          <w:szCs w:val="32"/>
        </w:rPr>
        <w:t>强化小城镇服务功能。</w:t>
      </w:r>
      <w:r>
        <w:rPr>
          <w:rFonts w:hint="default" w:ascii="Times New Roman" w:hAnsi="Times New Roman" w:eastAsia="仿宋_GB2312" w:cs="Times New Roman"/>
          <w:color w:val="auto"/>
          <w:kern w:val="36"/>
          <w:sz w:val="32"/>
          <w:szCs w:val="32"/>
        </w:rPr>
        <w:t>综合考虑区位、交通、产业及集聚效应，着力完善功能、改善环境、塑造特色，提升聚集产业和人口的能力，把小城镇建成服务农民的区域中心。树立精品意识和适度超前意识，按照小城市标准，着力完善道路交通、市政管网、供水、供气、防洪排涝、污水垃圾、城镇绿道等基础设施和学校、医疗卫生、文化、体育、养老、旅游等公共服务设施，增强对周边农村的生产生活服务供给能力，建设成为城乡统筹的新载体、创业就业的新平台。深化镇域路域环境综合整治，健全完善长效机制。</w:t>
      </w:r>
    </w:p>
    <w:p>
      <w:pPr>
        <w:pStyle w:val="19"/>
        <w:spacing w:after="0" w:line="560" w:lineRule="exact"/>
        <w:ind w:left="0" w:leftChars="0" w:firstLine="640"/>
        <w:rPr>
          <w:rFonts w:hint="default" w:ascii="Times New Roman" w:hAnsi="Times New Roman" w:eastAsia="仿宋_GB2312" w:cs="Times New Roman"/>
          <w:color w:val="auto"/>
          <w:kern w:val="36"/>
          <w:sz w:val="32"/>
          <w:szCs w:val="32"/>
        </w:rPr>
      </w:pPr>
      <w:r>
        <w:rPr>
          <w:rFonts w:hint="default" w:ascii="Times New Roman" w:hAnsi="Times New Roman" w:eastAsia="楷体_GB2312" w:cs="Times New Roman"/>
          <w:color w:val="auto"/>
          <w:kern w:val="36"/>
          <w:sz w:val="32"/>
          <w:szCs w:val="32"/>
        </w:rPr>
        <w:t>开展农村人居环境整治提升行动。</w:t>
      </w:r>
      <w:r>
        <w:rPr>
          <w:rFonts w:hint="default" w:ascii="Times New Roman" w:hAnsi="Times New Roman" w:eastAsia="仿宋_GB2312" w:cs="Times New Roman"/>
          <w:color w:val="auto"/>
          <w:kern w:val="36"/>
          <w:sz w:val="32"/>
          <w:szCs w:val="32"/>
        </w:rPr>
        <w:t>坚持系统观念，促进城乡基础设施互联互通，推动农村基础设施提档升级。全面推进“四好农村路”建设，争取创建省级“四好农村路”示范县，到2025年，县乡公路全部达到三级及以上，所有建制村或社区建有2-3条穿村公路。实施农村饮水安全工程，推进城乡供水一体化。实施农村清洁能源工程，推动供气设施向农村延伸。梯次推进农村生活污水和黑臭水体治理，提升农村改厕后续管护服务水平。推进农村生活垃圾分类处置，加强与垃圾分类相衔接的终端处理设施建设，所有行政村实现生活垃圾无害化处理。</w:t>
      </w:r>
    </w:p>
    <w:p>
      <w:pPr>
        <w:spacing w:after="156" w:afterLines="50"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推进特色美丽乡村建设。</w:t>
      </w:r>
      <w:r>
        <w:rPr>
          <w:rFonts w:hint="default" w:ascii="Times New Roman" w:hAnsi="Times New Roman" w:eastAsia="仿宋_GB2312" w:cs="Times New Roman"/>
          <w:color w:val="000000"/>
          <w:kern w:val="36"/>
          <w:sz w:val="32"/>
          <w:szCs w:val="32"/>
        </w:rPr>
        <w:t>分类推进美丽乡村建设，产业特色鲜明、旅游开发价值大的村庄，按照全域旅游的标准完善设施，实行品牌化经营，打造成国内省内一流的美丽乡村精品示范村；资源条件较好、具有一定开发价值的村庄，努力培植产业，挖掘特色，打造成特色示范村；其它村庄，加快发展强村富民产业，提升基础设施，建成美丽宜居村。建立健全农村人居环境长效管护机制，扶持开展“精致农家·美丽庭院”创建活动。“十四五”期间，力争每年建设5个省级美丽乡村示范村、15个市级美丽乡村示范村，乡村振兴样板片区村总数达到300个。</w:t>
      </w:r>
    </w:p>
    <w:p>
      <w:pPr>
        <w:spacing w:after="156" w:afterLines="50" w:line="560" w:lineRule="exact"/>
        <w:jc w:val="center"/>
        <w:outlineLvl w:val="1"/>
        <w:rPr>
          <w:rFonts w:hint="default" w:ascii="Times New Roman" w:hAnsi="Times New Roman" w:eastAsia="黑体" w:cs="Times New Roman"/>
          <w:bCs/>
          <w:color w:val="000000"/>
          <w:sz w:val="32"/>
          <w:szCs w:val="32"/>
        </w:rPr>
      </w:pPr>
      <w:bookmarkStart w:id="40" w:name="_Toc54561624"/>
      <w:bookmarkStart w:id="41" w:name="_Toc59557087"/>
      <w:bookmarkStart w:id="42" w:name="_Toc62919427"/>
      <w:r>
        <w:rPr>
          <w:rFonts w:hint="default" w:ascii="Times New Roman" w:hAnsi="Times New Roman" w:eastAsia="黑体" w:cs="Times New Roman"/>
          <w:bCs/>
          <w:color w:val="000000"/>
          <w:sz w:val="32"/>
          <w:szCs w:val="32"/>
        </w:rPr>
        <w:t>第四节 健全城乡融合发展体制机制</w:t>
      </w:r>
      <w:bookmarkEnd w:id="40"/>
      <w:bookmarkEnd w:id="41"/>
      <w:bookmarkEnd w:id="42"/>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深化“三农”领域改革，推进以人为核心的新型城市化，促进生产要素城乡双向流动，健全城乡融合发展体制机制，构建工农互促、城乡互补、协调发展、共同繁荣的新型城乡关系。</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促进城乡人口双向流动。</w:t>
      </w:r>
      <w:r>
        <w:rPr>
          <w:rFonts w:hint="default" w:ascii="Times New Roman" w:hAnsi="Times New Roman" w:eastAsia="仿宋_GB2312" w:cs="Times New Roman"/>
          <w:color w:val="000000"/>
          <w:sz w:val="32"/>
          <w:szCs w:val="32"/>
        </w:rPr>
        <w:t>深化户籍制度改革，实行经常居住地登记户口制度。建立城乡有序流动的户口迁移制度，逐步畅通城乡户口双向流动渠道，健全完善城乡社区集体户，及时登记符合落户条件但无固定住所的外来人员户口，最大限度消除城乡、区域间人口流动壁垒，提高农业转移人口融入城市能力。</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吸引多层次人才投身乡村建设。</w:t>
      </w:r>
      <w:r>
        <w:rPr>
          <w:rFonts w:hint="default" w:ascii="Times New Roman" w:hAnsi="Times New Roman" w:eastAsia="仿宋_GB2312" w:cs="Times New Roman"/>
          <w:color w:val="000000"/>
          <w:sz w:val="32"/>
          <w:szCs w:val="32"/>
        </w:rPr>
        <w:t>引导鼓励各类人才投身乡村建设，创新人才培育引进机制，建立城乡、区域、校地之间人才培养合作与交流机制，为乡村振兴提供人才智力支持。强化乡村本土人才队伍建设，全面建立职业农民制度，实施新型职业农民培育工程，加大农村实用人才培育力度，加强农技推广人才队伍建设，“十四五”期间农民教育培训达到1500名以上。完善人才培养、引进、使用、激励等政策措施，营造人才发展良好环境，使人才愿意来、留得住，促进人才要素向农村流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深化农业农村领域改革。</w:t>
      </w:r>
      <w:r>
        <w:rPr>
          <w:rFonts w:hint="default" w:ascii="Times New Roman" w:hAnsi="Times New Roman" w:eastAsia="仿宋_GB2312" w:cs="Times New Roman"/>
          <w:color w:val="000000"/>
          <w:sz w:val="32"/>
          <w:szCs w:val="32"/>
        </w:rPr>
        <w:t>落实好第二轮土地承包到期后再延长30年的政策，让农民吃上长效“定心丸”；积极探索农村承包地“三权分置”实现形式，加快放活土地经营权；创新土地经营权流转方式，探索开展乡镇统一组织经营管理试点，提升农业适度规模经营水平；深化农村集体产权制度改革，建立归属清晰、权能完整、流转顺畅、保护严格的农村集体产权制度；通过入股、发展产业、对外经营等方式，让集体经营性资产、资源活起来，增加集体经济收入，到2025年，彻底消除5万元以下的经济薄弱</w:t>
      </w:r>
      <w:r>
        <w:rPr>
          <w:rFonts w:hint="default" w:ascii="Times New Roman" w:hAnsi="Times New Roman" w:eastAsia="仿宋_GB2312" w:cs="Times New Roman"/>
          <w:sz w:val="32"/>
          <w:szCs w:val="32"/>
        </w:rPr>
        <w:t>村，80%以上的村集体收入达到10万元以上</w:t>
      </w:r>
      <w:r>
        <w:rPr>
          <w:rFonts w:hint="default" w:ascii="Times New Roman" w:hAnsi="Times New Roman" w:eastAsia="仿宋_GB2312" w:cs="Times New Roman"/>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促进农民增收致富。</w:t>
      </w:r>
      <w:r>
        <w:rPr>
          <w:rFonts w:hint="default" w:ascii="Times New Roman" w:hAnsi="Times New Roman" w:eastAsia="仿宋_GB2312" w:cs="Times New Roman"/>
          <w:color w:val="000000"/>
          <w:sz w:val="32"/>
          <w:szCs w:val="32"/>
        </w:rPr>
        <w:t>加强农村转移劳动力职业技能培训，支持农民就地就近转移就业，推动形成平等竞争、规范有序、城乡统一的人力资源市场，落实同工同酬政策，提高就业稳定性和工资性收入水平。大力发展乡村特色产业，鼓励返乡人员创办休闲农业、乡村旅游、农村电商等新产业新模式新业态。优化创业就业服务，面向返乡农民工、职业农民等打造融合科技示范、技术合成、融资孵化、创新创业、平台服务于一体的创业基地。完善农业保险体系，推进农产品完全成本保险、收入保险、目标价格保险，助力农民增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auto"/>
          <w:sz w:val="32"/>
          <w:szCs w:val="32"/>
        </w:rPr>
        <w:t>实现巩固拓展脱贫攻坚成果同乡村振兴有效衔接。</w:t>
      </w:r>
      <w:r>
        <w:rPr>
          <w:rFonts w:hint="default" w:ascii="Times New Roman" w:hAnsi="Times New Roman" w:eastAsia="仿宋_GB2312" w:cs="Times New Roman"/>
          <w:sz w:val="32"/>
          <w:szCs w:val="32"/>
        </w:rPr>
        <w:t>建</w:t>
      </w:r>
      <w:r>
        <w:rPr>
          <w:rFonts w:hint="default" w:ascii="Times New Roman" w:hAnsi="Times New Roman" w:eastAsia="仿宋_GB2312" w:cs="Times New Roman"/>
          <w:color w:val="000000"/>
          <w:sz w:val="32"/>
          <w:szCs w:val="32"/>
        </w:rPr>
        <w:t>立解决相对贫困长效机制试点，重点围绕相对贫困标准确定、贫困对象识别退出、建立帮扶政策体系和工作推进体系等关键环节，建立健全体制机制和政策体系。健全防止返贫动态监测和帮扶机制，对易返贫致贫人口实施常态化监测，重点监测收入水平变化和“两不愁三保障”巩固情况，继续精准施策。对现有帮扶政策逐项分类优化调整，逐步实现由集中资源支持脱贫攻坚向全面推进乡村振兴平稳过渡。系统制定住房、教育、医疗、社会保障、就业增收等</w:t>
      </w:r>
      <w:r>
        <w:rPr>
          <w:rFonts w:hint="default" w:ascii="Times New Roman" w:hAnsi="Times New Roman" w:eastAsia="仿宋_GB2312" w:cs="Times New Roman"/>
          <w:color w:val="000000"/>
          <w:sz w:val="32"/>
          <w:szCs w:val="32"/>
          <w:lang w:eastAsia="zh-CN"/>
        </w:rPr>
        <w:t>帮扶</w:t>
      </w:r>
      <w:r>
        <w:rPr>
          <w:rFonts w:hint="default" w:ascii="Times New Roman" w:hAnsi="Times New Roman" w:eastAsia="仿宋_GB2312" w:cs="Times New Roman"/>
          <w:color w:val="000000"/>
          <w:sz w:val="32"/>
          <w:szCs w:val="32"/>
        </w:rPr>
        <w:t>政策，逐步提高城乡</w:t>
      </w:r>
      <w:r>
        <w:rPr>
          <w:rFonts w:hint="default" w:ascii="Times New Roman" w:hAnsi="Times New Roman" w:eastAsia="仿宋_GB2312" w:cs="Times New Roman"/>
          <w:color w:val="000000"/>
          <w:sz w:val="32"/>
          <w:szCs w:val="32"/>
          <w:lang w:eastAsia="zh-CN"/>
        </w:rPr>
        <w:t>居民</w:t>
      </w:r>
      <w:r>
        <w:rPr>
          <w:rFonts w:hint="default" w:ascii="Times New Roman" w:hAnsi="Times New Roman" w:eastAsia="仿宋_GB2312" w:cs="Times New Roman"/>
          <w:color w:val="000000"/>
          <w:sz w:val="32"/>
          <w:szCs w:val="32"/>
        </w:rPr>
        <w:t>生活水平和发展能力。</w:t>
      </w:r>
      <w:bookmarkStart w:id="43" w:name="_Toc54561625"/>
    </w:p>
    <w:p>
      <w:pPr>
        <w:spacing w:before="156" w:beforeLines="50" w:after="156" w:afterLines="50" w:line="560" w:lineRule="exact"/>
        <w:jc w:val="center"/>
        <w:outlineLvl w:val="0"/>
        <w:rPr>
          <w:rFonts w:hint="default" w:ascii="Times New Roman" w:hAnsi="Times New Roman" w:eastAsia="黑体" w:cs="Times New Roman"/>
          <w:bCs/>
          <w:color w:val="000000"/>
          <w:sz w:val="34"/>
          <w:szCs w:val="34"/>
        </w:rPr>
      </w:pPr>
      <w:r>
        <w:rPr>
          <w:rFonts w:hint="default" w:ascii="Times New Roman" w:hAnsi="Times New Roman" w:eastAsia="黑体" w:cs="Times New Roman"/>
          <w:bCs/>
          <w:color w:val="000000"/>
          <w:sz w:val="34"/>
          <w:szCs w:val="34"/>
        </w:rPr>
        <w:br w:type="page"/>
      </w:r>
      <w:bookmarkStart w:id="44" w:name="_Toc62919428"/>
      <w:r>
        <w:rPr>
          <w:rFonts w:hint="default" w:ascii="Times New Roman" w:hAnsi="Times New Roman" w:eastAsia="黑体" w:cs="Times New Roman"/>
          <w:bCs/>
          <w:color w:val="000000"/>
          <w:sz w:val="34"/>
          <w:szCs w:val="34"/>
        </w:rPr>
        <w:t>第五章 统筹陆海联动发展 加快建设海洋强市</w:t>
      </w:r>
      <w:bookmarkEnd w:id="43"/>
      <w:bookmarkEnd w:id="44"/>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坚持科学用海、科技兴海、产业强海、生态护海、开放活海“五个导向”，推动陆海统筹、一体化发展，提高海洋开发和综合管理能力，大力发展海洋经济，加强海洋科技创新，推进现代化港口建设，加快建设海洋强市。</w:t>
      </w:r>
    </w:p>
    <w:p>
      <w:pPr>
        <w:spacing w:before="156" w:beforeLines="50" w:after="156" w:afterLines="50" w:line="560" w:lineRule="exact"/>
        <w:jc w:val="center"/>
        <w:outlineLvl w:val="1"/>
        <w:rPr>
          <w:rFonts w:hint="default" w:ascii="Times New Roman" w:hAnsi="Times New Roman" w:eastAsia="黑体" w:cs="Times New Roman"/>
          <w:color w:val="000000"/>
          <w:sz w:val="32"/>
          <w:szCs w:val="32"/>
        </w:rPr>
      </w:pPr>
      <w:bookmarkStart w:id="45" w:name="_Toc54561626"/>
      <w:bookmarkStart w:id="46" w:name="_Toc62919429"/>
      <w:r>
        <w:rPr>
          <w:rFonts w:hint="default" w:ascii="Times New Roman" w:hAnsi="Times New Roman" w:eastAsia="黑体" w:cs="Times New Roman"/>
          <w:bCs/>
          <w:color w:val="000000"/>
          <w:sz w:val="32"/>
          <w:szCs w:val="32"/>
        </w:rPr>
        <w:t>第一节 构建现代海洋产业体系</w:t>
      </w:r>
      <w:bookmarkEnd w:id="45"/>
      <w:bookmarkEnd w:id="46"/>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统筹推进企业培育、结构调整、项目建设、平台搭建、园区聚集、产业融合，推动传统渔业转型升级，发展壮大海洋第二产业，培育发展海洋服务业，促进海洋一二三产深度融合，着力打造以牡蛎为特色的全产业链条，构建富有活力和较强竞争力的现代海洋产业体系，到2025年，海洋经济增加值占GDP比重达到40%。</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构建现代水产种业体系</w:t>
      </w:r>
      <w:r>
        <w:rPr>
          <w:rFonts w:hint="default" w:ascii="Times New Roman" w:hAnsi="Times New Roman" w:eastAsia="仿宋_GB2312" w:cs="Times New Roman"/>
          <w:color w:val="000000"/>
          <w:sz w:val="32"/>
          <w:szCs w:val="32"/>
        </w:rPr>
        <w:t>。加强遗传技术、细胞技术和基因技术等先进技术的引进应用，研究培育海洋渔业新品种，引进推广“海大1号”“海大2号”“海大3号”“海蛎1号”、三倍体牡蛎等水产良种，以乳山省级农业科技园现代海洋经济示范区为支撑，以山东科合、青辰科技、龙汇海产、深远海育苗育种基地等水产种业联合培育基地为主体，打造设施完善、技术先进、品全质优、具有国际先进水平的现代水产种业体系，切实增强水产苗种遗传育种、繁育、推广能力。到“十四五”末，力争培育良种繁育龙头企业、种业示范场各5家以上，建成三倍体牡蛎育苗研发中心，建设规范化水产育苗场60个，水产养殖良种覆盖率达到95%以上。</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着力打造“蓝色粮仓”</w:t>
      </w:r>
      <w:r>
        <w:rPr>
          <w:rFonts w:hint="default" w:ascii="Times New Roman" w:hAnsi="Times New Roman" w:eastAsia="仿宋_GB2312" w:cs="Times New Roman"/>
          <w:color w:val="000000"/>
          <w:sz w:val="32"/>
          <w:szCs w:val="32"/>
        </w:rPr>
        <w:t>。坚持“突出优势、培育亮点”，加快推进现代化海洋牧场建设综合试点，实现渔业转型升级和高质量发展。启动海水养殖“深蓝行动”，打造乳山牡蛎产业发展平台，充分考虑海区养殖生产可承载力，推广“生态疏养”模式，减量增收、提质增效，到“十四五”末，实现“生态疏养”模式全覆盖。引导岸基、滩涂、浅海养殖向近海拓展，以新规划48万亩海洋牧场为主阵地，合理规划功能分区，重点建设艾格生物、龙汇、华信、青辰科技、青辰发展、灯塔水母等规模化海洋牧场，撑起乳山海洋牧场发展整体框架，推进海洋牧场高质量发展。积极探索“养殖工船”“海洋牧场平台”等新模式，建设国内深远海养殖先行区。到“十四五”末，建成国内一流海洋牧场示范区25万亩以上。结合减船转产，压减近海捕捞强度，创新支持发展远洋渔业，鼓励远洋自捕水产品回运加工。</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大力发展海洋生物制品产业</w:t>
      </w:r>
      <w:r>
        <w:rPr>
          <w:rFonts w:hint="default" w:ascii="Times New Roman" w:hAnsi="Times New Roman" w:eastAsia="仿宋_GB2312" w:cs="Times New Roman"/>
          <w:color w:val="000000"/>
          <w:sz w:val="32"/>
          <w:szCs w:val="32"/>
        </w:rPr>
        <w:t>。海洋生物初级制品，重点开发海洋多糖和蛋白（肽）类饲料添加剂、动植物专用药、农用生物肥料、海珍品及宠物饲料。以研发生产海洋保健品、功能性食品、化妆品为重点，加快海洋生物制品产业转型升级。以降血糖、降血脂、增加骨密度等为方向，开发鱼胶原蛋白、甲壳衍生物质、藻蓝蛋白、海洋贝类提取物等产品，推出牡蛎肽、牡蛎精、口服液、胶囊、蛋白肽粉等产品；以营养保健、美容、护肤等化妆品为方向，开发鱼油、鱼胶、洗面奶、护发素、面膜等产品。</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推进海洋文旅融合发展</w:t>
      </w:r>
      <w:r>
        <w:rPr>
          <w:rFonts w:hint="default" w:ascii="Times New Roman" w:hAnsi="Times New Roman" w:eastAsia="仿宋_GB2312" w:cs="Times New Roman"/>
          <w:color w:val="000000"/>
          <w:sz w:val="32"/>
          <w:szCs w:val="32"/>
        </w:rPr>
        <w:t>。注重全产业链、全服务链打造，促进海洋渔业与二三产业融合发展。将沿海各景区串珠成链，开通海上旅游线路，联接乳山港、大乳山、小青岛、塔岛湾、竹岛、南黄岛、宫家岛、福如东海等节点，发展牡蛎小镇、精品民宿、特色渔家乐、海上垂钓、休闲体验网箱等项目，推进滨海旅游海陆并进、协同发展。以华信公司海洋牧场平台为依托，建设海上休闲垂钓中心，打造胶东半岛一流的海钓基地。在台依湖、龙角山等水库开展青、草、鲢、鳙等淡水鱼放流，打造渔业文化长廊，加快发展内陆休闲渔业，到2025年规划打造10处以上省级休闲渔业公园。升级乳山牡蛎博物馆，进一步挖掘牡蛎文化价值，提升牡蛎文化内涵。持续举办好中国牡蛎国际高峰论坛，将中高端乳山牡蛎推向全国的高端市场，打造海洋文化品牌。</w:t>
      </w:r>
    </w:p>
    <w:p>
      <w:pPr>
        <w:keepNext w:val="0"/>
        <w:keepLines w:val="0"/>
        <w:pageBreakBefore w:val="0"/>
        <w:widowControl w:val="0"/>
        <w:kinsoku/>
        <w:wordWrap/>
        <w:overflowPunct/>
        <w:topLinePunct w:val="0"/>
        <w:autoSpaceDE/>
        <w:autoSpaceDN/>
        <w:bidi w:val="0"/>
        <w:adjustRightInd/>
        <w:snapToGrid/>
        <w:spacing w:before="157" w:beforeLines="50" w:after="156" w:afterLines="50" w:line="560" w:lineRule="exact"/>
        <w:ind w:left="105" w:leftChars="50"/>
        <w:jc w:val="center"/>
        <w:textAlignment w:val="auto"/>
        <w:outlineLvl w:val="1"/>
        <w:rPr>
          <w:rFonts w:hint="default" w:ascii="Times New Roman" w:hAnsi="Times New Roman" w:eastAsia="黑体" w:cs="Times New Roman"/>
          <w:bCs/>
          <w:color w:val="000000"/>
          <w:sz w:val="32"/>
          <w:szCs w:val="32"/>
        </w:rPr>
      </w:pPr>
      <w:bookmarkStart w:id="47" w:name="_Toc54561627"/>
      <w:bookmarkStart w:id="48" w:name="_Toc62919430"/>
      <w:r>
        <w:rPr>
          <w:rFonts w:hint="default" w:ascii="Times New Roman" w:hAnsi="Times New Roman" w:eastAsia="黑体" w:cs="Times New Roman"/>
          <w:bCs/>
          <w:color w:val="000000"/>
          <w:sz w:val="32"/>
          <w:szCs w:val="32"/>
        </w:rPr>
        <w:t>第二节 强化海洋科技创新引领</w:t>
      </w:r>
      <w:bookmarkEnd w:id="47"/>
      <w:bookmarkEnd w:id="48"/>
    </w:p>
    <w:p>
      <w:pPr>
        <w:keepNext w:val="0"/>
        <w:keepLines w:val="0"/>
        <w:pageBreakBefore w:val="0"/>
        <w:widowControl w:val="0"/>
        <w:kinsoku/>
        <w:wordWrap/>
        <w:overflowPunct/>
        <w:topLinePunct w:val="0"/>
        <w:autoSpaceDE/>
        <w:autoSpaceDN/>
        <w:bidi w:val="0"/>
        <w:adjustRightInd/>
        <w:snapToGrid/>
        <w:spacing w:before="157" w:beforeLines="50"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按照“海洋科学研究—海洋技术创新—海洋科技成果转化—海洋科技产业”的发展路径，抓好科技平台建设、完善海洋公共服务，推动产学研用协同、加快海洋科技成果转化，引进培养涉海高端人才、建设海洋人才战略高地，激活海洋经济发展新动能。</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bCs/>
          <w:color w:val="000000"/>
          <w:sz w:val="32"/>
          <w:szCs w:val="32"/>
        </w:rPr>
        <w:t>加强海洋科技创新平台建设。</w:t>
      </w:r>
      <w:r>
        <w:rPr>
          <w:rFonts w:hint="default" w:ascii="Times New Roman" w:hAnsi="Times New Roman" w:eastAsia="仿宋_GB2312" w:cs="Times New Roman"/>
          <w:color w:val="000000"/>
          <w:sz w:val="32"/>
          <w:szCs w:val="32"/>
        </w:rPr>
        <w:t>坚持以海洋科技创新引领海洋产业发展为主线，加强公共研发、综合服务、检验交易平台建设，构建服务海洋经济的科技创新体系，全面提升科技兴海服务能力。建好用好中国（乳山）牡蛎产业研究院、正洋海洋生物研究院等公共研发平台，重点围绕乳山牡蛎等产业链相关的海洋生物科技、基因育种、健康养殖、环境体系开展应用性基础研究，大力开展牡蛎净化、精深加工、活性物质提取、应用装备升级与数字化服务等方面的技术成果研发及转化，为乳山牡蛎等水产品的品牌化、高端化、融合化发展提供强大科技支撑。聚焦海洋核心技术研发与产业化需求，完善“苗圃—孵化器—加速器—产业园区”孵化运行机制，搭</w:t>
      </w:r>
      <w:r>
        <w:rPr>
          <w:rFonts w:hint="default" w:ascii="Times New Roman" w:hAnsi="Times New Roman" w:eastAsia="仿宋_GB2312" w:cs="Times New Roman"/>
          <w:color w:val="000000"/>
          <w:spacing w:val="4"/>
          <w:sz w:val="32"/>
          <w:szCs w:val="32"/>
        </w:rPr>
        <w:t>建一批投资与孵化相结合的海洋科技创新空间。依托威海灯塔水母海洋科技有限公司，建设海洋牧场检测平台和海洋牧场实验室。推动企业创新平台建设，围绕海洋工程装备、海洋生物、海洋信息服务等领域，支持企业独立或联合建立研发机构</w:t>
      </w:r>
      <w:r>
        <w:rPr>
          <w:rFonts w:hint="default" w:ascii="Times New Roman" w:hAnsi="Times New Roman" w:eastAsia="仿宋_GB2312" w:cs="Times New Roman"/>
          <w:color w:val="000000"/>
          <w:sz w:val="32"/>
          <w:szCs w:val="32"/>
        </w:rPr>
        <w:t>。</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大力推进海洋科技成果转化</w:t>
      </w:r>
      <w:r>
        <w:rPr>
          <w:rFonts w:hint="default" w:ascii="Times New Roman" w:hAnsi="Times New Roman" w:eastAsia="仿宋_GB2312" w:cs="Times New Roman"/>
          <w:color w:val="000000"/>
          <w:sz w:val="32"/>
          <w:szCs w:val="32"/>
        </w:rPr>
        <w:t>。支持企业与高等院校、科研院所开展产学研合作和海洋科技协同创新，共建高水平的技术研发机构和人才培养机构等协同创新平台，突破一批产业发展共性关键技术。发挥乳山地处胶东经济圈的区位优势，深化与中国海洋大学、中国科学院海洋研究所、中国水产科学研究院黄海水产研究所、山东省海洋生物研究院等战略合作，聚焦海洋生物和海洋高端装备制造两大产业，引进推广一批技术领先、带动力强的科技成果。积极吸引涉海高校院所在乳山设立分支机构或中试基地，开展科技成果工程化研究开发。以华信食品、华隆生物科技、温喜生物、威海泓泽海洋科技等龙头企业为依托，积极创建涉海工程研究中心、企业技术中心、重点实验室、创新创业联合体等，推进海洋生物、海洋装备、海洋新经济等领域科技成果向现实生产力转化。以乳山省级农业科技园现代海洋经济示范区为载体，深化与国内外知名科研院校和专家团队合作，加强海洋生物科技研发及成果产业化，打造集牡蛎育苗育种、陆海养殖、精深加工、科技研发、冷链物流、生物制药、海洋装备等于一体的全产业链业态。</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强化涉海人才引进培育</w:t>
      </w:r>
      <w:r>
        <w:rPr>
          <w:rFonts w:hint="default" w:ascii="Times New Roman" w:hAnsi="Times New Roman" w:eastAsia="仿宋_GB2312" w:cs="Times New Roman"/>
          <w:color w:val="000000"/>
          <w:sz w:val="32"/>
          <w:szCs w:val="32"/>
        </w:rPr>
        <w:t>。加强海洋高端人才引进，实施重点产业紧缺人才引进计划，制定海洋新兴产业紧缺人才目录，积极引进一批产业领军人才、科技创新人才和高技能人才。支持相关涉海企业引进高层次人才、特种专业人才，对有突出贡献的专家和人员进行奖励。聘请国内外著名专家和企业家，建立海洋产业专家顾问团，为乳山海洋产业发展提供决策咨询。注重海洋实用人才培养，实施“海洋产业人才培养计划”，鼓励山东外事职业大学和威海机械工程高级技工学校开设海洋产业相关专业学科，积极与威海海洋职业学院等院校开展人才培养合作，培育适应海洋产业发展需求的“乳山工匠”、高级蓝领，选派有培养前途的海洋产业领域人才赴国内外著名高校深造。</w:t>
      </w:r>
    </w:p>
    <w:p>
      <w:pPr>
        <w:spacing w:before="156" w:beforeLines="50" w:after="156" w:afterLines="50" w:line="560" w:lineRule="exact"/>
        <w:jc w:val="center"/>
        <w:outlineLvl w:val="1"/>
        <w:rPr>
          <w:rFonts w:hint="default" w:ascii="Times New Roman" w:hAnsi="Times New Roman" w:eastAsia="黑体" w:cs="Times New Roman"/>
          <w:bCs/>
          <w:color w:val="000000"/>
          <w:sz w:val="32"/>
          <w:szCs w:val="32"/>
        </w:rPr>
      </w:pPr>
      <w:bookmarkStart w:id="49" w:name="_Toc54561628"/>
      <w:bookmarkStart w:id="50" w:name="_Toc62919431"/>
      <w:r>
        <w:rPr>
          <w:rFonts w:hint="default" w:ascii="Times New Roman" w:hAnsi="Times New Roman" w:eastAsia="黑体" w:cs="Times New Roman"/>
          <w:bCs/>
          <w:color w:val="000000"/>
          <w:sz w:val="32"/>
          <w:szCs w:val="32"/>
        </w:rPr>
        <w:t>第三节 建设现代化特色贸易港</w:t>
      </w:r>
      <w:bookmarkEnd w:id="49"/>
      <w:bookmarkEnd w:id="50"/>
    </w:p>
    <w:p>
      <w:pPr>
        <w:pStyle w:val="53"/>
        <w:spacing w:after="0" w:line="560" w:lineRule="exact"/>
        <w:ind w:left="0" w:leftChars="0" w:firstLine="640" w:firstLineChars="200"/>
        <w:rPr>
          <w:rFonts w:hint="default" w:ascii="Times New Roman" w:hAnsi="Times New Roman" w:eastAsia="宋体" w:cs="Times New Roman"/>
          <w:color w:val="000000"/>
          <w:szCs w:val="32"/>
        </w:rPr>
      </w:pPr>
      <w:r>
        <w:rPr>
          <w:rFonts w:hint="default" w:ascii="Times New Roman" w:hAnsi="Times New Roman" w:cs="Times New Roman"/>
          <w:color w:val="000000"/>
          <w:szCs w:val="32"/>
        </w:rPr>
        <w:t>发挥乳山港地处“青烟威”三市结合地带的区位优势，加强港口基础设施建设，提升港口信息化、智慧化水平，完善港口集疏运体系，加快业态创新、技术创新、模式创新，推动港产城融合发展，打造对区域经济发展具有持续推动力的特色贸易港。</w:t>
      </w:r>
    </w:p>
    <w:p>
      <w:pPr>
        <w:pStyle w:val="53"/>
        <w:keepNext w:val="0"/>
        <w:keepLines w:val="0"/>
        <w:pageBreakBefore w:val="0"/>
        <w:widowControl w:val="0"/>
        <w:kinsoku/>
        <w:wordWrap/>
        <w:overflowPunct/>
        <w:topLinePunct w:val="0"/>
        <w:autoSpaceDE/>
        <w:autoSpaceDN/>
        <w:bidi w:val="0"/>
        <w:adjustRightInd/>
        <w:snapToGrid/>
        <w:spacing w:after="0" w:line="580" w:lineRule="exact"/>
        <w:ind w:left="0" w:leftChars="0" w:firstLine="640" w:firstLineChars="200"/>
        <w:textAlignment w:val="auto"/>
        <w:rPr>
          <w:rFonts w:hint="default" w:ascii="Times New Roman" w:hAnsi="Times New Roman" w:eastAsia="宋体" w:cs="Times New Roman"/>
          <w:color w:val="000000"/>
          <w:szCs w:val="32"/>
        </w:rPr>
      </w:pPr>
      <w:r>
        <w:rPr>
          <w:rFonts w:hint="default" w:ascii="Times New Roman" w:hAnsi="Times New Roman" w:eastAsia="楷体_GB2312" w:cs="Times New Roman"/>
          <w:bCs/>
          <w:color w:val="000000"/>
          <w:szCs w:val="32"/>
        </w:rPr>
        <w:t>优化港区功能定位。</w:t>
      </w:r>
      <w:r>
        <w:rPr>
          <w:rFonts w:hint="default" w:ascii="Times New Roman" w:hAnsi="Times New Roman" w:cs="Times New Roman"/>
          <w:color w:val="000000"/>
          <w:szCs w:val="32"/>
        </w:rPr>
        <w:t>全面融入全省港口一体化改革发展大局，加强与威海港及其他港区的协同发展，重点发展大宗商品、集装箱中转等业务，积极发展面向日韩等国的货物贸易，加快发展临港仓储、冷链物流、海运商贸等产业，打造胶东半岛和日韩间贸易港。到“十四五”末，建成布局合理、功能完善、绿色环保、港城融合的综合性特色贸易港，力争货物吞吐量达到800万吨、集装箱吞吐量达到10万TEU。</w:t>
      </w:r>
    </w:p>
    <w:p>
      <w:pPr>
        <w:pStyle w:val="53"/>
        <w:spacing w:after="0" w:line="580" w:lineRule="exact"/>
        <w:ind w:left="0" w:leftChars="0" w:firstLine="560" w:firstLineChars="0"/>
        <w:rPr>
          <w:rFonts w:hint="default" w:ascii="Times New Roman" w:hAnsi="Times New Roman" w:eastAsia="宋体" w:cs="Times New Roman"/>
          <w:color w:val="000000"/>
          <w:szCs w:val="32"/>
        </w:rPr>
      </w:pPr>
      <w:r>
        <w:rPr>
          <w:rFonts w:hint="default" w:ascii="Times New Roman" w:hAnsi="Times New Roman" w:eastAsia="楷体_GB2312" w:cs="Times New Roman"/>
          <w:bCs/>
          <w:color w:val="000000"/>
          <w:szCs w:val="32"/>
        </w:rPr>
        <w:t>实施港航扩能工程。</w:t>
      </w:r>
      <w:r>
        <w:rPr>
          <w:rFonts w:hint="default" w:ascii="Times New Roman" w:hAnsi="Times New Roman" w:cs="Times New Roman"/>
          <w:color w:val="000000"/>
          <w:szCs w:val="32"/>
        </w:rPr>
        <w:t>加强港口基础设施建设，加快推进港口扩建和航道工程建设。在乳山港东作业区，规划建设7个2-5万吨级多用途泊位和1个3万吨级客滚泊位，“十四五”期间，重点实施5#、6#泊位工程，建成2个2万吨级多用途泊位，主要实现乳山港集装箱装卸功能。在大乳山作业区，规划建设游船、游艇泊位及配套设施，推进南黄岛</w:t>
      </w:r>
      <w:r>
        <w:rPr>
          <w:rFonts w:hint="default" w:ascii="Times New Roman" w:hAnsi="Times New Roman" w:eastAsia="宋体" w:cs="Times New Roman"/>
          <w:color w:val="000000"/>
          <w:szCs w:val="32"/>
        </w:rPr>
        <w:t>-</w:t>
      </w:r>
      <w:r>
        <w:rPr>
          <w:rFonts w:hint="default" w:ascii="Times New Roman" w:hAnsi="Times New Roman" w:cs="Times New Roman"/>
          <w:color w:val="000000"/>
          <w:szCs w:val="32"/>
        </w:rPr>
        <w:t>挂子场、小青岛</w:t>
      </w:r>
      <w:r>
        <w:rPr>
          <w:rFonts w:hint="default" w:ascii="Times New Roman" w:hAnsi="Times New Roman" w:eastAsia="宋体" w:cs="Times New Roman"/>
          <w:color w:val="000000"/>
          <w:szCs w:val="32"/>
        </w:rPr>
        <w:t>-</w:t>
      </w:r>
      <w:r>
        <w:rPr>
          <w:rFonts w:hint="default" w:ascii="Times New Roman" w:hAnsi="Times New Roman" w:cs="Times New Roman"/>
          <w:color w:val="000000"/>
          <w:szCs w:val="32"/>
        </w:rPr>
        <w:t>旗杆石陆岛交通码头扩建，服务休闲旅游和商贸发展。</w:t>
      </w:r>
    </w:p>
    <w:p>
      <w:pPr>
        <w:pStyle w:val="53"/>
        <w:keepNext w:val="0"/>
        <w:keepLines w:val="0"/>
        <w:pageBreakBefore w:val="0"/>
        <w:widowControl w:val="0"/>
        <w:kinsoku/>
        <w:wordWrap/>
        <w:overflowPunct/>
        <w:topLinePunct w:val="0"/>
        <w:autoSpaceDE/>
        <w:autoSpaceDN/>
        <w:bidi w:val="0"/>
        <w:adjustRightInd/>
        <w:snapToGrid/>
        <w:spacing w:after="0" w:line="580" w:lineRule="exact"/>
        <w:ind w:left="0" w:leftChars="0" w:firstLine="640" w:firstLineChars="200"/>
        <w:textAlignment w:val="auto"/>
        <w:rPr>
          <w:rFonts w:hint="default" w:ascii="Times New Roman" w:hAnsi="Times New Roman" w:eastAsia="宋体" w:cs="Times New Roman"/>
          <w:color w:val="000000"/>
          <w:szCs w:val="32"/>
        </w:rPr>
      </w:pPr>
      <w:r>
        <w:rPr>
          <w:rFonts w:hint="default" w:ascii="Times New Roman" w:hAnsi="Times New Roman" w:eastAsia="楷体_GB2312" w:cs="Times New Roman"/>
          <w:bCs/>
          <w:color w:val="000000"/>
          <w:szCs w:val="32"/>
        </w:rPr>
        <w:t>完善港口集疏运体系。</w:t>
      </w:r>
      <w:r>
        <w:rPr>
          <w:rFonts w:hint="default" w:ascii="Times New Roman" w:hAnsi="Times New Roman" w:cs="Times New Roman"/>
          <w:color w:val="000000"/>
          <w:szCs w:val="32"/>
        </w:rPr>
        <w:t>加强港口集散设施建设，加快实施铁路引入港区工程，提高现有疏港公路等级，实现港口与综合交通运输体系无缝连接；整合提升港口、铁路货场，推进公、铁、水联运，推动港区、铁路货运站与重点园区、物流网络高效连通。加快开发国内国际海上航线，积极拓展内贸航线中转业务，争取开通乳山港至日本、韩国的国际海上货运和集装箱班轮航线。</w:t>
      </w:r>
    </w:p>
    <w:p>
      <w:pPr>
        <w:pStyle w:val="53"/>
        <w:keepNext w:val="0"/>
        <w:keepLines w:val="0"/>
        <w:pageBreakBefore w:val="0"/>
        <w:widowControl w:val="0"/>
        <w:kinsoku/>
        <w:wordWrap/>
        <w:overflowPunct/>
        <w:topLinePunct w:val="0"/>
        <w:autoSpaceDE/>
        <w:autoSpaceDN/>
        <w:bidi w:val="0"/>
        <w:adjustRightInd/>
        <w:snapToGrid/>
        <w:spacing w:after="0" w:line="580" w:lineRule="exact"/>
        <w:ind w:left="0" w:leftChars="0" w:firstLine="640" w:firstLineChars="200"/>
        <w:textAlignment w:val="auto"/>
        <w:rPr>
          <w:rFonts w:hint="default" w:ascii="Times New Roman" w:hAnsi="Times New Roman" w:eastAsia="宋体" w:cs="Times New Roman"/>
          <w:color w:val="000000"/>
          <w:szCs w:val="32"/>
        </w:rPr>
      </w:pPr>
      <w:r>
        <w:rPr>
          <w:rFonts w:hint="default" w:ascii="Times New Roman" w:hAnsi="Times New Roman" w:eastAsia="楷体_GB2312" w:cs="Times New Roman"/>
          <w:bCs/>
          <w:color w:val="000000"/>
          <w:szCs w:val="32"/>
        </w:rPr>
        <w:t>提高运营管理水平。</w:t>
      </w:r>
      <w:r>
        <w:rPr>
          <w:rFonts w:hint="default" w:ascii="Times New Roman" w:hAnsi="Times New Roman" w:cs="Times New Roman"/>
          <w:color w:val="000000"/>
          <w:szCs w:val="32"/>
        </w:rPr>
        <w:t>推进港口物流公共信息平台和服务平台建设，积极与青岛港集团（云港通）以及山东港口集团服务平台衔接融合。加大港口智能化改造力度，运用物联网、大数据、云计算等先进技术，提升港口智慧化水平。提升港口能级，推进港口由传统运输平台向物流平台、信息平台、贸易平台、产业平台、金融平台拓展。着力打造绿色生态港区，加强港口污染物监测和治理，做好港区大气污染、水污染、噪声污染、固体废弃物、油污污染等防治，严格执行船舶污染物排放标准，构建绿色生态屏障，到2025年，绿化面积不低于港区陆域可绿化面积的85%。</w:t>
      </w:r>
    </w:p>
    <w:p>
      <w:pPr>
        <w:widowControl/>
        <w:spacing w:line="580" w:lineRule="exact"/>
        <w:ind w:firstLine="640" w:firstLineChars="200"/>
        <w:jc w:val="left"/>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bCs/>
          <w:color w:val="000000"/>
          <w:sz w:val="32"/>
          <w:szCs w:val="32"/>
        </w:rPr>
        <w:t>推动港产城融合发展。</w:t>
      </w:r>
      <w:r>
        <w:rPr>
          <w:rFonts w:hint="default" w:ascii="Times New Roman" w:hAnsi="Times New Roman" w:eastAsia="仿宋_GB2312" w:cs="Times New Roman"/>
          <w:color w:val="000000"/>
          <w:sz w:val="32"/>
          <w:szCs w:val="32"/>
        </w:rPr>
        <w:t>以港口物流为纽带，带动航运、商贸、临港工业和物流园区发展，打造集现代物流、临港工业、城市生活于一体的新型港区，促进现代化港口城市建设。依托乳山港区，规划建设临港物流园区，打造拥有多功能、可提供优质第三方物流服务的临港物流集聚区。依托临港产业园，大力发展高端装备制造、生物医药、新能源、健康食品冷链物流等临港产业。抢抓汽车后市场发展机遇，加快打造</w:t>
      </w:r>
      <w:r>
        <w:rPr>
          <w:rFonts w:hint="default" w:ascii="Times New Roman" w:hAnsi="Times New Roman" w:eastAsia="仿宋_GB2312" w:cs="Times New Roman"/>
          <w:bCs/>
          <w:color w:val="000000"/>
          <w:kern w:val="36"/>
          <w:sz w:val="32"/>
          <w:szCs w:val="32"/>
        </w:rPr>
        <w:t>二手车贸易基地，配套汽车检测、改造、定价等功能，带动汽车零配件、维修服务出口。</w:t>
      </w:r>
      <w:r>
        <w:rPr>
          <w:rFonts w:hint="default" w:ascii="Times New Roman" w:hAnsi="Times New Roman" w:eastAsia="仿宋_GB2312" w:cs="Times New Roman"/>
          <w:color w:val="000000"/>
          <w:sz w:val="32"/>
          <w:szCs w:val="32"/>
        </w:rPr>
        <w:t>探索发展航运金融保险、船舶和航运经纪、船舶租赁、船舶交易、电商服务等中高端航运服务业，积极开展海运快件、高铁快递、港口供应链金融等业务，推动港口从单一货物装卸港向综合性物流贸易港转变。到2025年，基本形成港区一体、港城联动、港产融合的港口、城市、产业协调发展格局。</w:t>
      </w:r>
    </w:p>
    <w:tbl>
      <w:tblPr>
        <w:tblStyle w:val="20"/>
        <w:tblpPr w:leftFromText="180" w:rightFromText="180" w:vertAnchor="text" w:horzAnchor="page" w:tblpX="1530" w:tblpY="166"/>
        <w:tblOverlap w:val="never"/>
        <w:tblW w:w="90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25" w:type="dxa"/>
            <w:noWrap w:val="0"/>
            <w:vAlign w:val="top"/>
          </w:tcPr>
          <w:p>
            <w:pPr>
              <w:spacing w:line="560" w:lineRule="exact"/>
              <w:jc w:val="center"/>
              <w:rPr>
                <w:rFonts w:hint="default" w:ascii="Times New Roman" w:hAnsi="Times New Roman" w:eastAsia="黑体" w:cs="Times New Roman"/>
                <w:color w:val="000000"/>
                <w:kern w:val="0"/>
                <w:sz w:val="30"/>
                <w:szCs w:val="30"/>
              </w:rPr>
            </w:pPr>
            <w:r>
              <w:rPr>
                <w:rFonts w:hint="default" w:ascii="Times New Roman" w:hAnsi="Times New Roman" w:eastAsia="黑体" w:cs="Times New Roman"/>
                <w:color w:val="000000"/>
                <w:kern w:val="0"/>
                <w:sz w:val="28"/>
                <w:szCs w:val="28"/>
              </w:rPr>
              <w:t>专栏8 海洋强市建设重点项目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25" w:type="dxa"/>
            <w:noWrap w:val="0"/>
            <w:vAlign w:val="top"/>
          </w:tcPr>
          <w:p>
            <w:pPr>
              <w:spacing w:line="360" w:lineRule="exact"/>
              <w:ind w:firstLine="422" w:firstLineChars="200"/>
              <w:rPr>
                <w:rFonts w:hint="default" w:ascii="Times New Roman" w:hAnsi="Times New Roman" w:cs="Times New Roman"/>
                <w:b/>
                <w:bCs w:val="0"/>
                <w:color w:val="000000"/>
                <w:spacing w:val="-2"/>
                <w:kern w:val="0"/>
                <w:szCs w:val="21"/>
              </w:rPr>
            </w:pPr>
            <w:r>
              <w:rPr>
                <w:rFonts w:hint="default" w:ascii="Times New Roman" w:hAnsi="Times New Roman" w:eastAsia="楷体_GB2312" w:cs="Times New Roman"/>
                <w:b/>
                <w:bCs w:val="0"/>
                <w:color w:val="000000"/>
                <w:kern w:val="0"/>
                <w:szCs w:val="21"/>
              </w:rPr>
              <w:t>1.现代海洋渔业重点项目</w:t>
            </w:r>
            <w:r>
              <w:rPr>
                <w:rFonts w:hint="default" w:ascii="Times New Roman" w:hAnsi="Times New Roman" w:cs="Times New Roman"/>
                <w:b/>
                <w:bCs w:val="0"/>
                <w:color w:val="000000"/>
                <w:kern w:val="0"/>
                <w:szCs w:val="21"/>
              </w:rPr>
              <w:t>。</w:t>
            </w:r>
            <w:r>
              <w:rPr>
                <w:rFonts w:hint="default" w:ascii="Times New Roman" w:hAnsi="Times New Roman" w:cs="Times New Roman"/>
                <w:b/>
                <w:bCs w:val="0"/>
                <w:color w:val="000000"/>
                <w:spacing w:val="-2"/>
                <w:kern w:val="0"/>
                <w:szCs w:val="21"/>
              </w:rPr>
              <w:t>重点实施省级农业科技园现代海洋经济示范区项目，现代海洋经济融合发展示范区战略合作项目，南美白对虾现代化养殖基地，海洋牧场示范区，水产品研发与良种扩繁中心，塔岛湾、乳山湾、白沙湾等海域渔业资源修复工程，和尚洞渔人码头改扩建工程，南泓渔港建设工程，陆基标准化基地，牡蛎三倍体育苗研发中心，中国牡蛎产品集散交易中心等项目。</w:t>
            </w:r>
          </w:p>
          <w:p>
            <w:pPr>
              <w:spacing w:line="360" w:lineRule="exact"/>
              <w:ind w:firstLine="422" w:firstLineChars="200"/>
              <w:rPr>
                <w:rFonts w:hint="default" w:ascii="Times New Roman" w:hAnsi="Times New Roman" w:eastAsia="楷体_GB2312" w:cs="Times New Roman"/>
                <w:b/>
                <w:bCs w:val="0"/>
                <w:color w:val="000000"/>
                <w:kern w:val="0"/>
                <w:szCs w:val="21"/>
              </w:rPr>
            </w:pPr>
            <w:r>
              <w:rPr>
                <w:rFonts w:hint="default" w:ascii="Times New Roman" w:hAnsi="Times New Roman" w:eastAsia="楷体_GB2312" w:cs="Times New Roman"/>
                <w:b/>
                <w:bCs w:val="0"/>
                <w:color w:val="000000"/>
                <w:kern w:val="0"/>
                <w:szCs w:val="21"/>
              </w:rPr>
              <w:t>2.海洋生物制品重点项目</w:t>
            </w:r>
          </w:p>
          <w:p>
            <w:pPr>
              <w:spacing w:line="360" w:lineRule="exact"/>
              <w:ind w:firstLine="422" w:firstLineChars="200"/>
              <w:rPr>
                <w:rFonts w:hint="default" w:ascii="Times New Roman" w:hAnsi="Times New Roman" w:cs="Times New Roman"/>
                <w:b/>
                <w:bCs w:val="0"/>
                <w:color w:val="000000"/>
                <w:kern w:val="0"/>
                <w:szCs w:val="21"/>
              </w:rPr>
            </w:pPr>
            <w:r>
              <w:rPr>
                <w:rFonts w:hint="default" w:ascii="Times New Roman" w:hAnsi="Times New Roman" w:cs="Times New Roman"/>
                <w:b/>
                <w:bCs w:val="0"/>
                <w:color w:val="000000"/>
                <w:kern w:val="0"/>
                <w:szCs w:val="21"/>
              </w:rPr>
              <w:t>（1）海洋生物农用制品开发项目。实施海洋多糖和蛋白（肽）类饲料添加剂、动植物专用药、农用生物肥料、海珍品及宠物饲料的开发及产业化示范项目，重点依托温喜生物公司做好藻类特别是浒苔开发利用，生产有机生物肥、宠物饲料；依托金牌生物科技，生产有机海珍品饲料添加剂、微生物制剂、水质净化剂等产品。</w:t>
            </w:r>
          </w:p>
          <w:p>
            <w:pPr>
              <w:spacing w:line="360" w:lineRule="exact"/>
              <w:ind w:firstLine="422" w:firstLineChars="200"/>
              <w:rPr>
                <w:rFonts w:hint="default" w:ascii="Times New Roman" w:hAnsi="Times New Roman" w:cs="Times New Roman"/>
                <w:b/>
                <w:bCs w:val="0"/>
                <w:color w:val="000000"/>
                <w:kern w:val="0"/>
                <w:szCs w:val="21"/>
              </w:rPr>
            </w:pPr>
            <w:r>
              <w:rPr>
                <w:rFonts w:hint="default" w:ascii="Times New Roman" w:hAnsi="Times New Roman" w:cs="Times New Roman"/>
                <w:b/>
                <w:bCs w:val="0"/>
                <w:color w:val="000000"/>
                <w:kern w:val="0"/>
                <w:szCs w:val="21"/>
              </w:rPr>
              <w:t>（2）海洋保健品、功能性食品开发项目。依托温喜生物公司利用鱼皮生产胶原蛋白肽，利用牡蛎壳、鱼骨等加工制成的“海洋钙素”“生物活性钙”，利用浒苔提取浒苔多糖；依托华信集团威海正洋海洋生物技术研究院，开发胶原蛋白肽、生物酶等生物制品。</w:t>
            </w:r>
          </w:p>
          <w:p>
            <w:pPr>
              <w:spacing w:line="360" w:lineRule="exact"/>
              <w:ind w:firstLine="422" w:firstLineChars="200"/>
              <w:rPr>
                <w:rFonts w:hint="default" w:ascii="Times New Roman" w:hAnsi="Times New Roman" w:eastAsia="楷体_GB2312" w:cs="Times New Roman"/>
                <w:b/>
                <w:bCs w:val="0"/>
                <w:color w:val="000000"/>
                <w:kern w:val="0"/>
                <w:szCs w:val="21"/>
              </w:rPr>
            </w:pPr>
            <w:r>
              <w:rPr>
                <w:rFonts w:hint="default" w:ascii="Times New Roman" w:hAnsi="Times New Roman" w:cs="Times New Roman"/>
                <w:b/>
                <w:bCs w:val="0"/>
                <w:color w:val="000000"/>
                <w:kern w:val="0"/>
                <w:szCs w:val="21"/>
              </w:rPr>
              <w:t>3.</w:t>
            </w:r>
            <w:r>
              <w:rPr>
                <w:rFonts w:hint="default" w:ascii="Times New Roman" w:hAnsi="Times New Roman" w:eastAsia="楷体_GB2312" w:cs="Times New Roman"/>
                <w:b/>
                <w:bCs w:val="0"/>
                <w:color w:val="000000"/>
                <w:kern w:val="0"/>
                <w:szCs w:val="21"/>
              </w:rPr>
              <w:t>滨海旅游产品开发重点项目</w:t>
            </w:r>
          </w:p>
          <w:p>
            <w:pPr>
              <w:spacing w:line="360" w:lineRule="exact"/>
              <w:ind w:firstLine="422" w:firstLineChars="200"/>
              <w:rPr>
                <w:rFonts w:hint="default" w:ascii="Times New Roman" w:hAnsi="Times New Roman" w:cs="Times New Roman"/>
                <w:b/>
                <w:bCs w:val="0"/>
                <w:color w:val="000000"/>
                <w:kern w:val="0"/>
                <w:szCs w:val="21"/>
              </w:rPr>
            </w:pPr>
            <w:r>
              <w:rPr>
                <w:rFonts w:hint="default" w:ascii="Times New Roman" w:hAnsi="Times New Roman" w:cs="Times New Roman"/>
                <w:b/>
                <w:bCs w:val="0"/>
                <w:color w:val="000000"/>
                <w:kern w:val="0"/>
                <w:szCs w:val="21"/>
              </w:rPr>
              <w:t>（1）养生度假产品开发。以银滩、大乳山为承载区，立足优质海洋生态资源，完善服务设施配套，打响“母爱圣地·美好乳山”品牌。推进福如东海文化园、多福山景区等企业继续投入开发新的旅游项目，提升旅游吸引力。推动宫家岛、小青岛、南黄岛等岛屿整体开发，打造高端休闲养生度假产品。</w:t>
            </w:r>
          </w:p>
          <w:p>
            <w:pPr>
              <w:spacing w:line="360" w:lineRule="exact"/>
              <w:ind w:firstLine="422" w:firstLineChars="200"/>
              <w:rPr>
                <w:rFonts w:hint="default" w:ascii="Times New Roman" w:hAnsi="Times New Roman" w:cs="Times New Roman"/>
                <w:b/>
                <w:bCs w:val="0"/>
                <w:color w:val="000000"/>
                <w:kern w:val="0"/>
                <w:szCs w:val="21"/>
              </w:rPr>
            </w:pPr>
            <w:r>
              <w:rPr>
                <w:rFonts w:hint="default" w:ascii="Times New Roman" w:hAnsi="Times New Roman" w:cs="Times New Roman"/>
                <w:b/>
                <w:bCs w:val="0"/>
                <w:color w:val="000000"/>
                <w:kern w:val="0"/>
                <w:szCs w:val="21"/>
              </w:rPr>
              <w:t>（2）休闲观光产品开发。加快发展牡蛎小镇、精品民宿、特色渔家乐、海上垂钓、海洋牧场休闲观光等项目，积极发展休闲渔业，建设海上多功能平台和休闲体验网箱，到2025年，打造8处以上省级休闲渔业公园。</w:t>
            </w:r>
          </w:p>
          <w:p>
            <w:pPr>
              <w:spacing w:line="360" w:lineRule="exact"/>
              <w:ind w:firstLine="422" w:firstLineChars="200"/>
              <w:rPr>
                <w:rFonts w:hint="default" w:ascii="Times New Roman" w:hAnsi="Times New Roman" w:cs="Times New Roman"/>
                <w:b/>
                <w:bCs w:val="0"/>
                <w:color w:val="000000"/>
                <w:kern w:val="0"/>
                <w:szCs w:val="21"/>
              </w:rPr>
            </w:pPr>
            <w:r>
              <w:rPr>
                <w:rFonts w:hint="default" w:ascii="Times New Roman" w:hAnsi="Times New Roman" w:cs="Times New Roman"/>
                <w:b/>
                <w:bCs w:val="0"/>
                <w:color w:val="000000"/>
                <w:kern w:val="0"/>
                <w:szCs w:val="21"/>
              </w:rPr>
              <w:t>（3）海钓产品开发。以小青岛、南黄岛、汇岛为起步区，开发矶钓、船钓等海钓产品，在汇岛、宫家岛、小青岛打造海钓基地，重点推进华信公司以海洋牧场平台为依托，成立海钓俱乐部，建设海上休闲垂钓中心，新增海岸垂钓平台，组建海上垂钓船队，打造北方一流的海钓基地。</w:t>
            </w:r>
          </w:p>
          <w:p>
            <w:pPr>
              <w:spacing w:line="360" w:lineRule="exact"/>
              <w:ind w:firstLine="422" w:firstLineChars="200"/>
              <w:rPr>
                <w:rFonts w:hint="default" w:ascii="Times New Roman" w:hAnsi="Times New Roman" w:cs="Times New Roman"/>
                <w:b/>
                <w:bCs w:val="0"/>
                <w:color w:val="000000"/>
                <w:kern w:val="0"/>
                <w:szCs w:val="21"/>
              </w:rPr>
            </w:pPr>
            <w:r>
              <w:rPr>
                <w:rFonts w:hint="default" w:ascii="Times New Roman" w:hAnsi="Times New Roman" w:cs="Times New Roman"/>
                <w:b/>
                <w:bCs w:val="0"/>
                <w:color w:val="000000"/>
                <w:kern w:val="0"/>
                <w:szCs w:val="21"/>
              </w:rPr>
              <w:t>（4）海上游乐产品开发。引进海上旅游综合体，对海上旅游进行集中开发，建设大型海上游乐场，开发丰富海岛旅游、海洋餐饮、海上会议、风情演艺、海上婚礼、拓展训练等旅游产品。</w:t>
            </w:r>
          </w:p>
          <w:p>
            <w:pPr>
              <w:spacing w:line="360" w:lineRule="exact"/>
              <w:ind w:firstLine="422" w:firstLineChars="200"/>
              <w:rPr>
                <w:rFonts w:hint="default" w:ascii="Times New Roman" w:hAnsi="Times New Roman" w:cs="Times New Roman"/>
                <w:b/>
                <w:bCs w:val="0"/>
                <w:color w:val="000000"/>
                <w:kern w:val="0"/>
                <w:szCs w:val="21"/>
              </w:rPr>
            </w:pPr>
            <w:r>
              <w:rPr>
                <w:rFonts w:hint="default" w:ascii="Times New Roman" w:hAnsi="Times New Roman" w:cs="Times New Roman"/>
                <w:b/>
                <w:bCs w:val="0"/>
                <w:color w:val="000000"/>
                <w:kern w:val="0"/>
                <w:szCs w:val="21"/>
              </w:rPr>
              <w:t>（5）海上运动产品开发。结合大乳山滨海旅游度假区、银滩旅游度假区、多福山景区等滨海景观的人文和自然优势资源，引入攀岩、礁岛探险、海上漂流、滑翔伞、潜水等休闲体育运动项目，打造以银滩为核心的海洋户外运动集聚区，构建滨海景观休闲体育产业带。</w:t>
            </w:r>
          </w:p>
          <w:p>
            <w:pPr>
              <w:spacing w:line="360" w:lineRule="exact"/>
              <w:ind w:firstLine="422" w:firstLineChars="200"/>
              <w:rPr>
                <w:rFonts w:hint="default" w:ascii="Times New Roman" w:hAnsi="Times New Roman" w:eastAsia="楷体_GB2312" w:cs="Times New Roman"/>
                <w:b/>
                <w:bCs w:val="0"/>
                <w:color w:val="000000"/>
                <w:kern w:val="0"/>
                <w:szCs w:val="21"/>
              </w:rPr>
            </w:pPr>
            <w:r>
              <w:rPr>
                <w:rFonts w:hint="default" w:ascii="Times New Roman" w:hAnsi="Times New Roman" w:eastAsia="楷体_GB2312" w:cs="Times New Roman"/>
                <w:b/>
                <w:bCs w:val="0"/>
                <w:color w:val="000000"/>
                <w:kern w:val="0"/>
                <w:szCs w:val="21"/>
              </w:rPr>
              <w:t>4.港航建设项目</w:t>
            </w:r>
          </w:p>
          <w:p>
            <w:pPr>
              <w:spacing w:line="360" w:lineRule="exact"/>
              <w:ind w:firstLine="422" w:firstLineChars="200"/>
              <w:rPr>
                <w:rFonts w:hint="default" w:ascii="Times New Roman" w:hAnsi="Times New Roman" w:cs="Times New Roman"/>
                <w:color w:val="000000"/>
                <w:kern w:val="0"/>
                <w:sz w:val="24"/>
                <w:szCs w:val="24"/>
              </w:rPr>
            </w:pPr>
            <w:r>
              <w:rPr>
                <w:rFonts w:hint="default" w:ascii="Times New Roman" w:hAnsi="Times New Roman" w:cs="Times New Roman"/>
                <w:b/>
                <w:bCs w:val="0"/>
                <w:color w:val="000000"/>
                <w:kern w:val="0"/>
                <w:szCs w:val="21"/>
              </w:rPr>
              <w:t>实施港区5#6#泊位工程，建设2万吨级泊位2个；建设乳山港区游艇码头1处，500吨级。实施南黄岛-挂子场陆岛交通码头扩建工程，2*500吨级。实施小青岛-旗杆石陆岛交通码头扩建工程，2*500吨级。</w:t>
            </w:r>
          </w:p>
        </w:tc>
      </w:tr>
    </w:tbl>
    <w:p>
      <w:pPr>
        <w:spacing w:before="156" w:beforeLines="50" w:after="156" w:afterLines="50" w:line="560" w:lineRule="exact"/>
        <w:jc w:val="center"/>
        <w:outlineLvl w:val="0"/>
        <w:rPr>
          <w:rFonts w:hint="default" w:ascii="Times New Roman" w:hAnsi="Times New Roman" w:eastAsia="黑体" w:cs="Times New Roman"/>
          <w:bCs/>
          <w:color w:val="000000"/>
          <w:sz w:val="34"/>
          <w:szCs w:val="34"/>
        </w:rPr>
      </w:pPr>
      <w:r>
        <w:rPr>
          <w:rFonts w:hint="default" w:ascii="Times New Roman" w:hAnsi="Times New Roman" w:eastAsia="黑体" w:cs="Times New Roman"/>
          <w:bCs/>
          <w:color w:val="000000"/>
          <w:sz w:val="34"/>
          <w:szCs w:val="34"/>
        </w:rPr>
        <w:br w:type="page"/>
      </w:r>
      <w:bookmarkStart w:id="51" w:name="_Toc62919432"/>
      <w:r>
        <w:rPr>
          <w:rFonts w:hint="default" w:ascii="Times New Roman" w:hAnsi="Times New Roman" w:eastAsia="黑体" w:cs="Times New Roman"/>
          <w:bCs/>
          <w:color w:val="000000"/>
          <w:sz w:val="34"/>
          <w:szCs w:val="34"/>
        </w:rPr>
        <w:t>第六章 深化改革扩大开放 积极融入新发展格局</w:t>
      </w:r>
      <w:bookmarkEnd w:id="51"/>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实施“开放活市”战略，坚持扩大内需与稳定外需并重、扩大消费与优化投资并行，全面深化体制机制改革，努力拓展开放发展空间，积极融入以国内大循环为主体、国内国际双循环相互促进的新发展格局。</w:t>
      </w:r>
    </w:p>
    <w:p>
      <w:pPr>
        <w:spacing w:before="156" w:beforeLines="50" w:after="156" w:afterLines="50" w:line="560" w:lineRule="exact"/>
        <w:jc w:val="center"/>
        <w:outlineLvl w:val="1"/>
        <w:rPr>
          <w:rFonts w:hint="default" w:ascii="Times New Roman" w:hAnsi="Times New Roman" w:eastAsia="黑体" w:cs="Times New Roman"/>
          <w:color w:val="000000"/>
          <w:sz w:val="32"/>
          <w:szCs w:val="32"/>
        </w:rPr>
      </w:pPr>
      <w:bookmarkStart w:id="52" w:name="_Toc62919433"/>
      <w:bookmarkStart w:id="53" w:name="_Toc54561638"/>
      <w:bookmarkStart w:id="54" w:name="_Toc54561637"/>
      <w:r>
        <w:rPr>
          <w:rFonts w:hint="default" w:ascii="Times New Roman" w:hAnsi="Times New Roman" w:eastAsia="黑体" w:cs="Times New Roman"/>
          <w:color w:val="000000"/>
          <w:sz w:val="32"/>
          <w:szCs w:val="32"/>
        </w:rPr>
        <w:t>第一节 释放居民消费潜力</w:t>
      </w:r>
      <w:bookmarkEnd w:id="52"/>
      <w:bookmarkEnd w:id="53"/>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坚持以消费升级为引领，充分发挥消费基础性作用，进一步提升消费品质、优化消费结构、扩大内需潜力。“十四五”期间社会消费品零售总额年均增长5%左右。</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促进实物消费提档升级。</w:t>
      </w:r>
      <w:r>
        <w:rPr>
          <w:rFonts w:hint="default" w:ascii="Times New Roman" w:hAnsi="Times New Roman" w:eastAsia="仿宋_GB2312" w:cs="Times New Roman"/>
          <w:color w:val="000000"/>
          <w:sz w:val="32"/>
          <w:szCs w:val="32"/>
        </w:rPr>
        <w:t>围绕居民住行消费升级方向，满足居民多层次住房需求，促进出行消费优化，发展壮大绿色消费，积极培育中高端消费市场。促进汽车消费优化升级，完善充电桩、加氢站规划布局，落实好各类新能源汽车补贴政策和基础设施建设奖补政策，深度挖掘二手车交易等汽车后市场潜力。探索家电新型消费模式，加快建立家电回收利用循环利用体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培育消费新热点新模式。</w:t>
      </w:r>
      <w:r>
        <w:rPr>
          <w:rFonts w:hint="default" w:ascii="Times New Roman" w:hAnsi="Times New Roman" w:eastAsia="仿宋_GB2312" w:cs="Times New Roman"/>
          <w:color w:val="000000"/>
          <w:sz w:val="32"/>
          <w:szCs w:val="32"/>
        </w:rPr>
        <w:t>大力发展定制消费、体验消费、智能消费、时尚消费等个性化、品质化消费，积极培育健康养生、文化旅游、信息消费等消费热点，推动消费市场分层、领域细分、多点爆发。繁荣发展夜间经济，积极开展夜间消费体验活动，着力打造夜间经济聚集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营造良好消费环境。</w:t>
      </w:r>
      <w:r>
        <w:rPr>
          <w:rFonts w:hint="default" w:ascii="Times New Roman" w:hAnsi="Times New Roman" w:eastAsia="仿宋_GB2312" w:cs="Times New Roman"/>
          <w:color w:val="000000"/>
          <w:sz w:val="32"/>
          <w:szCs w:val="32"/>
        </w:rPr>
        <w:t>鼓励和规范消费金融创新，提升金融对扩大消费的促进作用。开展质量提升专项行动，健全产品和服务标准体系，实施网络消费、服务消费、品牌消费和民生领域消费放心工程。扩大内外销产品“同线同标同质”实施范围，支持出品企业拓展内销市场。探索建立消费领域企业信誉等级评价制度，完善消费者维权机制。</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outlineLvl w:val="1"/>
        <w:rPr>
          <w:rFonts w:hint="default" w:ascii="Times New Roman" w:hAnsi="Times New Roman" w:eastAsia="黑体" w:cs="Times New Roman"/>
          <w:color w:val="000000"/>
          <w:sz w:val="32"/>
          <w:szCs w:val="32"/>
        </w:rPr>
      </w:pPr>
      <w:bookmarkStart w:id="55" w:name="_Toc62919434"/>
      <w:r>
        <w:rPr>
          <w:rFonts w:hint="default" w:ascii="Times New Roman" w:hAnsi="Times New Roman" w:eastAsia="黑体" w:cs="Times New Roman"/>
          <w:color w:val="000000"/>
          <w:sz w:val="32"/>
          <w:szCs w:val="32"/>
        </w:rPr>
        <w:t>第二节</w:t>
      </w:r>
      <w:bookmarkEnd w:id="54"/>
      <w:r>
        <w:rPr>
          <w:rFonts w:hint="default" w:ascii="Times New Roman" w:hAnsi="Times New Roman" w:eastAsia="黑体" w:cs="Times New Roman"/>
          <w:color w:val="000000"/>
          <w:sz w:val="32"/>
          <w:szCs w:val="32"/>
        </w:rPr>
        <w:t xml:space="preserve"> 拓展有效投资空间</w:t>
      </w:r>
      <w:bookmarkEnd w:id="5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充分发挥投资对优化供给结构关键性作用，以重大项目为载体，以要素供给为保障，进一步优化投资环境，完善投资布局，转变投资增长模式，持续增强发展后劲。“十四五”期间固定资产投资年均增长4%左右。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调整优化投资结构。</w:t>
      </w:r>
      <w:r>
        <w:rPr>
          <w:rFonts w:hint="default" w:ascii="Times New Roman" w:hAnsi="Times New Roman" w:eastAsia="仿宋_GB2312" w:cs="Times New Roman"/>
          <w:color w:val="000000"/>
          <w:sz w:val="32"/>
          <w:szCs w:val="32"/>
        </w:rPr>
        <w:t>聚焦关键领域和薄弱环节，加大对先进制造业、现代服务业、新兴产业、重大基础设施投入力度，引导投资更多投向重点开发区域、产业园区，进一步优化投向、提升投效。推进新型城镇化建设，加大精致城市建设投资，开展农村人居环境整治。</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强化投资要素保障。</w:t>
      </w:r>
      <w:r>
        <w:rPr>
          <w:rFonts w:hint="default" w:ascii="Times New Roman" w:hAnsi="Times New Roman" w:eastAsia="仿宋_GB2312" w:cs="Times New Roman"/>
          <w:color w:val="000000"/>
          <w:sz w:val="32"/>
          <w:szCs w:val="32"/>
        </w:rPr>
        <w:t>落实“要素跟着项目走”保障机制，提高资源配置效率。推动要素安排和发展需求精准匹配，统筹人才、资金、土地、能耗、污染物排放总量替代指标以及市政配套、重大协调服务等要素，优先保障和倾斜支持重点领域和重大项目建设，解决项目建设面临的要素瓶颈制约，发挥好有效投资在经济发展中的关键作用。</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激发民间投资活力。</w:t>
      </w:r>
      <w:r>
        <w:rPr>
          <w:rFonts w:hint="default" w:ascii="Times New Roman" w:hAnsi="Times New Roman" w:eastAsia="仿宋_GB2312" w:cs="Times New Roman"/>
          <w:color w:val="000000"/>
          <w:sz w:val="32"/>
          <w:szCs w:val="32"/>
        </w:rPr>
        <w:t>认真落实国家和省关于鼓励社会投资的政策意见，有效撬动民间资本参与重点领域建设。完善政府核准投资项目目录制度，合理界定政府投资范围，创新和丰富政府调控手段，引导推动社会资金脱虚向实。鼓励政府和社会资本合作，在基础设施建设和公共服务领域广泛开展PPP模式。</w:t>
      </w:r>
    </w:p>
    <w:p>
      <w:pPr>
        <w:spacing w:before="156" w:beforeLines="50" w:after="156" w:afterLines="50" w:line="560" w:lineRule="exact"/>
        <w:jc w:val="center"/>
        <w:outlineLvl w:val="1"/>
        <w:rPr>
          <w:rFonts w:hint="default" w:ascii="Times New Roman" w:hAnsi="Times New Roman" w:eastAsia="黑体" w:cs="Times New Roman"/>
          <w:color w:val="000000"/>
          <w:sz w:val="32"/>
          <w:szCs w:val="32"/>
        </w:rPr>
      </w:pPr>
      <w:bookmarkStart w:id="56" w:name="_Toc54561631"/>
      <w:bookmarkStart w:id="57" w:name="_Toc62919435"/>
      <w:bookmarkStart w:id="58" w:name="_Toc54561639"/>
      <w:r>
        <w:rPr>
          <w:rFonts w:hint="default" w:ascii="Times New Roman" w:hAnsi="Times New Roman" w:eastAsia="黑体" w:cs="Times New Roman"/>
          <w:color w:val="000000"/>
          <w:sz w:val="32"/>
          <w:szCs w:val="32"/>
        </w:rPr>
        <w:t>第三节 激发市场主体活力</w:t>
      </w:r>
      <w:bookmarkEnd w:id="56"/>
      <w:bookmarkEnd w:id="57"/>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巩固和发展公有制经济，鼓励、支持、引导非公有制经济发展，加快形成统一开放、竞争有序的市场体系，促进各类市场主体平等竞争、共同发展。</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激发国有经济活力。</w:t>
      </w:r>
      <w:r>
        <w:rPr>
          <w:rFonts w:hint="default" w:ascii="Times New Roman" w:hAnsi="Times New Roman" w:eastAsia="仿宋_GB2312" w:cs="Times New Roman"/>
          <w:color w:val="000000"/>
          <w:sz w:val="32"/>
          <w:szCs w:val="32"/>
        </w:rPr>
        <w:t>坚持突出主业、做优做强，进一步理顺体制、激发活力，促进国有企业转型升级。加快建立现代企业制度，完善国有资产管理体制。加快完善国有企业法人治理结构和市场化经营机制，强化国有资产保值增值考核和重大损失责任追究激励约束机制。</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支持民营经济发展。</w:t>
      </w:r>
      <w:r>
        <w:rPr>
          <w:rFonts w:hint="default" w:ascii="Times New Roman" w:hAnsi="Times New Roman" w:eastAsia="仿宋_GB2312" w:cs="Times New Roman"/>
          <w:color w:val="000000"/>
          <w:sz w:val="32"/>
          <w:szCs w:val="32"/>
        </w:rPr>
        <w:t>实施公平统一的市场监管制度，强化公平竞争审查制度刚性约束，持续清理和废除妨碍统一市场和公平竞争的各种规定和做法。鼓励民营资本参与战略性新兴产业和重大基础设施建设。实施民营企业精准帮扶工程，健全支持中小微企业发展制度，建立企业紧急事态应对制度，落实纾困惠企政策。</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推进要素市场化改革。</w:t>
      </w:r>
      <w:r>
        <w:rPr>
          <w:rFonts w:hint="default" w:ascii="Times New Roman" w:hAnsi="Times New Roman" w:eastAsia="仿宋_GB2312" w:cs="Times New Roman"/>
          <w:color w:val="000000"/>
          <w:sz w:val="32"/>
          <w:szCs w:val="32"/>
        </w:rPr>
        <w:t>依托全省统一的建设用地市场，完善城乡建设用地增减挂钩政策，盘活存量土地和低效用地，推进产业用地市场化配置改革，强化“亩产效益”评价。优化金融资源配置，扩大直接融资比重，提高制造业、中小微企业及三农融资可得性。健全人力资源市场体系，完善技术技能评价制度，畅通劳动力和人才社会性流动。拓展公共资源交易平台功能，健全科技成果交易平台，培育大数据交易市场，研究制定各类要素市场交易管理制度。</w:t>
      </w:r>
    </w:p>
    <w:p>
      <w:pPr>
        <w:spacing w:before="156" w:beforeLines="50" w:after="156" w:afterLines="50" w:line="560" w:lineRule="exact"/>
        <w:jc w:val="center"/>
        <w:outlineLvl w:val="1"/>
        <w:rPr>
          <w:rFonts w:hint="default" w:ascii="Times New Roman" w:hAnsi="Times New Roman" w:eastAsia="黑体" w:cs="Times New Roman"/>
          <w:color w:val="000000"/>
          <w:sz w:val="32"/>
          <w:szCs w:val="32"/>
        </w:rPr>
      </w:pPr>
      <w:bookmarkStart w:id="59" w:name="_Toc54561632"/>
      <w:bookmarkStart w:id="60" w:name="_Toc62919436"/>
      <w:r>
        <w:rPr>
          <w:rFonts w:hint="default" w:ascii="Times New Roman" w:hAnsi="Times New Roman" w:eastAsia="黑体" w:cs="Times New Roman"/>
          <w:color w:val="000000"/>
          <w:sz w:val="32"/>
          <w:szCs w:val="32"/>
        </w:rPr>
        <w:t>第四节 着力优化营商环境</w:t>
      </w:r>
      <w:bookmarkEnd w:id="59"/>
      <w:bookmarkEnd w:id="60"/>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深化行政管理体制改革，坚持问题导向、需求导向，更加注重“用户思维、客户体验”，打造接轨国际的一流营商环境。</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提升政府服务效能。</w:t>
      </w:r>
      <w:r>
        <w:rPr>
          <w:rFonts w:hint="default" w:ascii="Times New Roman" w:hAnsi="Times New Roman" w:eastAsia="仿宋_GB2312" w:cs="Times New Roman"/>
          <w:color w:val="000000"/>
          <w:sz w:val="32"/>
          <w:szCs w:val="32"/>
        </w:rPr>
        <w:t>树立整体政府理念，建立跨部门协调工作机制，明确责任链分界点、衔接点，防止政出多门、政策效应相互抵消，切实提高政府执行力。全面提高各类政府性资金、资产、资源的统筹管理和运作水平，将财政资金更多用于新旧动能转换、培育产业集群、引进重大项目等实体经济发展。</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深化行政审批制度改革。</w:t>
      </w:r>
      <w:r>
        <w:rPr>
          <w:rFonts w:hint="default" w:ascii="Times New Roman" w:hAnsi="Times New Roman" w:eastAsia="仿宋_GB2312" w:cs="Times New Roman"/>
          <w:color w:val="000000"/>
          <w:sz w:val="32"/>
          <w:szCs w:val="32"/>
        </w:rPr>
        <w:t>加大简政放权、放管结合力度，大力推行容缺受理、告知承诺、并联审批、预约办理、上门服务等制度，全面推行“一窗受理·一次办好”，打造“一链办理”主题服务，扩大全域通办事项范围，统一规范政务服务事项办理标准。大力推进“互联网+政务服务”，加强山东政务服务网（乳山）平台建设，通过互联网端、移动终端、自助终端等智能化办事渠道，实现省市县镇村五级政务服务事项“一网通办”。</w:t>
      </w:r>
    </w:p>
    <w:p>
      <w:pPr>
        <w:spacing w:line="560" w:lineRule="exact"/>
        <w:ind w:firstLine="641"/>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bCs/>
          <w:color w:val="000000"/>
          <w:sz w:val="32"/>
          <w:szCs w:val="32"/>
        </w:rPr>
        <w:t>降低实体经济成本。</w:t>
      </w:r>
      <w:r>
        <w:rPr>
          <w:rFonts w:hint="default" w:ascii="Times New Roman" w:hAnsi="Times New Roman" w:eastAsia="仿宋_GB2312" w:cs="Times New Roman"/>
          <w:color w:val="000000"/>
          <w:sz w:val="32"/>
          <w:szCs w:val="32"/>
        </w:rPr>
        <w:t>全面落实减税降费政策，巩固和拓展减税降费成效。进一步完善政府解决企业难题直通车制度。落实企业用能优惠价格政策，落实电力市场化交易政策，扩大交易规模，推动降低企业生产经营成本。规范和行使行政处罚自由裁量权，防止出现“一刀切”。严查各类涉企乱收费行为，建立完善投诉举报查处机制。</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优化外商投资软环境。</w:t>
      </w:r>
      <w:r>
        <w:rPr>
          <w:rFonts w:hint="default" w:ascii="Times New Roman" w:hAnsi="Times New Roman" w:eastAsia="仿宋_GB2312" w:cs="Times New Roman"/>
          <w:color w:val="000000"/>
          <w:sz w:val="32"/>
          <w:szCs w:val="32"/>
        </w:rPr>
        <w:t>进一步完善国际学校、涉外门诊、双语标志、自助导游等服务体系，</w:t>
      </w:r>
      <w:r>
        <w:rPr>
          <w:rFonts w:hint="default" w:ascii="Times New Roman" w:hAnsi="Times New Roman" w:eastAsia="仿宋_GB2312" w:cs="Times New Roman"/>
          <w:color w:val="000000"/>
          <w:spacing w:val="6"/>
          <w:sz w:val="32"/>
          <w:szCs w:val="32"/>
        </w:rPr>
        <w:t>在城市建设、地理标志、文化教育、医疗服务、休闲旅游、社会管理等方面与国际化标准接轨；大力完善国际化生活服务，在滨海新区规划</w:t>
      </w:r>
      <w:r>
        <w:rPr>
          <w:rFonts w:hint="default" w:ascii="Times New Roman" w:hAnsi="Times New Roman" w:eastAsia="仿宋_GB2312" w:cs="Times New Roman"/>
          <w:color w:val="000000"/>
          <w:sz w:val="32"/>
          <w:szCs w:val="32"/>
        </w:rPr>
        <w:t>建设一批国际化生活社区；畅通境外人员来乳通道，为商务人员等提供出入境通关便利。</w:t>
      </w:r>
    </w:p>
    <w:p>
      <w:pPr>
        <w:spacing w:line="560" w:lineRule="exact"/>
        <w:ind w:firstLine="640" w:firstLineChars="200"/>
        <w:rPr>
          <w:rFonts w:hint="default" w:ascii="Times New Roman" w:hAnsi="Times New Roman" w:eastAsia="仿宋" w:cs="Times New Roman"/>
          <w:color w:val="000000"/>
          <w:sz w:val="32"/>
          <w:szCs w:val="32"/>
        </w:rPr>
      </w:pPr>
      <w:r>
        <w:rPr>
          <w:rFonts w:hint="default" w:ascii="Times New Roman" w:hAnsi="Times New Roman" w:eastAsia="楷体_GB2312" w:cs="Times New Roman"/>
          <w:color w:val="000000"/>
          <w:sz w:val="32"/>
          <w:szCs w:val="32"/>
        </w:rPr>
        <w:t>深化开发区体制机制改革创新。</w:t>
      </w:r>
      <w:r>
        <w:rPr>
          <w:rFonts w:hint="default" w:ascii="Times New Roman" w:hAnsi="Times New Roman" w:eastAsia="仿宋_GB2312" w:cs="Times New Roman"/>
          <w:color w:val="000000"/>
          <w:sz w:val="32"/>
          <w:szCs w:val="32"/>
        </w:rPr>
        <w:t>加快建立更加精简高效的管理体制、更加灵活实用的开发运营机制、更加激励竞争的干部人事管理制度、更加系统集成的政策支持体系，全面提升开发区开放发展平台功能。适时启动滨海新区体制机制改革，采取“小管委+大公司”管理运行模式，对机构设置、薪酬激励、队伍建设等进行全面理顺，以企业理念、市场手段破解体制难题。</w:t>
      </w:r>
    </w:p>
    <w:p>
      <w:pPr>
        <w:spacing w:before="156" w:beforeLines="50" w:after="156" w:afterLines="50" w:line="560" w:lineRule="exact"/>
        <w:jc w:val="center"/>
        <w:outlineLvl w:val="1"/>
        <w:rPr>
          <w:rFonts w:hint="default" w:ascii="Times New Roman" w:hAnsi="Times New Roman" w:eastAsia="黑体" w:cs="Times New Roman"/>
          <w:color w:val="000000"/>
          <w:sz w:val="32"/>
          <w:szCs w:val="32"/>
        </w:rPr>
      </w:pPr>
      <w:bookmarkStart w:id="61" w:name="_Toc62919437"/>
      <w:r>
        <w:rPr>
          <w:rFonts w:hint="default" w:ascii="Times New Roman" w:hAnsi="Times New Roman" w:eastAsia="黑体" w:cs="Times New Roman"/>
          <w:color w:val="000000"/>
          <w:sz w:val="32"/>
          <w:szCs w:val="32"/>
        </w:rPr>
        <w:t>第五节 深化对内对外开放</w:t>
      </w:r>
      <w:bookmarkEnd w:id="61"/>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综合发挥区位、经济、文化等优势，深化对内对外开放，着力构建合作共赢的开放格局，努力拓展开放发展空间。“十四五”期间外贸进出口、实际</w:t>
      </w:r>
      <w:r>
        <w:rPr>
          <w:rFonts w:hint="default" w:ascii="Times New Roman" w:hAnsi="Times New Roman" w:eastAsia="仿宋_GB2312" w:cs="Times New Roman"/>
          <w:color w:val="000000"/>
          <w:sz w:val="32"/>
          <w:szCs w:val="32"/>
          <w:lang w:eastAsia="zh-CN"/>
        </w:rPr>
        <w:t>到账</w:t>
      </w:r>
      <w:r>
        <w:rPr>
          <w:rFonts w:hint="default" w:ascii="Times New Roman" w:hAnsi="Times New Roman" w:eastAsia="仿宋_GB2312" w:cs="Times New Roman"/>
          <w:color w:val="000000"/>
          <w:sz w:val="32"/>
          <w:szCs w:val="32"/>
        </w:rPr>
        <w:t>外资年均增长2%左右。</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推动外贸提质增效。</w:t>
      </w:r>
      <w:r>
        <w:rPr>
          <w:rFonts w:hint="default" w:ascii="Times New Roman" w:hAnsi="Times New Roman" w:eastAsia="仿宋_GB2312" w:cs="Times New Roman"/>
          <w:color w:val="000000"/>
          <w:sz w:val="32"/>
          <w:szCs w:val="32"/>
        </w:rPr>
        <w:t>加强对重点行业进出口的分类指导，以华隆食品、力久电机、双连制动等企业为重点，提升精深加工能力和特色发展水平，着力扩大机电产品、高新技术产品出口。优化贸易方式结构，引导华信食品、伯特利汽车、佰德信新材料等企业做强一般贸易，扩大振华海洋食品、宏伟食品、福强水产等企业一般贸易规模，提升一般贸易出口产品的附加值。充分利用威海“国家服务贸易创新发展试点城市”优势，大力发展服务贸易，重点突破信息技术服务、海洋相关服务、健康医疗及中医药服务、文化服务四个领域。积极发展业务流程外包和知识流程外包等多领域服务外包。利用威海市跨境电商综合试验区有利条件，壮大跨境电子商务规模，支持企业建设公共海外仓、自建海外仓及海外运营中心，引导海外代购、直播带货等通过跨境电商渠道规范化发展。积极拓展多元国际市场，借助区域全面经济伙伴关系协定（RCEP）带来的机遇，有针对性地加强同东盟、日本、韩国、澳大利亚、新西兰的贸易合作。</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提升利用外资规模和质量。</w:t>
      </w:r>
      <w:r>
        <w:rPr>
          <w:rFonts w:hint="default" w:ascii="Times New Roman" w:hAnsi="Times New Roman" w:eastAsia="仿宋_GB2312" w:cs="Times New Roman"/>
          <w:color w:val="000000"/>
          <w:sz w:val="32"/>
          <w:szCs w:val="32"/>
        </w:rPr>
        <w:t>建立完善“专业化招商、市场化运作、职能化服务”招商促进机制，突出重点招商区域，坚持深耕日韩、拓展欧美、提升港澳台，瞄准日本新一代信息技术、韩国智能制造和医疗健康、欧美先进装备与新材料等优势行业加大对接推介，主攻产业链招商、总部招商，实现引资引技引智相结合，加快引进一批龙头型、基地型战略投资项目。创新利用外资方式，大力引进国际创业和股权投资，积极稳妥推进外资并购，引导和支持现有外资企业增资扩股。着力引进现代服务业外资项目，围绕我市重点发展的健康养生、文化旅游、现代物流等产业，引进一批服务业大企业和高端服务业人才。</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auto"/>
          <w:sz w:val="32"/>
          <w:szCs w:val="32"/>
        </w:rPr>
        <w:t>深度参与</w:t>
      </w:r>
      <w:r>
        <w:rPr>
          <w:rFonts w:hint="default" w:ascii="Times New Roman" w:hAnsi="Times New Roman" w:eastAsia="楷体_GB2312" w:cs="Times New Roman"/>
          <w:color w:val="000000"/>
          <w:sz w:val="32"/>
          <w:szCs w:val="32"/>
        </w:rPr>
        <w:t>中韩自贸区地方经济合作示范区建设。</w:t>
      </w:r>
      <w:r>
        <w:rPr>
          <w:rFonts w:hint="default" w:ascii="Times New Roman" w:hAnsi="Times New Roman" w:eastAsia="仿宋_GB2312" w:cs="Times New Roman"/>
          <w:color w:val="000000"/>
          <w:sz w:val="32"/>
          <w:szCs w:val="32"/>
        </w:rPr>
        <w:t>借助乳山港获批一类口岸的有利契机，开通与仁川、釜山等港口的国际海运航线，积极融入威海—仁川“四港联动”，推动物流一体化发展，实现海陆空多式联运，共同打造双向物流黄金通道；发展中韩集装箱联运、国际中转、物流配送、采购转口贸易和出口加工等综合性业务，建设一批商品交易中心、进口直购体验中心、免税店、韩国工厂全国直营连锁店等平台，加快推进福如东海韩国城等项目建设，打造中韩商品交易集散中心和中转枢纽。借助威海“国家农产品质量安全市”招牌，推动农海优势产品出口，探索与韩国开展货物通关、检验检测认证、原产地证书核查等方面合作，打造山东农海产品出口韩国的重要基地。</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积极融入“一带一路”建设。</w:t>
      </w:r>
      <w:r>
        <w:rPr>
          <w:rFonts w:hint="default" w:ascii="Times New Roman" w:hAnsi="Times New Roman" w:eastAsia="仿宋_GB2312" w:cs="Times New Roman"/>
          <w:color w:val="000000"/>
          <w:sz w:val="32"/>
          <w:szCs w:val="32"/>
        </w:rPr>
        <w:t>加强贸易合作，扩大我市优势产品对沿线国家出口。加强投资合作，推动优势产能境外转移，支持服装、机械、食品等行业建立境外生产基地；推进境外资源合作开发，支持在海外建设资源利用型、农业产业型及商贸物流型经贸合作园区。推动承包工程合作，鼓励企业参与“一带一路”基础设施互联互通建设，强化与中亚地区和俄罗斯的合作，加大对中东等高端市场的开拓力度，提高市场份额。</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主动融入胶东经济圈一体化发展。</w:t>
      </w:r>
      <w:r>
        <w:rPr>
          <w:rFonts w:hint="default" w:ascii="Times New Roman" w:hAnsi="Times New Roman" w:eastAsia="仿宋_GB2312" w:cs="Times New Roman"/>
          <w:color w:val="000000"/>
          <w:sz w:val="32"/>
          <w:szCs w:val="32"/>
        </w:rPr>
        <w:t>强化与威海、青岛、潍坊、烟台等区域中心城市的联系，积极“借青兴乳”，主动承接其产业转移，重点承接高铁配件、海工装备、食品加工、新能源等产业项目。合力推进铁路、港口等跨区域基础设施建设，织密互联互通的交通网。探索“飞地经济”合作模式，对“飞地经济”园区和项目给予优先支持，完善合作双方在财政、税收、统计等方面的利益分享机制，打造优势互补的产业群。积极参与半岛旅游城市合作联盟，联合推出一批精品旅游产品，共建全国著名的高品质胶东半岛滨海旅游目的地。</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完善开放体制机制。</w:t>
      </w:r>
      <w:r>
        <w:rPr>
          <w:rFonts w:hint="default" w:ascii="Times New Roman" w:hAnsi="Times New Roman" w:eastAsia="仿宋_GB2312" w:cs="Times New Roman"/>
          <w:color w:val="000000"/>
          <w:sz w:val="32"/>
          <w:szCs w:val="32"/>
        </w:rPr>
        <w:t>主动应对国际贸易规则新变化新挑战，以制度型开放为引领，加强规则、规制、管理、标准等有机衔接，不断优化投资贸易体制机制。提升贸易便利化水平，深化口岸营商环境建设，依托国际贸易“单一窗口”建设，强化跨部门、跨区域的通关协作，优化查验监管流程，全面压缩通关时间。推动外商投资准入改革，落实外商投资准入前国民待遇加负面清单管理制度，有效衔接市场准入和外资准入两张清单，完善外商投资促进保护管理等配套制度。</w:t>
      </w:r>
      <w:bookmarkEnd w:id="58"/>
    </w:p>
    <w:p>
      <w:pPr>
        <w:widowControl/>
        <w:jc w:val="left"/>
        <w:rPr>
          <w:rFonts w:hint="default" w:ascii="Times New Roman" w:hAnsi="Times New Roman" w:eastAsia="仿宋_GB2312" w:cs="Times New Roman"/>
          <w:color w:val="000000"/>
          <w:sz w:val="32"/>
          <w:szCs w:val="32"/>
        </w:rPr>
      </w:pPr>
    </w:p>
    <w:p>
      <w:pPr>
        <w:spacing w:before="156" w:beforeLines="50" w:after="156" w:afterLines="50" w:line="560" w:lineRule="exact"/>
        <w:jc w:val="center"/>
        <w:outlineLvl w:val="0"/>
        <w:rPr>
          <w:rFonts w:hint="default" w:ascii="Times New Roman" w:hAnsi="Times New Roman" w:eastAsia="黑体" w:cs="Times New Roman"/>
          <w:bCs/>
          <w:color w:val="000000"/>
          <w:sz w:val="34"/>
          <w:szCs w:val="34"/>
        </w:rPr>
      </w:pPr>
      <w:r>
        <w:rPr>
          <w:rFonts w:hint="default" w:ascii="Times New Roman" w:hAnsi="Times New Roman" w:eastAsia="黑体" w:cs="Times New Roman"/>
          <w:bCs/>
          <w:color w:val="000000"/>
          <w:sz w:val="34"/>
          <w:szCs w:val="34"/>
        </w:rPr>
        <w:br w:type="page"/>
      </w:r>
      <w:bookmarkStart w:id="62" w:name="_Toc62919438"/>
      <w:bookmarkStart w:id="63" w:name="_Toc54561645"/>
      <w:r>
        <w:rPr>
          <w:rFonts w:hint="default" w:ascii="Times New Roman" w:hAnsi="Times New Roman" w:eastAsia="黑体" w:cs="Times New Roman"/>
          <w:bCs/>
          <w:color w:val="000000"/>
          <w:sz w:val="34"/>
          <w:szCs w:val="34"/>
        </w:rPr>
        <w:t>第七章 构建生态文明体系 促进人与自然和谐共生</w:t>
      </w:r>
      <w:bookmarkEnd w:id="62"/>
    </w:p>
    <w:p>
      <w:pPr>
        <w:adjustRightInd w:val="0"/>
        <w:snapToGrid w:val="0"/>
        <w:spacing w:line="560" w:lineRule="exact"/>
        <w:ind w:firstLine="658"/>
        <w:rPr>
          <w:rFonts w:hint="default" w:ascii="Times New Roman" w:hAnsi="Times New Roman" w:eastAsia="仿宋_GB2312" w:cs="Times New Roman"/>
          <w:color w:val="000000"/>
          <w:kern w:val="36"/>
          <w:sz w:val="32"/>
          <w:szCs w:val="32"/>
        </w:rPr>
      </w:pPr>
      <w:r>
        <w:rPr>
          <w:rFonts w:hint="default" w:ascii="Times New Roman" w:hAnsi="Times New Roman" w:eastAsia="仿宋_GB2312" w:cs="Times New Roman"/>
          <w:color w:val="000000"/>
          <w:kern w:val="36"/>
          <w:sz w:val="32"/>
          <w:szCs w:val="32"/>
        </w:rPr>
        <w:t>深入践行“绿水青山就是金山银山”理念，以推进国家生态文明建设示范县创建工作为抓手，将生态文明建设理念融入到政治、经济、文化、社会建设全过程，积极推进生态文明市建设。</w:t>
      </w:r>
    </w:p>
    <w:p>
      <w:pPr>
        <w:spacing w:before="156" w:beforeLines="50" w:after="156" w:afterLines="50" w:line="560" w:lineRule="exact"/>
        <w:jc w:val="center"/>
        <w:outlineLvl w:val="1"/>
        <w:rPr>
          <w:rFonts w:hint="default" w:ascii="Times New Roman" w:hAnsi="Times New Roman" w:eastAsia="黑体" w:cs="Times New Roman"/>
          <w:bCs/>
          <w:color w:val="000000"/>
          <w:sz w:val="32"/>
          <w:szCs w:val="32"/>
        </w:rPr>
      </w:pPr>
      <w:bookmarkStart w:id="64" w:name="_Toc62919439"/>
      <w:r>
        <w:rPr>
          <w:rFonts w:hint="default" w:ascii="Times New Roman" w:hAnsi="Times New Roman" w:eastAsia="黑体" w:cs="Times New Roman"/>
          <w:bCs/>
          <w:color w:val="000000"/>
          <w:sz w:val="32"/>
          <w:szCs w:val="32"/>
        </w:rPr>
        <w:t>第一节 优化生态安全空间格局</w:t>
      </w:r>
      <w:bookmarkEnd w:id="64"/>
    </w:p>
    <w:p>
      <w:pPr>
        <w:spacing w:line="560" w:lineRule="exact"/>
        <w:ind w:firstLine="640" w:firstLineChars="200"/>
        <w:rPr>
          <w:rFonts w:hint="default" w:ascii="Times New Roman" w:hAnsi="Times New Roman" w:eastAsia="仿宋_GB2312" w:cs="Times New Roman"/>
          <w:bCs/>
          <w:color w:val="000000"/>
          <w:kern w:val="0"/>
          <w:sz w:val="32"/>
          <w:szCs w:val="32"/>
        </w:rPr>
      </w:pPr>
      <w:r>
        <w:rPr>
          <w:rFonts w:hint="default" w:ascii="Times New Roman" w:hAnsi="Times New Roman" w:eastAsia="仿宋_GB2312" w:cs="Times New Roman"/>
          <w:bCs/>
          <w:color w:val="000000"/>
          <w:kern w:val="0"/>
          <w:sz w:val="32"/>
          <w:szCs w:val="32"/>
        </w:rPr>
        <w:t>强化绿色发展理念，加强对山体、自然保护区、生态公益林、湿地和沙滩、生态海岸线和防护区、岛屿、水源保护地、主次干河流和堤围、水库和水源林等区域生态系统保护，构建绿色、宜居的生态安全格局。</w:t>
      </w:r>
    </w:p>
    <w:p>
      <w:pPr>
        <w:spacing w:line="560" w:lineRule="exact"/>
        <w:ind w:firstLine="640" w:firstLineChars="200"/>
        <w:rPr>
          <w:rFonts w:hint="default" w:ascii="Times New Roman" w:hAnsi="Times New Roman" w:eastAsia="仿宋" w:cs="Times New Roman"/>
          <w:bCs/>
          <w:color w:val="000000"/>
          <w:kern w:val="0"/>
          <w:sz w:val="32"/>
          <w:szCs w:val="32"/>
        </w:rPr>
      </w:pPr>
      <w:r>
        <w:rPr>
          <w:rFonts w:hint="default" w:ascii="Times New Roman" w:hAnsi="Times New Roman" w:eastAsia="楷体_GB2312" w:cs="Times New Roman"/>
          <w:color w:val="000000"/>
          <w:kern w:val="0"/>
          <w:sz w:val="32"/>
          <w:szCs w:val="32"/>
        </w:rPr>
        <w:t>构筑结构有序山海生态格局。</w:t>
      </w:r>
      <w:r>
        <w:rPr>
          <w:rFonts w:hint="default" w:ascii="Times New Roman" w:hAnsi="Times New Roman" w:eastAsia="仿宋_GB2312" w:cs="Times New Roman"/>
          <w:bCs/>
          <w:color w:val="000000"/>
          <w:kern w:val="0"/>
          <w:sz w:val="32"/>
          <w:szCs w:val="32"/>
        </w:rPr>
        <w:t>形成“两心、两廊、四湾、一带”的山海生态格局</w:t>
      </w:r>
      <w:r>
        <w:rPr>
          <w:rFonts w:hint="default" w:ascii="Times New Roman" w:hAnsi="Times New Roman" w:eastAsia="仿宋_GB2312" w:cs="Times New Roman"/>
          <w:bCs/>
          <w:color w:val="000000"/>
          <w:kern w:val="0"/>
          <w:sz w:val="32"/>
          <w:szCs w:val="32"/>
          <w:lang w:eastAsia="zh-CN"/>
        </w:rPr>
        <w:t>。</w:t>
      </w:r>
      <w:r>
        <w:rPr>
          <w:rFonts w:hint="default" w:ascii="Times New Roman" w:hAnsi="Times New Roman" w:eastAsia="仿宋_GB2312" w:cs="Times New Roman"/>
          <w:bCs/>
          <w:color w:val="000000"/>
          <w:kern w:val="0"/>
          <w:sz w:val="32"/>
          <w:szCs w:val="32"/>
        </w:rPr>
        <w:t>构筑大生态绿心，确保龙角山水库生态绿心的水生态安全，打造万亩林生态绿心</w:t>
      </w:r>
      <w:r>
        <w:rPr>
          <w:rFonts w:hint="default" w:ascii="Times New Roman" w:hAnsi="Times New Roman" w:eastAsia="仿宋_GB2312" w:cs="Times New Roman"/>
          <w:bCs/>
          <w:color w:val="000000"/>
          <w:kern w:val="0"/>
          <w:sz w:val="32"/>
          <w:szCs w:val="32"/>
          <w:lang w:eastAsia="zh-CN"/>
        </w:rPr>
        <w:t>；</w:t>
      </w:r>
      <w:r>
        <w:rPr>
          <w:rFonts w:hint="default" w:ascii="Times New Roman" w:hAnsi="Times New Roman" w:eastAsia="仿宋_GB2312" w:cs="Times New Roman"/>
          <w:bCs/>
          <w:color w:val="000000"/>
          <w:kern w:val="0"/>
          <w:sz w:val="32"/>
          <w:szCs w:val="32"/>
        </w:rPr>
        <w:t>保护乳山河、黄垒河两条河流生态廊道</w:t>
      </w:r>
      <w:r>
        <w:rPr>
          <w:rFonts w:hint="default" w:ascii="Times New Roman" w:hAnsi="Times New Roman" w:eastAsia="仿宋_GB2312" w:cs="Times New Roman"/>
          <w:bCs/>
          <w:color w:val="000000"/>
          <w:kern w:val="0"/>
          <w:sz w:val="32"/>
          <w:szCs w:val="32"/>
          <w:lang w:eastAsia="zh-CN"/>
        </w:rPr>
        <w:t>；</w:t>
      </w:r>
      <w:r>
        <w:rPr>
          <w:rFonts w:hint="default" w:ascii="Times New Roman" w:hAnsi="Times New Roman" w:eastAsia="仿宋_GB2312" w:cs="Times New Roman"/>
          <w:bCs/>
          <w:color w:val="000000"/>
          <w:kern w:val="0"/>
          <w:sz w:val="32"/>
          <w:szCs w:val="32"/>
        </w:rPr>
        <w:t>保护乳山湾、塔岛湾、洋村口湾、罗汉湾、白沙口湾五个主要海湾</w:t>
      </w:r>
      <w:r>
        <w:rPr>
          <w:rFonts w:hint="default" w:ascii="Times New Roman" w:hAnsi="Times New Roman" w:eastAsia="仿宋_GB2312" w:cs="Times New Roman"/>
          <w:bCs/>
          <w:color w:val="000000"/>
          <w:kern w:val="0"/>
          <w:sz w:val="32"/>
          <w:szCs w:val="32"/>
          <w:lang w:eastAsia="zh-CN"/>
        </w:rPr>
        <w:t>；</w:t>
      </w:r>
      <w:r>
        <w:rPr>
          <w:rFonts w:hint="default" w:ascii="Times New Roman" w:hAnsi="Times New Roman" w:eastAsia="仿宋_GB2312" w:cs="Times New Roman"/>
          <w:bCs/>
          <w:color w:val="000000"/>
          <w:kern w:val="0"/>
          <w:sz w:val="32"/>
          <w:szCs w:val="32"/>
        </w:rPr>
        <w:t>重建沿海防护林体系，恢复银滩黑松林防护林带，塑造滨海防护林景观，提升银滩新城风貌形象。</w:t>
      </w:r>
    </w:p>
    <w:p>
      <w:pPr>
        <w:spacing w:line="56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楷体_GB2312" w:cs="Times New Roman"/>
          <w:color w:val="000000"/>
          <w:sz w:val="32"/>
          <w:szCs w:val="32"/>
        </w:rPr>
        <w:t>积极打造山绿土净生态屏障。</w:t>
      </w:r>
      <w:r>
        <w:rPr>
          <w:rFonts w:hint="default" w:ascii="Times New Roman" w:hAnsi="Times New Roman" w:eastAsia="仿宋_GB2312" w:cs="Times New Roman"/>
          <w:bCs/>
          <w:color w:val="000000"/>
          <w:sz w:val="32"/>
          <w:szCs w:val="32"/>
        </w:rPr>
        <w:t>坚持保护优先、自然恢复为主的理念，实施山水林田湖海等生态系统的保护和修复工程。实施绿色生态乳山工程，建设由生态林带、滨海林带、绿地、水系、郊野公园和农田、果园等构成的生态绿色屏障。强力推进城区增绿添彩，引入市场主体参与，全面抓好道路绿化、水系绿化、公园广场、绿廊绿道建设。到2025年，森林覆盖率达到</w:t>
      </w:r>
      <w:r>
        <w:rPr>
          <w:rFonts w:hint="default" w:ascii="Times New Roman" w:hAnsi="Times New Roman" w:eastAsia="仿宋_GB2312" w:cs="Times New Roman"/>
          <w:bCs/>
          <w:color w:val="000000"/>
          <w:sz w:val="32"/>
          <w:szCs w:val="32"/>
          <w:lang w:val="en-US" w:eastAsia="zh-CN"/>
        </w:rPr>
        <w:t>30.2</w:t>
      </w:r>
      <w:r>
        <w:rPr>
          <w:rFonts w:hint="default" w:ascii="Times New Roman" w:hAnsi="Times New Roman" w:eastAsia="仿宋_GB2312" w:cs="Times New Roman"/>
          <w:bCs/>
          <w:color w:val="000000"/>
          <w:sz w:val="32"/>
          <w:szCs w:val="32"/>
        </w:rPr>
        <w:t>%。加大北部山体修复力度，强化水土保持监管，科学防治山洪、泥石流等自然灾害，构建水土流失综合防护体系。</w:t>
      </w:r>
      <w:r>
        <w:rPr>
          <w:rFonts w:hint="default" w:ascii="Times New Roman" w:hAnsi="Times New Roman" w:eastAsia="仿宋_GB2312" w:cs="Times New Roman"/>
          <w:color w:val="000000"/>
          <w:sz w:val="32"/>
          <w:szCs w:val="32"/>
        </w:rPr>
        <w:t>开展大规模国土绿化行动，推行林长制。健全耕地休耕轮作制度，</w:t>
      </w:r>
      <w:r>
        <w:rPr>
          <w:rFonts w:hint="default" w:ascii="Times New Roman" w:hAnsi="Times New Roman" w:eastAsia="仿宋_GB2312" w:cs="Times New Roman"/>
          <w:bCs/>
          <w:color w:val="000000"/>
          <w:sz w:val="32"/>
          <w:szCs w:val="32"/>
        </w:rPr>
        <w:t>开展“净土”行动，有序推进土壤污染治理与修复。</w:t>
      </w:r>
    </w:p>
    <w:p>
      <w:pPr>
        <w:adjustRightInd w:val="0"/>
        <w:snapToGrid w:val="0"/>
        <w:spacing w:line="560" w:lineRule="exact"/>
        <w:ind w:firstLine="658"/>
        <w:rPr>
          <w:rFonts w:hint="default" w:ascii="Times New Roman" w:hAnsi="Times New Roman" w:eastAsia="仿宋_GB2312" w:cs="Times New Roman"/>
          <w:bCs/>
          <w:color w:val="000000"/>
          <w:sz w:val="32"/>
          <w:szCs w:val="32"/>
        </w:rPr>
      </w:pPr>
      <w:r>
        <w:rPr>
          <w:rFonts w:hint="default" w:ascii="Times New Roman" w:hAnsi="Times New Roman" w:eastAsia="楷体_GB2312" w:cs="Times New Roman"/>
          <w:color w:val="000000"/>
          <w:sz w:val="32"/>
          <w:szCs w:val="32"/>
        </w:rPr>
        <w:t>积极塑造滨海品质生态空间。</w:t>
      </w:r>
      <w:r>
        <w:rPr>
          <w:rFonts w:hint="default" w:ascii="Times New Roman" w:hAnsi="Times New Roman" w:eastAsia="仿宋_GB2312" w:cs="Times New Roman"/>
          <w:bCs/>
          <w:color w:val="000000"/>
          <w:sz w:val="32"/>
          <w:szCs w:val="32"/>
        </w:rPr>
        <w:t>严格保护自然岸线格局，明确将河流入海口自然岸线、保护区自然岸线作为自然岸线，实行最严格的岸线保护措施，严格保护海洋生态自然保护区和海洋特别保护区，严禁填海造陆工程。采取人工鱼礁、海藻移植、增殖放流等综合性措施，增加海洋生物资源量，恢复浅海渔业生物种群。控制开发生态景观岸线、旅游休闲岸线、生活岸线、工业岸线，开展重点海域环境整治修复，提升滨海景观，发展海洋旅游产业，塑造滨海品质生态空间。</w:t>
      </w:r>
    </w:p>
    <w:p>
      <w:pPr>
        <w:spacing w:line="560" w:lineRule="exact"/>
        <w:ind w:firstLine="640" w:firstLineChars="200"/>
        <w:rPr>
          <w:rFonts w:hint="default" w:ascii="Times New Roman" w:hAnsi="Times New Roman" w:cs="Times New Roman"/>
          <w:color w:val="000000"/>
        </w:rPr>
      </w:pPr>
      <w:r>
        <w:rPr>
          <w:rFonts w:hint="default" w:ascii="Times New Roman" w:hAnsi="Times New Roman" w:eastAsia="楷体_GB2312" w:cs="Times New Roman"/>
          <w:color w:val="000000"/>
          <w:sz w:val="32"/>
          <w:szCs w:val="32"/>
        </w:rPr>
        <w:t>提升生态系统质量和稳定性。</w:t>
      </w:r>
      <w:r>
        <w:rPr>
          <w:rFonts w:hint="default" w:ascii="Times New Roman" w:hAnsi="Times New Roman" w:eastAsia="仿宋_GB2312" w:cs="Times New Roman"/>
          <w:color w:val="000000"/>
          <w:sz w:val="32"/>
          <w:szCs w:val="32"/>
        </w:rPr>
        <w:t>严守生态保护红线，细化分类分区管控措施，做到红线区域性质不转换、功能不降低、质量不下降、面积不减少、责任不改变。实施山水林田海生态系统保护和修复工程，强化河湖长制、湾长制，加强河流和重要湖泊湿地生态保护治理，筑牢生态安全屏障。维护生物多样性，在生物多样性保护价值高、景观类型特殊的海洋或海岛建立海洋保护区，形成健全的海洋保护区网络体系。加强海洋保护区管理，建立健全海洋、海岛保护区管理制度。海洋保护区占管辖海域总面积的比例达到4.3%以上。</w:t>
      </w:r>
    </w:p>
    <w:p>
      <w:pPr>
        <w:spacing w:line="560" w:lineRule="exact"/>
        <w:jc w:val="center"/>
        <w:outlineLvl w:val="1"/>
        <w:rPr>
          <w:rFonts w:hint="default" w:ascii="Times New Roman" w:hAnsi="Times New Roman" w:eastAsia="黑体" w:cs="Times New Roman"/>
          <w:bCs/>
          <w:color w:val="000000"/>
          <w:sz w:val="32"/>
          <w:szCs w:val="32"/>
        </w:rPr>
      </w:pPr>
      <w:bookmarkStart w:id="65" w:name="_Toc54561642"/>
      <w:bookmarkStart w:id="66" w:name="_Toc62919440"/>
    </w:p>
    <w:p>
      <w:pPr>
        <w:spacing w:before="156" w:beforeLines="50" w:after="156" w:afterLines="50" w:line="560" w:lineRule="exact"/>
        <w:jc w:val="center"/>
        <w:outlineLvl w:val="1"/>
        <w:rPr>
          <w:rFonts w:hint="default" w:ascii="Times New Roman" w:hAnsi="Times New Roman" w:eastAsia="黑体" w:cs="Times New Roman"/>
          <w:bCs/>
          <w:color w:val="000000"/>
          <w:sz w:val="32"/>
          <w:szCs w:val="32"/>
        </w:rPr>
      </w:pPr>
      <w:r>
        <w:rPr>
          <w:rFonts w:hint="default" w:ascii="Times New Roman" w:hAnsi="Times New Roman" w:eastAsia="黑体" w:cs="Times New Roman"/>
          <w:bCs/>
          <w:color w:val="000000"/>
          <w:sz w:val="32"/>
          <w:szCs w:val="32"/>
        </w:rPr>
        <w:t>第二节 全面提高资源利用</w:t>
      </w:r>
      <w:bookmarkEnd w:id="65"/>
      <w:r>
        <w:rPr>
          <w:rFonts w:hint="default" w:ascii="Times New Roman" w:hAnsi="Times New Roman" w:eastAsia="黑体" w:cs="Times New Roman"/>
          <w:bCs/>
          <w:color w:val="000000"/>
          <w:sz w:val="32"/>
          <w:szCs w:val="32"/>
        </w:rPr>
        <w:t>效率</w:t>
      </w:r>
      <w:bookmarkEnd w:id="66"/>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树立节约集约循环利用的资源观，不断降低生产、生活过程的资源能源消耗强度，实现万元GDP能耗和万元GDP用水量逐年降低的目标。</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推广使用清洁能源</w:t>
      </w:r>
      <w:r>
        <w:rPr>
          <w:rFonts w:hint="default" w:ascii="Times New Roman" w:hAnsi="Times New Roman" w:eastAsia="仿宋_GB2312" w:cs="Times New Roman"/>
          <w:color w:val="000000"/>
          <w:sz w:val="32"/>
          <w:szCs w:val="32"/>
        </w:rPr>
        <w:t>。加快天然气供气设施建设，加快村镇燃气管网敷设工作。加大天然气等清洁能源在交通运输工具中的运用，推进交通运输低碳发展，推广节能与新能源交通运输装备。加快推广太阳能光热利用，推动生物质成型燃料、液体燃料、发电、气化等多种形式的生物质能梯级综合利用。</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加快发展循环经济</w:t>
      </w:r>
      <w:r>
        <w:rPr>
          <w:rFonts w:hint="default" w:ascii="Times New Roman" w:hAnsi="Times New Roman" w:eastAsia="仿宋_GB2312" w:cs="Times New Roman"/>
          <w:color w:val="000000"/>
          <w:sz w:val="32"/>
          <w:szCs w:val="32"/>
        </w:rPr>
        <w:t>。加强工业、农业和生活废弃物的资源化综合利用，推动建立全社会资源循环利用体系，推动工业经济向低投入、低排放、低消耗和高效益转型，促进农业向无公害、绿色、有机、生态方向发展。大力推行清洁生产，依法对重点污染企业以及使用或排放有毒有害物质的企业实行强制性清洁生产审核，重点企业清洁生产审核实施率100%。</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集约节约利用水资源。</w:t>
      </w:r>
      <w:r>
        <w:rPr>
          <w:rFonts w:hint="default" w:ascii="Times New Roman" w:hAnsi="Times New Roman" w:eastAsia="仿宋_GB2312" w:cs="Times New Roman"/>
          <w:color w:val="000000"/>
          <w:sz w:val="32"/>
          <w:szCs w:val="32"/>
        </w:rPr>
        <w:t>实施最严格水资源管理制度，严格取水许可审批管理，建立重点监控用水单位名录。将再生水、雨水、微咸水等非常规水源纳入水资源统一配置。改造城镇自来水供水管网，全市公共供水管网漏损率控制在10%以内。统筹区域再生水生产、需求和湿地接纳能力，建设再生水调节库塘，进一步拦蓄和净化再生水。</w:t>
      </w:r>
    </w:p>
    <w:p>
      <w:pPr>
        <w:spacing w:before="156" w:beforeLines="50" w:after="156" w:afterLines="50" w:line="560" w:lineRule="exact"/>
        <w:jc w:val="center"/>
        <w:outlineLvl w:val="1"/>
        <w:rPr>
          <w:rFonts w:hint="default" w:ascii="Times New Roman" w:hAnsi="Times New Roman" w:eastAsia="黑体" w:cs="Times New Roman"/>
          <w:bCs/>
          <w:color w:val="000000"/>
          <w:sz w:val="32"/>
          <w:szCs w:val="32"/>
        </w:rPr>
      </w:pPr>
      <w:bookmarkStart w:id="67" w:name="_Toc54561643"/>
      <w:bookmarkStart w:id="68" w:name="_Toc62919441"/>
    </w:p>
    <w:p>
      <w:pPr>
        <w:spacing w:before="156" w:beforeLines="50" w:after="156" w:afterLines="50" w:line="560" w:lineRule="exact"/>
        <w:jc w:val="center"/>
        <w:outlineLvl w:val="1"/>
        <w:rPr>
          <w:rFonts w:hint="default" w:ascii="Times New Roman" w:hAnsi="Times New Roman" w:eastAsia="黑体" w:cs="Times New Roman"/>
          <w:bCs/>
          <w:color w:val="000000"/>
          <w:sz w:val="32"/>
          <w:szCs w:val="32"/>
        </w:rPr>
      </w:pPr>
      <w:r>
        <w:rPr>
          <w:rFonts w:hint="default" w:ascii="Times New Roman" w:hAnsi="Times New Roman" w:eastAsia="黑体" w:cs="Times New Roman"/>
          <w:bCs/>
          <w:color w:val="000000"/>
          <w:sz w:val="32"/>
          <w:szCs w:val="32"/>
        </w:rPr>
        <w:t>第三节 持续改善生态环境质量</w:t>
      </w:r>
      <w:bookmarkEnd w:id="67"/>
      <w:bookmarkEnd w:id="68"/>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加大自然生态系统的保护，持续改善大气、水、土壤等环境质量，打造高质量的人居环境。</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持续改善大气环境质量。</w:t>
      </w:r>
      <w:r>
        <w:rPr>
          <w:rFonts w:hint="default" w:ascii="Times New Roman" w:hAnsi="Times New Roman" w:eastAsia="仿宋_GB2312" w:cs="Times New Roman"/>
          <w:color w:val="000000"/>
          <w:sz w:val="32"/>
          <w:szCs w:val="32"/>
        </w:rPr>
        <w:t>加强城市扬尘综合整治，强化建筑、市政等施工现场扬尘污染防控，加强裸露土地、散流物体运输、港口码头等扬尘污染整治。加大工业企业颗粒物污染防治，继续深化工业源颗粒物无组织排放治理。开展餐饮油烟污染治理，城区餐饮服务经营场所安装高效油烟净化设施。实施秸秆禁烧工程，禁止露天焚烧沥青、橡胶、塑料、皮革等。</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保障饮用水水质安全。</w:t>
      </w:r>
      <w:r>
        <w:rPr>
          <w:rFonts w:hint="default" w:ascii="Times New Roman" w:hAnsi="Times New Roman" w:eastAsia="仿宋_GB2312" w:cs="Times New Roman"/>
          <w:color w:val="000000"/>
          <w:sz w:val="32"/>
          <w:szCs w:val="32"/>
        </w:rPr>
        <w:t>加强龙角山水库等集中式饮用水水源地规范化建设，加快农村集中式供水工程建设，以城市供水管网为载体，实施管网延伸工程，实现城乡一体化供水。完成生活饮用水水质基线调查，确定重点监测、监控的水质指标。加快饮用水源地生态屏障建设，积极实施入库溪流前置库、湿地缓冲带等水环境保护和修复工程，保障饮用水水质安全。开展饮用水源生态安全评估，强化饮用水源地水质预警监控，完善突发污染事件应急预案。</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auto"/>
          <w:sz w:val="32"/>
          <w:szCs w:val="32"/>
        </w:rPr>
        <w:t>提升海洋生态环境质量。</w:t>
      </w:r>
      <w:r>
        <w:rPr>
          <w:rFonts w:hint="default" w:ascii="Times New Roman" w:hAnsi="Times New Roman" w:eastAsia="仿宋_GB2312" w:cs="Times New Roman"/>
          <w:color w:val="000000"/>
          <w:sz w:val="32"/>
          <w:szCs w:val="32"/>
        </w:rPr>
        <w:t>加强近海海域环境保护，保障海域生态健康。严守近岸海域生态保护红线，控制开发乳山湾等岸段。加快沿海防护林带建设，增强防风固沙和有效控制水土流失的能力，营造海陆生态缓冲区。建立陆海统筹的水污染联防联控机制。国控重点入海河流水质达到水环境功能区要求，其他小型入海河流基本消除劣Ⅴ类水体。实施总氮排放总量控制，减少对海洋环境的污染和破坏。合理规划海上倾倒区和混合区，严格限制新增围海养殖。</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auto"/>
          <w:sz w:val="32"/>
          <w:szCs w:val="32"/>
        </w:rPr>
        <w:t>有效控制农村面源污染。</w:t>
      </w:r>
      <w:r>
        <w:rPr>
          <w:rFonts w:hint="default" w:ascii="Times New Roman" w:hAnsi="Times New Roman" w:eastAsia="仿宋_GB2312" w:cs="Times New Roman"/>
          <w:color w:val="000000"/>
          <w:sz w:val="32"/>
          <w:szCs w:val="32"/>
        </w:rPr>
        <w:t>普及和深化测土配方施肥，推广缓释肥技术，鼓励使用有机肥、生物肥料和绿肥种植，推广高效、低毒、低残留农药、生物农药，推进病虫害统防统治和绿色防控。推进农作物秸秆肥料化、饲料化、基料化、原料化和燃料化利用。积极推广可降解农膜，建立健全废旧农膜回收利用体系，鼓励建设废旧农膜加工利用企业。</w:t>
      </w:r>
    </w:p>
    <w:p>
      <w:pPr>
        <w:spacing w:before="156" w:beforeLines="50" w:after="156" w:afterLines="50" w:line="560" w:lineRule="exact"/>
        <w:jc w:val="center"/>
        <w:outlineLvl w:val="1"/>
        <w:rPr>
          <w:rFonts w:hint="default" w:ascii="Times New Roman" w:hAnsi="Times New Roman" w:eastAsia="黑体" w:cs="Times New Roman"/>
          <w:bCs/>
          <w:color w:val="000000"/>
          <w:sz w:val="32"/>
          <w:szCs w:val="32"/>
        </w:rPr>
      </w:pPr>
      <w:bookmarkStart w:id="69" w:name="_Toc54561644"/>
      <w:bookmarkStart w:id="70" w:name="_Toc62919442"/>
      <w:r>
        <w:rPr>
          <w:rFonts w:hint="default" w:ascii="Times New Roman" w:hAnsi="Times New Roman" w:eastAsia="黑体" w:cs="Times New Roman"/>
          <w:bCs/>
          <w:color w:val="000000"/>
          <w:sz w:val="32"/>
          <w:szCs w:val="32"/>
        </w:rPr>
        <w:t>第四节 完善生态文明制度体系</w:t>
      </w:r>
      <w:bookmarkEnd w:id="69"/>
      <w:bookmarkEnd w:id="70"/>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健全完善源头严防、过程严管、损害赔偿、责任追究机制，着力构建系统完整、实施有效的生态文明制度体系。</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严格环境准入制度。</w:t>
      </w:r>
      <w:r>
        <w:rPr>
          <w:rFonts w:hint="default" w:ascii="Times New Roman" w:hAnsi="Times New Roman" w:eastAsia="仿宋_GB2312" w:cs="Times New Roman"/>
          <w:color w:val="000000"/>
          <w:sz w:val="32"/>
          <w:szCs w:val="32"/>
        </w:rPr>
        <w:t>全面实行空间准入、总量准入和项目准入，强化建设项目全过程监管。根据环境战略分区和资源环境承载能力，实施差别化的环境准入和管理政策。建立规划环评和项目环评审批联动机制，深入实施项目审批与区域环境质量、产业结构调整、环保基础设施建设、污染减排绩效等挂钩的制度。严格执行各行业环境准入指导意见，加强重污染项目准入管理。实行区域污染物排放倍量替代，确保增产减污。</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严格生态环境质量监管。</w:t>
      </w:r>
      <w:r>
        <w:rPr>
          <w:rFonts w:hint="default" w:ascii="Times New Roman" w:hAnsi="Times New Roman" w:eastAsia="仿宋_GB2312" w:cs="Times New Roman"/>
          <w:color w:val="000000"/>
          <w:sz w:val="32"/>
          <w:szCs w:val="32"/>
        </w:rPr>
        <w:t>完善环境保护督察执法机制，积极开展联合联动执法，推进环保执法重心下移。深化环评审批制度改革，稳步推进建设项目“告知—承诺—备案制”试点，建立覆盖所有固定污染源的企业排污许可制。健全污染物排放监管制度，加快“智慧环保”建设，开展实时在线环境监控。推进企业环保信息公开及环保信用评级建设，完善企业环境信用管理体系。大力推行河长制、湾长制，加大对资源和环境承载能力超载区域的限制性调控力度。</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完善生态风险防范体系。</w:t>
      </w:r>
      <w:r>
        <w:rPr>
          <w:rFonts w:hint="default" w:ascii="Times New Roman" w:hAnsi="Times New Roman" w:eastAsia="仿宋_GB2312" w:cs="Times New Roman"/>
          <w:sz w:val="32"/>
          <w:szCs w:val="32"/>
        </w:rPr>
        <w:t>开展环境风险评估，建立健全环境重点风险源数据库，加强对重大环境风险源的动态监测和风险预警。建立环境风险联防联控机制，完善环境风险管理和应急救援体系，推进综合应急救援队伍建设，健全重大环境事件和污染事故责任追究制度，有效防范和妥善处置环境污染事故。严格落实企业环境安全主体责任，推动零散分布的环境风险企业逐步向工业园区搬迁，提升企业环境风险综合管控能力。加强危险废物规范化管理，推进危险废物集中焚烧项目，提升危险废物处置能力。</w:t>
      </w:r>
    </w:p>
    <w:p>
      <w:pPr>
        <w:spacing w:before="156" w:beforeLines="50" w:after="156" w:afterLines="50" w:line="560" w:lineRule="exact"/>
        <w:ind w:firstLine="640" w:firstLineChars="200"/>
        <w:jc w:val="center"/>
        <w:outlineLvl w:val="0"/>
        <w:rPr>
          <w:rFonts w:hint="default" w:ascii="Times New Roman" w:hAnsi="Times New Roman" w:eastAsia="黑体" w:cs="Times New Roman"/>
          <w:bCs/>
          <w:color w:val="000000"/>
          <w:sz w:val="34"/>
          <w:szCs w:val="34"/>
        </w:rPr>
      </w:pPr>
      <w:r>
        <w:rPr>
          <w:rFonts w:hint="default" w:ascii="Times New Roman" w:hAnsi="Times New Roman" w:eastAsia="仿宋_GB2312" w:cs="Times New Roman"/>
          <w:color w:val="000000"/>
          <w:sz w:val="32"/>
          <w:szCs w:val="32"/>
        </w:rPr>
        <w:br w:type="page"/>
      </w:r>
      <w:bookmarkStart w:id="71" w:name="_Toc62919443"/>
      <w:r>
        <w:rPr>
          <w:rFonts w:hint="default" w:ascii="Times New Roman" w:hAnsi="Times New Roman" w:eastAsia="黑体" w:cs="Times New Roman"/>
          <w:bCs/>
          <w:color w:val="000000"/>
          <w:sz w:val="34"/>
          <w:szCs w:val="34"/>
        </w:rPr>
        <w:t>第八章 传承创新优秀文化 提升精致城市软实力</w:t>
      </w:r>
      <w:bookmarkEnd w:id="63"/>
      <w:bookmarkEnd w:id="71"/>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坚持马克思主义在意识形态领域的指导地位，坚持以社会主义核心价值观引领文化建设，坚持正确政治方向、正确舆论导向、正确价值取向，履行好举旗帜、聚民心、育新人、兴文化、展形象的使命任务，打造文化底蕴深厚的精致城市。</w:t>
      </w:r>
    </w:p>
    <w:p>
      <w:pPr>
        <w:spacing w:before="156" w:beforeLines="50" w:after="156" w:afterLines="50" w:line="560" w:lineRule="exact"/>
        <w:jc w:val="center"/>
        <w:outlineLvl w:val="1"/>
        <w:rPr>
          <w:rFonts w:hint="default" w:ascii="Times New Roman" w:hAnsi="Times New Roman" w:eastAsia="黑体" w:cs="Times New Roman"/>
          <w:bCs/>
          <w:color w:val="000000"/>
          <w:sz w:val="32"/>
          <w:szCs w:val="32"/>
        </w:rPr>
      </w:pPr>
      <w:bookmarkStart w:id="72" w:name="_Toc62919444"/>
      <w:bookmarkStart w:id="73" w:name="_Toc54561646"/>
      <w:r>
        <w:rPr>
          <w:rFonts w:hint="default" w:ascii="Times New Roman" w:hAnsi="Times New Roman" w:eastAsia="黑体" w:cs="Times New Roman"/>
          <w:bCs/>
          <w:color w:val="000000"/>
          <w:sz w:val="32"/>
          <w:szCs w:val="32"/>
        </w:rPr>
        <w:t>第一节 塑造新时代文明新风尚</w:t>
      </w:r>
      <w:bookmarkEnd w:id="72"/>
    </w:p>
    <w:bookmarkEnd w:id="73"/>
    <w:p>
      <w:pPr>
        <w:spacing w:line="54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把培育和践行社会主义核心价值观作为凝魂聚气、强基固本的基础工程，推动形成适应新时代要求的思想观念、精神面貌、文明风尚、行为规范，为全市经济社会发展提供思想保证、精神力量和道德滋养。</w:t>
      </w:r>
    </w:p>
    <w:p>
      <w:pPr>
        <w:spacing w:line="54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壮大主流思想舆论。</w:t>
      </w:r>
      <w:r>
        <w:rPr>
          <w:rFonts w:hint="default" w:ascii="Times New Roman" w:hAnsi="Times New Roman" w:eastAsia="仿宋_GB2312" w:cs="Times New Roman"/>
          <w:color w:val="000000"/>
          <w:sz w:val="32"/>
          <w:szCs w:val="32"/>
        </w:rPr>
        <w:t>持续深入学习宣传贯彻习近平新时代中国特色社会主义思想，强化社科普及、学术研究、智库决策服务，开展好理论大众化普及活动，创树“理响乳山”品牌，培育覆盖不同群体的群众性宣传宣讲阵地，更好地用党的创新理论成果武装头脑、指导实践、推动工作。落实意识形态工作责任制，运用好意识形态联席会议、专项检查、中心组学习巡听等机制，加强风险隐患防范意识，守好筑牢各类意识形态阵地，建设具有强大凝聚力引领力的社会主义意识形态。落实新闻宣传联席会议制度，健全新闻发布机制，加强重大主题新闻报道选题策划，提升舆论引导水平，塑造良好城市形象。深化融媒体改革，构建“媒体+政务+服务”模式，扩大政务媒体传播力和影响力。健全舆情监测和突发事件快速反应以及重大舆情风险评估机制，加强网上思想文化阵地建设，维护清朗的网络环境。</w:t>
      </w:r>
    </w:p>
    <w:p>
      <w:pPr>
        <w:spacing w:line="54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深化群众性精神文明创建。</w:t>
      </w:r>
      <w:r>
        <w:rPr>
          <w:rFonts w:hint="default" w:ascii="Times New Roman" w:hAnsi="Times New Roman" w:eastAsia="仿宋_GB2312" w:cs="Times New Roman"/>
          <w:color w:val="000000"/>
          <w:sz w:val="32"/>
          <w:szCs w:val="32"/>
        </w:rPr>
        <w:t>加强精致城市建设与文明城市创建一体化推进，通过“日常抓、抓日常”，建立文明城市创建常态长效机制。深入开展文明市民培育工程，广泛开展“三不一礼让”、文明出行、文明交通、文明旅游、文明就餐等文明创建活动，印发《市民文明手册》，开展文明市民宣传教育活动，由“城”的文明向“人”的文明聚焦，提升市民文明素养。深入推进乡村文明行动和移风易俗工作，开展村训家训建设，加强城乡一体统筹，提升乡村文明水平，推动乡村文化振兴。深化道德品牌创建，打造“母爱乳山”“厚德乳山”道德文化品牌。加强未成年人思想道德建设，强化思政课教育，培养德智体美劳全面发展的社会主义建设者和接班人。组织开展文明村镇、文明单位、文明校园、文明家庭等创建评选活动，构建精神文明创建新格局，实现精神文明创建在新的起点上纵深推进。</w:t>
      </w:r>
    </w:p>
    <w:p>
      <w:pPr>
        <w:spacing w:line="54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推进新时代文明实践建设工作。</w:t>
      </w:r>
      <w:r>
        <w:rPr>
          <w:rFonts w:hint="default" w:ascii="Times New Roman" w:hAnsi="Times New Roman" w:eastAsia="仿宋_GB2312" w:cs="Times New Roman"/>
          <w:color w:val="000000"/>
          <w:sz w:val="32"/>
          <w:szCs w:val="32"/>
        </w:rPr>
        <w:t>深化省级新时代文明实践中心试点建设，创新性开展新时代文明实践活动，打造可推广的经验品牌。大力推行“志愿+信用”模式，对志愿者进行星级评定，将志愿服务时长与海贝分相挂钩，建立志愿者激励优待机制，引导志愿者参与社会治理活动，促进志愿服务走深走实。配齐配强文化指导员、下派员、专管员队伍，在“</w:t>
      </w:r>
      <w:r>
        <w:rPr>
          <w:rFonts w:hint="default" w:ascii="Times New Roman" w:hAnsi="Times New Roman" w:eastAsia="宋体" w:cs="Times New Roman"/>
          <w:color w:val="000000"/>
          <w:sz w:val="32"/>
          <w:szCs w:val="32"/>
        </w:rPr>
        <w:t>8</w:t>
      </w:r>
      <w:r>
        <w:rPr>
          <w:rFonts w:hint="default" w:ascii="Times New Roman" w:hAnsi="Times New Roman" w:eastAsia="仿宋_GB2312" w:cs="Times New Roman"/>
          <w:color w:val="000000"/>
          <w:sz w:val="32"/>
          <w:szCs w:val="32"/>
        </w:rPr>
        <w:t>+N”“</w:t>
      </w:r>
      <w:r>
        <w:rPr>
          <w:rFonts w:hint="default" w:ascii="Times New Roman" w:hAnsi="Times New Roman" w:eastAsia="宋体" w:cs="Times New Roman"/>
          <w:color w:val="000000"/>
          <w:sz w:val="32"/>
          <w:szCs w:val="32"/>
        </w:rPr>
        <w:t>4</w:t>
      </w:r>
      <w:r>
        <w:rPr>
          <w:rFonts w:hint="default" w:ascii="Times New Roman" w:hAnsi="Times New Roman" w:eastAsia="仿宋_GB2312" w:cs="Times New Roman"/>
          <w:color w:val="000000"/>
          <w:sz w:val="32"/>
          <w:szCs w:val="32"/>
        </w:rPr>
        <w:t>+N”和</w:t>
      </w:r>
      <w:r>
        <w:rPr>
          <w:rFonts w:hint="default" w:ascii="Times New Roman" w:hAnsi="Times New Roman" w:eastAsia="宋体" w:cs="Times New Roman"/>
          <w:color w:val="000000"/>
          <w:sz w:val="32"/>
          <w:szCs w:val="32"/>
        </w:rPr>
        <w:t>10</w:t>
      </w:r>
      <w:r>
        <w:rPr>
          <w:rFonts w:hint="default" w:ascii="Times New Roman" w:hAnsi="Times New Roman" w:eastAsia="仿宋_GB2312" w:cs="Times New Roman"/>
          <w:color w:val="000000"/>
          <w:sz w:val="32"/>
          <w:szCs w:val="32"/>
        </w:rPr>
        <w:t>支社会组织志愿服务队的基础上，进一步充实新时代文明实践志愿服务力量，提升文明实践参与度。规范实施志愿服务项目化管理，建立志愿服务项目库，开展好“即时送暖”等品牌志愿服务活动。到</w:t>
      </w:r>
      <w:r>
        <w:rPr>
          <w:rFonts w:hint="default" w:ascii="Times New Roman" w:hAnsi="Times New Roman" w:eastAsia="宋体" w:cs="Times New Roman"/>
          <w:color w:val="000000"/>
          <w:sz w:val="32"/>
          <w:szCs w:val="32"/>
        </w:rPr>
        <w:t>2025</w:t>
      </w:r>
      <w:r>
        <w:rPr>
          <w:rFonts w:hint="default" w:ascii="Times New Roman" w:hAnsi="Times New Roman" w:eastAsia="仿宋_GB2312" w:cs="Times New Roman"/>
          <w:color w:val="000000"/>
          <w:sz w:val="32"/>
          <w:szCs w:val="32"/>
        </w:rPr>
        <w:t>年，注册志愿者人数达到</w:t>
      </w:r>
      <w:r>
        <w:rPr>
          <w:rFonts w:hint="default" w:ascii="Times New Roman" w:hAnsi="Times New Roman" w:eastAsia="宋体" w:cs="Times New Roman"/>
          <w:color w:val="000000"/>
          <w:sz w:val="32"/>
          <w:szCs w:val="32"/>
        </w:rPr>
        <w:t>14</w:t>
      </w:r>
      <w:r>
        <w:rPr>
          <w:rFonts w:hint="default" w:ascii="Times New Roman" w:hAnsi="Times New Roman" w:eastAsia="仿宋_GB2312" w:cs="Times New Roman"/>
          <w:color w:val="000000"/>
          <w:sz w:val="32"/>
          <w:szCs w:val="32"/>
        </w:rPr>
        <w:t>万，占到全市总人口的</w:t>
      </w:r>
      <w:r>
        <w:rPr>
          <w:rFonts w:hint="default" w:ascii="Times New Roman" w:hAnsi="Times New Roman" w:eastAsia="宋体" w:cs="Times New Roman"/>
          <w:color w:val="000000"/>
          <w:sz w:val="32"/>
          <w:szCs w:val="32"/>
        </w:rPr>
        <w:t>25</w:t>
      </w:r>
      <w:r>
        <w:rPr>
          <w:rFonts w:hint="default" w:ascii="Times New Roman" w:hAnsi="Times New Roman" w:eastAsia="仿宋_GB2312" w:cs="Times New Roman"/>
          <w:color w:val="000000"/>
          <w:sz w:val="32"/>
          <w:szCs w:val="32"/>
        </w:rPr>
        <w:t>%，将新时代文明实践延伸至企业、学校、公共文化场所，构建起“15分钟服务圈”。用好用活文明实践大讲堂、田间课堂、网上课堂等线上线下阵地，选择有条件的村和社区实施新时代文明实践智慧云平台入户工程。建立“3+3”新时代文明实践工作机制，采取“文明单位+村”“社会组织+社区”“企业+志愿项目”的方式，持续做大“文明实践+”文章，推动文明实践活动常态长效。</w:t>
      </w:r>
    </w:p>
    <w:p>
      <w:pPr>
        <w:spacing w:line="54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大力践行社会主义核心价值观。</w:t>
      </w:r>
      <w:r>
        <w:rPr>
          <w:rFonts w:hint="default" w:ascii="Times New Roman" w:hAnsi="Times New Roman" w:eastAsia="仿宋_GB2312" w:cs="Times New Roman"/>
          <w:color w:val="000000"/>
          <w:sz w:val="32"/>
          <w:szCs w:val="32"/>
        </w:rPr>
        <w:t>发挥社会主义核心价值观对国民教育、精神文明创建、精神文化产品创作生产传播的引领作用，把社会主义核心价值观融入社会发展各方面。贯彻落实</w:t>
      </w:r>
      <w:r>
        <w:rPr>
          <w:rFonts w:hint="eastAsia" w:ascii="Times New Roman" w:hAnsi="Times New Roman" w:eastAsia="仿宋_GB2312" w:cs="Times New Roman"/>
          <w:color w:val="000000"/>
          <w:sz w:val="32"/>
          <w:szCs w:val="32"/>
          <w:lang w:eastAsia="zh-CN"/>
        </w:rPr>
        <w:t>《新时代爱国主义教育实施纲要》</w:t>
      </w:r>
      <w:r>
        <w:rPr>
          <w:rFonts w:hint="default" w:ascii="Times New Roman" w:hAnsi="Times New Roman" w:eastAsia="仿宋_GB2312" w:cs="Times New Roman"/>
          <w:color w:val="000000"/>
          <w:sz w:val="32"/>
          <w:szCs w:val="32"/>
        </w:rPr>
        <w:t>，加强爱国主义教育，推进爱国主义教育基地与党性教育基地、国防教育基地等共享共用，推荐胶东育儿所教育基地争创省级、国家级爱国主义教育示范基地。贯彻落实《新时代公民道德建设实施纲要》，加强社会公德、职业道德、家庭美德、个人品德建设，提升公民道德素养。大力选树宣传道德模范、身边好人、最美人物等先进典型，引领社会道德风尚，营造向上向善的浓厚氛围。大力传承弘扬红色基因，实施红色印迹抢救保护利用工程，创作大型原创组歌《红色乳山》、创编话剧《乳娘》、拍摄电影和电视剧《胶东乳娘》，鼓励引导文艺社团创作更多文艺精品。</w:t>
      </w:r>
    </w:p>
    <w:p>
      <w:pPr>
        <w:spacing w:before="156" w:beforeLines="50" w:after="156" w:afterLines="50" w:line="560" w:lineRule="exact"/>
        <w:jc w:val="center"/>
        <w:outlineLvl w:val="1"/>
        <w:rPr>
          <w:rFonts w:hint="default" w:ascii="Times New Roman" w:hAnsi="Times New Roman" w:eastAsia="黑体" w:cs="Times New Roman"/>
          <w:bCs/>
          <w:color w:val="000000"/>
          <w:sz w:val="32"/>
          <w:szCs w:val="32"/>
        </w:rPr>
      </w:pPr>
      <w:bookmarkStart w:id="74" w:name="_Toc54561647"/>
      <w:bookmarkStart w:id="75" w:name="_Toc62919445"/>
      <w:r>
        <w:rPr>
          <w:rFonts w:hint="default" w:ascii="Times New Roman" w:hAnsi="Times New Roman" w:eastAsia="黑体" w:cs="Times New Roman"/>
          <w:bCs/>
          <w:color w:val="000000"/>
          <w:sz w:val="32"/>
          <w:szCs w:val="32"/>
        </w:rPr>
        <w:t xml:space="preserve">第二节 </w:t>
      </w:r>
      <w:bookmarkEnd w:id="74"/>
      <w:r>
        <w:rPr>
          <w:rFonts w:hint="default" w:ascii="Times New Roman" w:hAnsi="Times New Roman" w:eastAsia="黑体" w:cs="Times New Roman"/>
          <w:bCs/>
          <w:color w:val="000000"/>
          <w:sz w:val="32"/>
          <w:szCs w:val="32"/>
        </w:rPr>
        <w:t>大力发展文化事业</w:t>
      </w:r>
      <w:bookmarkEnd w:id="75"/>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深入推进国家公共文化服务体系示范区创建，加快建成覆盖城乡、便捷高效、保基本、促公平的现代公共文化服务体系，加强历史文脉和文化遗产保护，弘扬优秀传统文化，大力传承红色基因，彰显城市文化特色，全面提升城市文化内涵。</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完善公共文化服务体系。</w:t>
      </w:r>
      <w:r>
        <w:rPr>
          <w:rFonts w:hint="default" w:ascii="Times New Roman" w:hAnsi="Times New Roman" w:eastAsia="仿宋_GB2312" w:cs="Times New Roman"/>
          <w:color w:val="000000"/>
          <w:sz w:val="32"/>
          <w:szCs w:val="32"/>
        </w:rPr>
        <w:t>深入实施文化设施升级工程，加快推进图书馆、文化馆、博物馆、方志馆等市级公共文化设施建设，推行市图书馆、市文化馆总分馆制建设。推进城市书房建设，通过信息技术手段实现书房之间、书房与公共图书馆之间的互通互联，营造城市“15分钟阅读文化圈”。优化乡村文化产品供给，鼓励“三农”题材文艺作品创作，完善文化科技卫生“三下乡”长效机制。加强基层公共文化队伍建设，提升城乡基层公共文化服务岗位人员待遇，强化公共文化服务专业人才培养，完善基层公共文化服务人才培训和激励机制。</w:t>
      </w:r>
    </w:p>
    <w:p>
      <w:pPr>
        <w:spacing w:line="560" w:lineRule="exact"/>
        <w:ind w:firstLine="640" w:firstLineChars="200"/>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弘扬优秀传统文化。</w:t>
      </w:r>
      <w:r>
        <w:rPr>
          <w:rFonts w:hint="default" w:ascii="Times New Roman" w:hAnsi="Times New Roman" w:eastAsia="仿宋_GB2312" w:cs="Times New Roman"/>
          <w:color w:val="000000"/>
          <w:sz w:val="32"/>
          <w:szCs w:val="32"/>
        </w:rPr>
        <w:t>传承发展母爱文化，立足于大乳山、小乳山和睡美人自然资源，大乳山传说人文神话故事，胶东育儿所红色乳娘感人事迹，加大对母爱文化的挖掘、整理和弘扬，持续开展爱母、敬母、孝母活动，弘扬中华民族孝道传统文化。深入挖掘丰富的革命历史文化资源，推动革命文化教育普及，加强爱国主义教育基地管理，组织开展红色乳山研学游和乳娘精神宣讲活动，深化党史、国史学习教育，讲好红色革命故事。挖掘梳理海洋文化资源，深层次挖掘乳山牡蛎文化，积极举办牡蛎文化节、牡蛎争霸赛、牡蛎品鲜季等系列文化活动，不断扩大乳山牡蛎文化影响力。</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加强文化遗产保护。</w:t>
      </w:r>
      <w:r>
        <w:rPr>
          <w:rFonts w:hint="default" w:ascii="Times New Roman" w:hAnsi="Times New Roman" w:eastAsia="仿宋_GB2312" w:cs="Times New Roman"/>
          <w:color w:val="000000"/>
          <w:sz w:val="32"/>
          <w:szCs w:val="32"/>
        </w:rPr>
        <w:t>整理保护有地方特色的物质文化遗产，传承保护传统戏剧、传统技艺、民俗活动、民间传说等非物质文化遗产。积极申报马石山革命遗址群和胶东育儿所旧址为第八批全国文物保护单位，对南黄庄东夷文化遗址、翁家埠贝丘遗址、育犁故城、安家军寨、海阳所古城等古遗迹进行保护开发，加强历史价值挖掘和宣传保护推介。加强非物质文化遗产保护，深入实施省级非遗项目“六个一”保护行动、代表性传承人“五个一”扶持计划，开展省级非遗项目、代表性传承人抢救性记录工程。挖掘和保护民间传统谚语、地方戏种、农耕文化、优秀习俗等乡村文化，建立数字影像馆，加大传承弘扬力度。</w:t>
      </w:r>
    </w:p>
    <w:p>
      <w:pPr>
        <w:spacing w:before="156" w:beforeLines="50" w:after="156" w:afterLines="50" w:line="560" w:lineRule="exact"/>
        <w:jc w:val="center"/>
        <w:outlineLvl w:val="1"/>
        <w:rPr>
          <w:rFonts w:hint="default" w:ascii="Times New Roman" w:hAnsi="Times New Roman" w:eastAsia="黑体" w:cs="Times New Roman"/>
          <w:bCs/>
          <w:color w:val="000000"/>
          <w:sz w:val="32"/>
          <w:szCs w:val="32"/>
        </w:rPr>
      </w:pPr>
      <w:bookmarkStart w:id="76" w:name="_Toc54561649"/>
      <w:bookmarkStart w:id="77" w:name="_Toc62919446"/>
      <w:r>
        <w:rPr>
          <w:rFonts w:hint="default" w:ascii="Times New Roman" w:hAnsi="Times New Roman" w:eastAsia="黑体" w:cs="Times New Roman"/>
          <w:bCs/>
          <w:color w:val="000000"/>
          <w:sz w:val="32"/>
          <w:szCs w:val="32"/>
        </w:rPr>
        <w:t xml:space="preserve">第三节 </w:t>
      </w:r>
      <w:bookmarkEnd w:id="76"/>
      <w:r>
        <w:rPr>
          <w:rFonts w:hint="default" w:ascii="Times New Roman" w:hAnsi="Times New Roman" w:eastAsia="黑体" w:cs="Times New Roman"/>
          <w:bCs/>
          <w:color w:val="000000"/>
          <w:sz w:val="32"/>
          <w:szCs w:val="32"/>
        </w:rPr>
        <w:t>做大做强文化产业</w:t>
      </w:r>
      <w:bookmarkEnd w:id="77"/>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健全现代文化产业体系，深化文化体制改革，培育新的文化业态和消费模式，扩大全民文化消费，促进文化产业高质量发展。</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构建现代文化产业体系。</w:t>
      </w:r>
      <w:r>
        <w:rPr>
          <w:rFonts w:hint="default" w:ascii="Times New Roman" w:hAnsi="Times New Roman" w:eastAsia="仿宋_GB2312" w:cs="Times New Roman"/>
          <w:color w:val="000000"/>
          <w:sz w:val="32"/>
          <w:szCs w:val="32"/>
        </w:rPr>
        <w:t>推进文化与其他产业融合发展，加快资源整合，大力发展新兴业态，打造一批优势文化产业园区，引进一批龙头文化项目。积极组织企业参与省文博会等文旅展会，利用各级平台打开市场、吸引投资、引进人才，提升文创产品层次，培育现代文创产业和产品市场。大力培育文化产业市场主体，发展壮大骨干文化企业。完善文化产业发展支持政策，探索建立文化产业人才培养投入机制。</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培育和促进文化消费。</w:t>
      </w:r>
      <w:r>
        <w:rPr>
          <w:rFonts w:hint="default" w:ascii="Times New Roman" w:hAnsi="Times New Roman" w:eastAsia="仿宋_GB2312" w:cs="Times New Roman"/>
          <w:color w:val="000000"/>
          <w:sz w:val="32"/>
          <w:szCs w:val="32"/>
        </w:rPr>
        <w:t>持续开展文化惠民消费季活动，从供给和消费两端发力，引导文化消费升级。推进文化旅游融合发展，鼓励景区推出门票降价、打折促销、淡季免费等政策，支持景区突出文化特色，举办祈福、文化演出、非遗展演等系列活动，打造高品质文化旅游演艺产品。推动文化文物单位文化创意产品开发，拓展文化创意产品开发投资、设计制作和营销渠道，加强文化资源开放，促进资源、创意、市场共享。</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繁荣发展乡村文化产业。</w:t>
      </w:r>
      <w:r>
        <w:rPr>
          <w:rFonts w:hint="default" w:ascii="Times New Roman" w:hAnsi="Times New Roman" w:eastAsia="仿宋_GB2312" w:cs="Times New Roman"/>
          <w:color w:val="000000"/>
          <w:sz w:val="32"/>
          <w:szCs w:val="32"/>
        </w:rPr>
        <w:t>加大对乡村文化产业的扶持力度，引导利用古民居、古遗址、古村落、古街等特色遗址以及牡蛎、茶叶、大姜、苹果等生态农业发展文化产业项目，重点培育一批特色突出的文化小镇。实施乡村文化产业精品工程，推动乳山大喜饼、葫芦烙画等特色鲜明的“非遗”项目传承发展，组织举办中国农民丰收节、台依湖国际酒庄文化节等文化节庆活动，培育一批具有乳山特色的乡村文化品牌。实施休闲农业和乡村旅游精品工程，重点在文化遗产、节庆赛事、修学研习、养生文化、民俗文化、名人文化等方面进行创意开发，打造一批特色艺术村、养生村、休闲村。</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强化文化体制改革攻坚。</w:t>
      </w:r>
      <w:r>
        <w:rPr>
          <w:rFonts w:hint="default" w:ascii="Times New Roman" w:hAnsi="Times New Roman" w:eastAsia="仿宋_GB2312" w:cs="Times New Roman"/>
          <w:color w:val="000000"/>
          <w:sz w:val="32"/>
          <w:szCs w:val="32"/>
        </w:rPr>
        <w:t>深化文化行政管理体制改革，加快文化领域“放管服”改革，推进文化单位决策机制、薪酬分配、用人制度等改革，加强文化领域行业组织建设，优化文化企业发展环境。实施国有文化企业“双效”统一提质增效工程，增强企业市场竞争和保值增值能力。加快推进传统媒体与新兴媒体融合发展，提升主流媒体经营力、传播力、竞争力。到2025年，构建起覆盖城乡、便捷高效、保基本、促公平，在全国具有良好示范意义的现代公共文化服务体系。</w:t>
      </w:r>
    </w:p>
    <w:tbl>
      <w:tblPr>
        <w:tblStyle w:val="20"/>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48" w:type="dxa"/>
            <w:noWrap w:val="0"/>
            <w:vAlign w:val="top"/>
          </w:tcPr>
          <w:p>
            <w:pPr>
              <w:spacing w:line="560" w:lineRule="exact"/>
              <w:jc w:val="center"/>
              <w:rPr>
                <w:rFonts w:hint="default" w:ascii="Times New Roman" w:hAnsi="Times New Roman" w:eastAsia="黑体" w:cs="Times New Roman"/>
                <w:color w:val="000000"/>
                <w:kern w:val="0"/>
                <w:sz w:val="30"/>
                <w:szCs w:val="30"/>
              </w:rPr>
            </w:pPr>
            <w:r>
              <w:rPr>
                <w:rFonts w:hint="default" w:ascii="Times New Roman" w:hAnsi="Times New Roman" w:eastAsia="黑体" w:cs="Times New Roman"/>
                <w:color w:val="000000"/>
                <w:kern w:val="0"/>
                <w:sz w:val="28"/>
                <w:szCs w:val="28"/>
              </w:rPr>
              <w:t>专栏9 文化产业项目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48" w:type="dxa"/>
            <w:noWrap w:val="0"/>
            <w:vAlign w:val="top"/>
          </w:tcPr>
          <w:p>
            <w:pPr>
              <w:adjustRightInd w:val="0"/>
              <w:snapToGrid w:val="0"/>
              <w:spacing w:line="360" w:lineRule="exact"/>
              <w:ind w:firstLine="422" w:firstLineChars="200"/>
              <w:rPr>
                <w:rFonts w:hint="default" w:ascii="Times New Roman" w:hAnsi="Times New Roman" w:cs="Times New Roman"/>
                <w:b/>
                <w:bCs/>
                <w:color w:val="000000"/>
                <w:szCs w:val="21"/>
              </w:rPr>
            </w:pPr>
            <w:r>
              <w:rPr>
                <w:rFonts w:hint="default" w:ascii="Times New Roman" w:hAnsi="Times New Roman" w:eastAsia="楷体_GB2312" w:cs="Times New Roman"/>
                <w:b/>
                <w:bCs/>
                <w:color w:val="000000"/>
                <w:szCs w:val="21"/>
              </w:rPr>
              <w:t>1.续建项目。</w:t>
            </w:r>
            <w:r>
              <w:rPr>
                <w:rFonts w:hint="default" w:ascii="Times New Roman" w:hAnsi="Times New Roman" w:cs="Times New Roman"/>
                <w:b/>
                <w:bCs/>
                <w:color w:val="000000"/>
                <w:szCs w:val="21"/>
              </w:rPr>
              <w:t>绿城台依湖酒庄酒产业小镇、南江民俗文化产业园、福如东海戴斯酒店、乳山牡蛎欢乐城、大学生创业基地、仁和时代广场、华百电影文化广场、福如东海书画院二期、天润温泉度假区、小汤温泉东夷文化园。</w:t>
            </w:r>
          </w:p>
          <w:p>
            <w:pPr>
              <w:adjustRightInd w:val="0"/>
              <w:snapToGrid w:val="0"/>
              <w:spacing w:line="360" w:lineRule="exact"/>
              <w:ind w:firstLine="422" w:firstLineChars="200"/>
              <w:rPr>
                <w:rFonts w:hint="default" w:ascii="Times New Roman" w:hAnsi="Times New Roman" w:cs="Times New Roman"/>
                <w:b/>
                <w:bCs/>
                <w:color w:val="000000"/>
                <w:szCs w:val="21"/>
              </w:rPr>
            </w:pPr>
            <w:r>
              <w:rPr>
                <w:rFonts w:hint="default" w:ascii="Times New Roman" w:hAnsi="Times New Roman" w:eastAsia="楷体_GB2312" w:cs="Times New Roman"/>
                <w:b/>
                <w:bCs/>
                <w:color w:val="000000"/>
                <w:szCs w:val="21"/>
              </w:rPr>
              <w:t>2.新建项目。</w:t>
            </w:r>
            <w:r>
              <w:rPr>
                <w:rFonts w:hint="default" w:ascii="Times New Roman" w:hAnsi="Times New Roman" w:cs="Times New Roman"/>
                <w:b/>
                <w:bCs/>
                <w:color w:val="000000"/>
                <w:szCs w:val="21"/>
              </w:rPr>
              <w:t>文化综合体、国际游艇飞行俱乐部、海洋牧场平台。</w:t>
            </w:r>
          </w:p>
          <w:p>
            <w:pPr>
              <w:spacing w:line="360" w:lineRule="exact"/>
              <w:ind w:firstLine="422" w:firstLineChars="200"/>
              <w:rPr>
                <w:rFonts w:hint="default" w:ascii="Times New Roman" w:hAnsi="Times New Roman" w:eastAsia="楷体_GB2312" w:cs="Times New Roman"/>
                <w:color w:val="000000"/>
              </w:rPr>
            </w:pPr>
            <w:r>
              <w:rPr>
                <w:rFonts w:hint="default" w:ascii="Times New Roman" w:hAnsi="Times New Roman" w:eastAsia="楷体_GB2312" w:cs="Times New Roman"/>
                <w:b/>
                <w:bCs/>
                <w:color w:val="000000"/>
                <w:szCs w:val="21"/>
              </w:rPr>
              <w:t>3.规划项目。</w:t>
            </w:r>
            <w:r>
              <w:rPr>
                <w:rFonts w:hint="default" w:ascii="Times New Roman" w:hAnsi="Times New Roman" w:cs="Times New Roman"/>
                <w:b/>
                <w:bCs/>
                <w:color w:val="000000"/>
                <w:szCs w:val="21"/>
              </w:rPr>
              <w:t>油画写生基地、大姜文化养生园、天地纵横山地运动休闲度假基地、小石口民俗渔家乐项目、电影《胶东乳娘》拍摄项目、银滩风情海岸项目、腾甲庄古村落保护项目。</w:t>
            </w:r>
          </w:p>
        </w:tc>
      </w:tr>
    </w:tbl>
    <w:p>
      <w:pPr>
        <w:spacing w:after="156" w:afterLines="50" w:line="560" w:lineRule="exact"/>
        <w:jc w:val="center"/>
        <w:outlineLvl w:val="0"/>
        <w:rPr>
          <w:rFonts w:hint="default" w:ascii="Times New Roman" w:hAnsi="Times New Roman" w:eastAsia="黑体" w:cs="Times New Roman"/>
          <w:bCs/>
          <w:color w:val="000000"/>
          <w:sz w:val="34"/>
          <w:szCs w:val="34"/>
        </w:rPr>
      </w:pPr>
      <w:r>
        <w:rPr>
          <w:rFonts w:hint="default" w:ascii="Times New Roman" w:hAnsi="Times New Roman" w:eastAsia="仿宋_GB2312" w:cs="Times New Roman"/>
          <w:color w:val="000000"/>
          <w:sz w:val="32"/>
          <w:szCs w:val="32"/>
        </w:rPr>
        <w:br w:type="page"/>
      </w:r>
      <w:bookmarkStart w:id="78" w:name="_Toc54561654"/>
      <w:bookmarkStart w:id="79" w:name="_Toc62919447"/>
      <w:bookmarkStart w:id="80" w:name="_Toc54561650"/>
      <w:r>
        <w:rPr>
          <w:rFonts w:hint="default" w:ascii="Times New Roman" w:hAnsi="Times New Roman" w:eastAsia="黑体" w:cs="Times New Roman"/>
          <w:bCs/>
          <w:color w:val="000000"/>
          <w:sz w:val="34"/>
          <w:szCs w:val="34"/>
        </w:rPr>
        <w:t>第九章 统筹社会事业发展 开创幸福乳山新局面</w:t>
      </w:r>
      <w:bookmarkEnd w:id="78"/>
      <w:bookmarkEnd w:id="79"/>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着力补齐民生短板，完善公共服务体系，有序推进城乡基本公共服务均等化，实现幼有善育、学有优教、劳有厚得、病有良医、老有颐养、住有宜居、弱有众扶，使人民群众的获得感、幸福感、安全感更加充实、更有保障、更可持续。</w:t>
      </w:r>
    </w:p>
    <w:p>
      <w:pPr>
        <w:pStyle w:val="3"/>
        <w:spacing w:before="156" w:beforeLines="50" w:after="156" w:afterLines="50" w:line="560" w:lineRule="exact"/>
        <w:ind w:firstLine="0" w:firstLineChars="0"/>
        <w:jc w:val="center"/>
        <w:rPr>
          <w:rFonts w:hint="default" w:ascii="Times New Roman" w:hAnsi="Times New Roman" w:eastAsia="黑体" w:cs="Times New Roman"/>
          <w:b w:val="0"/>
          <w:bCs/>
          <w:color w:val="000000"/>
        </w:rPr>
      </w:pPr>
      <w:bookmarkStart w:id="81" w:name="_Toc62919448"/>
      <w:bookmarkStart w:id="82" w:name="_Toc54561655"/>
      <w:r>
        <w:rPr>
          <w:rFonts w:hint="default" w:ascii="Times New Roman" w:hAnsi="Times New Roman" w:eastAsia="黑体" w:cs="Times New Roman"/>
          <w:b w:val="0"/>
          <w:bCs/>
          <w:color w:val="000000"/>
        </w:rPr>
        <w:t>第一节 加快发展优质现代教育</w:t>
      </w:r>
      <w:bookmarkEnd w:id="81"/>
      <w:bookmarkEnd w:id="82"/>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实施教育优先发展战略，进一步提升教育质量，优化教育结构，保障教育公平，在全省率先实现教育现代化。</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建设高质量教育体系。</w:t>
      </w:r>
      <w:r>
        <w:rPr>
          <w:rFonts w:hint="default" w:ascii="Times New Roman" w:hAnsi="Times New Roman" w:eastAsia="仿宋_GB2312" w:cs="Times New Roman"/>
          <w:color w:val="000000"/>
          <w:sz w:val="32"/>
          <w:szCs w:val="32"/>
        </w:rPr>
        <w:t>全面贯彻党的教育方针，坚持立德树人，加强师德师风建设，培养德智体美劳全面发展的社会主义建设者和接班人。加强普惠性学前教育资源供给，推进普通中小学特色学校建设，实施“一流高中”建设计划，支持和鼓励全市学校进行多层次的集团化办学，全面提升基础教育内涵和质量。推进精致校园建设工程，塑造乳山教育精致品牌。扩大小班化教学的覆盖面，促进乡镇教育振兴、区域教育均衡发展。制定城乡义务教育一体化标准体系，大力推进义务教育优质均衡发展。将随迁子女义务教育纳入城镇发展规划和财政保障范围。充分保障残疾儿童少年受教育的权利，实施15年免费特殊教育。</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促进各类教育协调发展。</w:t>
      </w:r>
      <w:r>
        <w:rPr>
          <w:rFonts w:hint="default" w:ascii="Times New Roman" w:hAnsi="Times New Roman" w:eastAsia="仿宋_GB2312" w:cs="Times New Roman"/>
          <w:color w:val="000000"/>
          <w:sz w:val="32"/>
          <w:szCs w:val="32"/>
        </w:rPr>
        <w:t>支持推动山东外事职业大学发展。加强中职、高职“3+2”专业建设，力争中职与职业教育本科和应用型本科“3+4”专业落户乳山。促进职业学校教师和企业技术人才双向交流，建设“双师型”教师队伍，开展“名师导师学徒制”试点工作。加强特殊教育，对有能力接受普通教育的残疾儿童少年实行“零拒绝”，对不能到校就读、需要专人护理适龄残疾儿童少年“一人一案”“送教上门”。支持镇（街道）设立社区教育中心学校，鼓励职业学校开发社区教育教材，开展社区教育活动。</w:t>
      </w:r>
    </w:p>
    <w:p>
      <w:pPr>
        <w:spacing w:line="560" w:lineRule="exact"/>
        <w:ind w:right="105" w:rightChars="5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提升体育事业发展水平。</w:t>
      </w:r>
      <w:r>
        <w:rPr>
          <w:rFonts w:hint="default" w:ascii="Times New Roman" w:hAnsi="Times New Roman" w:eastAsia="仿宋_GB2312" w:cs="Times New Roman"/>
          <w:color w:val="000000"/>
          <w:sz w:val="32"/>
          <w:szCs w:val="32"/>
        </w:rPr>
        <w:t>落实全民健身战略，推动群众体育再上新台阶，办好重大赛事活动，打造体育强市、赛事之都、健康乳山。大力发展群众性体育，构建功能明确、网络健全、城乡一体、惠及全民的公共体育服务体系。完善公共体育服务设施，推动中小学体育场馆开放，健全基层公共体育设施网络，打造“十分钟健身圈”。办好女子半程马拉松等高端赛事，培育引进更多的品牌文体活动。</w:t>
      </w:r>
    </w:p>
    <w:tbl>
      <w:tblPr>
        <w:tblStyle w:val="20"/>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48" w:type="dxa"/>
            <w:noWrap w:val="0"/>
            <w:vAlign w:val="top"/>
          </w:tcPr>
          <w:p>
            <w:pPr>
              <w:spacing w:line="560" w:lineRule="exact"/>
              <w:jc w:val="center"/>
              <w:rPr>
                <w:rFonts w:hint="default" w:ascii="Times New Roman" w:hAnsi="Times New Roman" w:eastAsia="黑体" w:cs="Times New Roman"/>
                <w:color w:val="000000"/>
                <w:kern w:val="0"/>
                <w:sz w:val="30"/>
                <w:szCs w:val="30"/>
              </w:rPr>
            </w:pPr>
            <w:r>
              <w:rPr>
                <w:rFonts w:hint="default" w:ascii="Times New Roman" w:hAnsi="Times New Roman" w:eastAsia="黑体" w:cs="Times New Roman"/>
                <w:color w:val="000000"/>
                <w:sz w:val="28"/>
                <w:szCs w:val="28"/>
              </w:rPr>
              <w:t>专栏10 教育体育事业发展重点工程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48" w:type="dxa"/>
            <w:noWrap w:val="0"/>
            <w:vAlign w:val="top"/>
          </w:tcPr>
          <w:p>
            <w:pPr>
              <w:spacing w:line="240" w:lineRule="auto"/>
              <w:ind w:firstLine="422" w:firstLineChars="200"/>
              <w:rPr>
                <w:rFonts w:hint="default" w:ascii="Times New Roman" w:hAnsi="Times New Roman" w:cs="Times New Roman"/>
                <w:b/>
                <w:bCs/>
                <w:color w:val="000000"/>
                <w:szCs w:val="21"/>
              </w:rPr>
            </w:pPr>
            <w:r>
              <w:rPr>
                <w:rFonts w:hint="default" w:ascii="Times New Roman" w:hAnsi="Times New Roman" w:eastAsia="楷体_GB2312" w:cs="Times New Roman"/>
                <w:b/>
                <w:bCs/>
                <w:color w:val="000000"/>
                <w:szCs w:val="21"/>
              </w:rPr>
              <w:t>1.学校改建改造行动。</w:t>
            </w:r>
            <w:r>
              <w:rPr>
                <w:rFonts w:hint="default" w:ascii="Times New Roman" w:hAnsi="Times New Roman" w:cs="Times New Roman"/>
                <w:b/>
                <w:bCs/>
                <w:color w:val="000000"/>
                <w:szCs w:val="21"/>
              </w:rPr>
              <w:t>推动杭州路小学及开发街小学新建工程、一中东校区新建工程、二实小幼儿园重建工程、一实小教学楼重建工程，海峰街幼儿园及部分城区幼儿园续建工程，紫锦嘉园、春风玖里等13个小区的配套幼儿园装修改造工程；实施中小学校舍加固工程、中小学校舍改造工程、中小学体育活动室建设工程。</w:t>
            </w:r>
          </w:p>
          <w:p>
            <w:pPr>
              <w:spacing w:line="240" w:lineRule="auto"/>
              <w:ind w:firstLine="422" w:firstLineChars="200"/>
              <w:rPr>
                <w:rFonts w:hint="default" w:ascii="Times New Roman" w:hAnsi="Times New Roman" w:cs="Times New Roman"/>
                <w:b/>
                <w:bCs/>
                <w:color w:val="000000"/>
                <w:szCs w:val="21"/>
              </w:rPr>
            </w:pPr>
            <w:r>
              <w:rPr>
                <w:rFonts w:hint="default" w:ascii="Times New Roman" w:hAnsi="Times New Roman" w:eastAsia="楷体_GB2312" w:cs="Times New Roman"/>
                <w:b/>
                <w:bCs/>
                <w:color w:val="000000"/>
                <w:szCs w:val="21"/>
              </w:rPr>
              <w:t>2.国际化学校引进行动。</w:t>
            </w:r>
            <w:r>
              <w:rPr>
                <w:rFonts w:hint="default" w:ascii="Times New Roman" w:hAnsi="Times New Roman" w:cs="Times New Roman"/>
                <w:b/>
                <w:bCs/>
                <w:color w:val="000000"/>
                <w:szCs w:val="21"/>
              </w:rPr>
              <w:t>引进一所或多所涵盖小学、初中、高中的国际学校，择址新建国际学校，每学段规模各30个教学班。</w:t>
            </w:r>
          </w:p>
          <w:p>
            <w:pPr>
              <w:spacing w:line="240" w:lineRule="auto"/>
              <w:ind w:firstLine="422" w:firstLineChars="200"/>
              <w:rPr>
                <w:rFonts w:hint="default" w:ascii="Times New Roman" w:hAnsi="Times New Roman" w:cs="Times New Roman"/>
                <w:b/>
                <w:bCs/>
                <w:color w:val="000000"/>
                <w:szCs w:val="21"/>
              </w:rPr>
            </w:pPr>
            <w:r>
              <w:rPr>
                <w:rFonts w:hint="default" w:ascii="Times New Roman" w:hAnsi="Times New Roman" w:eastAsia="楷体_GB2312" w:cs="Times New Roman"/>
                <w:b/>
                <w:bCs/>
                <w:color w:val="000000"/>
                <w:szCs w:val="21"/>
              </w:rPr>
              <w:t>3.职业教育提升行动。</w:t>
            </w:r>
            <w:r>
              <w:rPr>
                <w:rFonts w:hint="default" w:ascii="Times New Roman" w:hAnsi="Times New Roman" w:cs="Times New Roman"/>
                <w:b/>
                <w:bCs/>
                <w:color w:val="000000"/>
                <w:szCs w:val="21"/>
              </w:rPr>
              <w:t>增设贴近市场、贴近我市产业发展的专业，优化专业设置，增配教育教学设施设备，推动威海市机械工程高级技工学校创建成为技师学院。</w:t>
            </w:r>
          </w:p>
          <w:p>
            <w:pPr>
              <w:spacing w:line="240" w:lineRule="auto"/>
              <w:ind w:firstLine="422" w:firstLineChars="200"/>
              <w:rPr>
                <w:rFonts w:hint="default" w:ascii="Times New Roman" w:hAnsi="Times New Roman" w:cs="Times New Roman"/>
                <w:b/>
                <w:bCs/>
                <w:color w:val="000000"/>
                <w:szCs w:val="21"/>
              </w:rPr>
            </w:pPr>
            <w:r>
              <w:rPr>
                <w:rFonts w:hint="default" w:ascii="Times New Roman" w:hAnsi="Times New Roman" w:eastAsia="楷体_GB2312" w:cs="Times New Roman"/>
                <w:b/>
                <w:bCs/>
                <w:color w:val="000000"/>
                <w:szCs w:val="21"/>
              </w:rPr>
              <w:t>4.大学教育提升行动。</w:t>
            </w:r>
            <w:r>
              <w:rPr>
                <w:rFonts w:hint="default" w:ascii="Times New Roman" w:hAnsi="Times New Roman" w:cs="Times New Roman"/>
                <w:b/>
                <w:bCs/>
                <w:color w:val="000000"/>
                <w:szCs w:val="21"/>
              </w:rPr>
              <w:t>持续优化产学研用的全链条机制，深化校地合作，在山东外事职业大学建设产教融合示范园区，促进创新成果转化，打造创新创业集聚区。</w:t>
            </w:r>
          </w:p>
          <w:p>
            <w:pPr>
              <w:spacing w:line="240" w:lineRule="auto"/>
              <w:ind w:firstLine="422" w:firstLineChars="200"/>
              <w:rPr>
                <w:rFonts w:hint="default" w:ascii="Times New Roman" w:hAnsi="Times New Roman" w:cs="Times New Roman"/>
                <w:b/>
                <w:bCs/>
                <w:color w:val="000000"/>
                <w:szCs w:val="21"/>
              </w:rPr>
            </w:pPr>
            <w:r>
              <w:rPr>
                <w:rFonts w:hint="default" w:ascii="Times New Roman" w:hAnsi="Times New Roman" w:eastAsia="楷体_GB2312" w:cs="Times New Roman"/>
                <w:b/>
                <w:bCs/>
                <w:color w:val="000000"/>
                <w:szCs w:val="21"/>
              </w:rPr>
              <w:t>5.信息化更新工程。</w:t>
            </w:r>
            <w:r>
              <w:rPr>
                <w:rFonts w:hint="default" w:ascii="Times New Roman" w:hAnsi="Times New Roman" w:cs="Times New Roman"/>
                <w:b/>
                <w:bCs/>
                <w:color w:val="000000"/>
                <w:szCs w:val="21"/>
              </w:rPr>
              <w:t>实施中小学教室多媒体及教师微机更新、中小学网络安全配套和创客教室建设、教学区域无线覆盖、大数据系统及配备数字班牌及人工智能综合创新实验室建设。</w:t>
            </w:r>
          </w:p>
          <w:p>
            <w:pPr>
              <w:spacing w:line="240" w:lineRule="auto"/>
              <w:ind w:firstLine="422" w:firstLineChars="200"/>
              <w:rPr>
                <w:rFonts w:hint="default" w:ascii="Times New Roman" w:hAnsi="Times New Roman" w:cs="Times New Roman"/>
                <w:b/>
                <w:bCs/>
                <w:color w:val="000000"/>
                <w:szCs w:val="21"/>
              </w:rPr>
            </w:pPr>
            <w:r>
              <w:rPr>
                <w:rFonts w:hint="default" w:ascii="Times New Roman" w:hAnsi="Times New Roman" w:eastAsia="楷体_GB2312" w:cs="Times New Roman"/>
                <w:b/>
                <w:bCs/>
                <w:color w:val="000000"/>
                <w:szCs w:val="21"/>
              </w:rPr>
              <w:t>6.仪器设备更新工程。</w:t>
            </w:r>
            <w:r>
              <w:rPr>
                <w:rFonts w:hint="default" w:ascii="Times New Roman" w:hAnsi="Times New Roman" w:cs="Times New Roman"/>
                <w:b/>
                <w:bCs/>
                <w:color w:val="000000"/>
                <w:szCs w:val="21"/>
              </w:rPr>
              <w:t>实施中小学教室照明设施和九年一贯制学校部分实验器材更新、义务教育阶段书法教室及物理创新实验室建设。</w:t>
            </w:r>
          </w:p>
          <w:p>
            <w:pPr>
              <w:spacing w:line="240" w:lineRule="auto"/>
              <w:ind w:firstLine="422" w:firstLineChars="200"/>
              <w:rPr>
                <w:rFonts w:hint="default" w:ascii="Times New Roman" w:hAnsi="Times New Roman" w:eastAsia="楷体_GB2312" w:cs="Times New Roman"/>
                <w:color w:val="000000"/>
              </w:rPr>
            </w:pPr>
            <w:r>
              <w:rPr>
                <w:rFonts w:hint="default" w:ascii="Times New Roman" w:hAnsi="Times New Roman" w:eastAsia="楷体_GB2312" w:cs="Times New Roman"/>
                <w:b/>
                <w:bCs/>
                <w:color w:val="000000"/>
                <w:szCs w:val="21"/>
              </w:rPr>
              <w:t>7.体校设施设备配套工程。</w:t>
            </w:r>
            <w:r>
              <w:rPr>
                <w:rFonts w:hint="default" w:ascii="Times New Roman" w:hAnsi="Times New Roman" w:cs="Times New Roman"/>
                <w:b/>
                <w:bCs/>
                <w:color w:val="000000"/>
                <w:szCs w:val="21"/>
              </w:rPr>
              <w:t>支持体校采购安装办公、教学、竞赛训练等配套设施设备。</w:t>
            </w:r>
          </w:p>
        </w:tc>
      </w:tr>
    </w:tbl>
    <w:p>
      <w:pPr>
        <w:pStyle w:val="3"/>
        <w:keepNext w:val="0"/>
        <w:keepLines w:val="0"/>
        <w:pageBreakBefore w:val="0"/>
        <w:widowControl w:val="0"/>
        <w:kinsoku/>
        <w:wordWrap/>
        <w:overflowPunct/>
        <w:topLinePunct w:val="0"/>
        <w:autoSpaceDE/>
        <w:autoSpaceDN/>
        <w:bidi w:val="0"/>
        <w:adjustRightInd/>
        <w:snapToGrid/>
        <w:spacing w:before="157" w:beforeLines="50" w:after="156" w:afterLines="50" w:line="560" w:lineRule="exact"/>
        <w:ind w:firstLine="0" w:firstLineChars="0"/>
        <w:jc w:val="center"/>
        <w:textAlignment w:val="auto"/>
        <w:rPr>
          <w:rFonts w:hint="default" w:ascii="Times New Roman" w:hAnsi="Times New Roman" w:eastAsia="黑体" w:cs="Times New Roman"/>
          <w:b w:val="0"/>
          <w:bCs/>
          <w:color w:val="000000"/>
        </w:rPr>
      </w:pPr>
      <w:bookmarkStart w:id="83" w:name="_Toc62919449"/>
      <w:bookmarkStart w:id="84" w:name="_Toc54561656"/>
      <w:r>
        <w:rPr>
          <w:rFonts w:hint="default" w:ascii="Times New Roman" w:hAnsi="Times New Roman" w:eastAsia="黑体" w:cs="Times New Roman"/>
          <w:b w:val="0"/>
          <w:bCs/>
          <w:color w:val="000000"/>
        </w:rPr>
        <w:t>第二节 提高就业质量和收入水平</w:t>
      </w:r>
      <w:bookmarkEnd w:id="83"/>
      <w:bookmarkEnd w:id="84"/>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千方百计稳定和扩大就业，坚持经济发展就业导向，以创新创业带动就业。持续优化收入分配结构，稳步提高城乡居民收入，努力实现居民收入与经济增长同步，劳动报酬与劳动生产率提高同步。</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实现更高质量的就业。</w:t>
      </w:r>
      <w:r>
        <w:rPr>
          <w:rFonts w:hint="default" w:ascii="Times New Roman" w:hAnsi="Times New Roman" w:eastAsia="仿宋_GB2312" w:cs="Times New Roman"/>
          <w:color w:val="000000"/>
          <w:sz w:val="32"/>
          <w:szCs w:val="32"/>
        </w:rPr>
        <w:t>充分发挥市场化就业的主渠道作用，构建城乡一体化的就业服务体系，增强公共就业服务能力。大力促进以高校毕业生为重点的青年就业和农村转移劳动力、退役军人就业，支持发展新就业形态，促进劳动者自主就业。着力完善对就业困难人员的就业援助机制，确保零就业家庭、最低生活保障家庭等就业困难家庭至少有一人就业。加强职工和农民培训教育，实施新生代农民职业技能提升计划，推行工学结合、校企合作的技术工人培养模式，开展新型学徒制培训，促进科技培训示范基地和公共实训基地优化发展。推进创业带动就业，以滨海新区、经济开发区为核心，努力打造乳山的人才特区、创新特区和创业特区。“十四五”期间农村劳动力转移就业培训人数2000人左右，实现各类失业职工培训及在岗职工技能提升培训7000人，城镇登记失业率控制在4.5%以内。</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优化收入分配格局。</w:t>
      </w:r>
      <w:r>
        <w:rPr>
          <w:rFonts w:hint="default" w:ascii="Times New Roman" w:hAnsi="Times New Roman" w:eastAsia="仿宋_GB2312" w:cs="Times New Roman"/>
          <w:color w:val="000000"/>
          <w:sz w:val="32"/>
          <w:szCs w:val="32"/>
        </w:rPr>
        <w:t>深化收入分配制度改革，提高劳动报酬在初次分配中的比重，完善以税收、社会保障、财政转移支付为主要手段的再分配调节机制，加快形成以中等收入群体为主体的橄榄型收入分配格局。多渠道增加城乡居民财产性收入，鼓励民间投资和创业致富，探索通过土地、资本等要素使用权、收益权增加中低收入群体要素收入。加大低收入困难农户、低收入残疾人帮扶力度，加大转移支付、政策兜底等工作力度。完善工资支付保障机制和欠薪追缴制度，切实保障农民工劳动报酬权。深化事业单位收入分配改革，完善事业单位岗位绩效工资制度。</w:t>
      </w:r>
    </w:p>
    <w:p>
      <w:pPr>
        <w:pStyle w:val="3"/>
        <w:spacing w:before="156" w:beforeLines="50" w:after="156" w:afterLines="50" w:line="560" w:lineRule="exact"/>
        <w:ind w:firstLine="0" w:firstLineChars="0"/>
        <w:jc w:val="center"/>
        <w:rPr>
          <w:rFonts w:hint="default" w:ascii="Times New Roman" w:hAnsi="Times New Roman" w:eastAsia="黑体" w:cs="Times New Roman"/>
          <w:b w:val="0"/>
          <w:bCs/>
          <w:color w:val="000000"/>
        </w:rPr>
      </w:pPr>
      <w:bookmarkStart w:id="85" w:name="_Toc54561657"/>
      <w:bookmarkStart w:id="86" w:name="_Toc62919450"/>
      <w:r>
        <w:rPr>
          <w:rFonts w:hint="default" w:ascii="Times New Roman" w:hAnsi="Times New Roman" w:eastAsia="黑体" w:cs="Times New Roman"/>
          <w:b w:val="0"/>
          <w:bCs/>
          <w:color w:val="000000"/>
        </w:rPr>
        <w:t xml:space="preserve">第三节 </w:t>
      </w:r>
      <w:bookmarkEnd w:id="85"/>
      <w:r>
        <w:rPr>
          <w:rFonts w:hint="default" w:ascii="Times New Roman" w:hAnsi="Times New Roman" w:eastAsia="黑体" w:cs="Times New Roman"/>
          <w:b w:val="0"/>
          <w:bCs/>
          <w:color w:val="000000"/>
        </w:rPr>
        <w:t>全面推进健康乳山建设</w:t>
      </w:r>
      <w:bookmarkEnd w:id="86"/>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把保障人民健康放在优先发展的战略位置，</w:t>
      </w:r>
      <w:r>
        <w:rPr>
          <w:rFonts w:hint="default" w:ascii="Times New Roman" w:hAnsi="Times New Roman" w:eastAsia="仿宋_GB2312" w:cs="Times New Roman"/>
          <w:color w:val="000000"/>
          <w:sz w:val="32"/>
          <w:szCs w:val="40"/>
        </w:rPr>
        <w:t>促进“以治病为中心”向“以人民健康为中心”转变，</w:t>
      </w:r>
      <w:r>
        <w:rPr>
          <w:rFonts w:hint="default" w:ascii="Times New Roman" w:hAnsi="Times New Roman" w:eastAsia="仿宋_GB2312" w:cs="Times New Roman"/>
          <w:color w:val="000000"/>
          <w:sz w:val="32"/>
          <w:szCs w:val="32"/>
        </w:rPr>
        <w:t>坚持预防为主的方针，深入实施健康乳山行动，完善国民健康促进政策，织牢公共卫生防护网，为人民提供全方位全周期健康服务。</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加强公共卫生安全体系建设。</w:t>
      </w:r>
      <w:r>
        <w:rPr>
          <w:rFonts w:hint="default" w:ascii="Times New Roman" w:hAnsi="Times New Roman" w:eastAsia="仿宋_GB2312" w:cs="Times New Roman"/>
          <w:color w:val="000000"/>
          <w:sz w:val="32"/>
          <w:szCs w:val="32"/>
        </w:rPr>
        <w:t>改革疾病预防控制体系，健全专业公共卫生机构、医院、基层医疗卫生机构“三位一体”的重大疾病防控机制，探索建立“医防合作”新型疾控模式。加强突发事件卫生应急，建立健全功能齐全、布局合理、协同顺畅、保障有力的公共卫生应急体系。完善卫生应急管理运行机制及突发公共卫生事件应急预案，提高突发事件卫生应急预警监测水平、应对能力和指挥效力。</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完善城乡医疗卫生服务体系。</w:t>
      </w:r>
      <w:r>
        <w:rPr>
          <w:rFonts w:hint="default" w:ascii="Times New Roman" w:hAnsi="Times New Roman" w:eastAsia="仿宋_GB2312" w:cs="Times New Roman"/>
          <w:color w:val="000000"/>
          <w:sz w:val="32"/>
          <w:szCs w:val="32"/>
        </w:rPr>
        <w:t>加大优质医疗卫生资源引进力度，支持全市综合和专科医疗机构与中外知名医疗机构建立战略合作关系，搭建高层次医联体平台。加强社区卫生服务中心（站）建设，优化布局社区卫生服务中心（站），构建“15分钟健康服务圈”。提升农村医疗卫生服务能力，加强乡镇卫生院综合特</w:t>
      </w:r>
    </w:p>
    <w:p>
      <w:pPr>
        <w:pStyle w:val="19"/>
        <w:spacing w:after="0" w:line="560" w:lineRule="exact"/>
        <w:ind w:left="0" w:leftChars="0" w:firstLine="0" w:firstLineChars="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色科室建设，合理布局村卫生室，强化对门诊、卫生室服务行为的全面、及时、高效监控。强化以全科医生为重点的基层医疗卫生人才队伍建设，依托乳山市人民医院建设全科医学培训基地，加大全科医生培养培训力度。坚持中西医并重，突出中医特色优势，大力发展中医药事业，提高村卫生室中医药服务能力，强化中医治未病和康复学科发展。</w:t>
      </w:r>
    </w:p>
    <w:p>
      <w:pPr>
        <w:pStyle w:val="19"/>
        <w:spacing w:after="0" w:line="560" w:lineRule="exact"/>
        <w:ind w:left="0" w:leftChars="0" w:firstLine="64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落实医疗卫生体制改革。</w:t>
      </w:r>
      <w:r>
        <w:rPr>
          <w:rFonts w:hint="default" w:ascii="Times New Roman" w:hAnsi="Times New Roman" w:eastAsia="仿宋_GB2312" w:cs="Times New Roman"/>
          <w:color w:val="000000"/>
          <w:sz w:val="32"/>
          <w:szCs w:val="32"/>
        </w:rPr>
        <w:t>推进全国紧密型县域医共体建设试点县建设，全面落实分级诊疗制度，健全“医共体”内部分工协作机制，完善就医格局。大力发展智慧医疗，加快建设人口健康信息平台和基础数据库，筑牢健康医疗大数据基础。加强健康信息的传播与管理，提高居民健康素养水平，推进健康城市健康村镇建设。提升健康服务、慢病管理和残疾康复服务质量，重视精神卫生和心理健康。</w:t>
      </w:r>
    </w:p>
    <w:tbl>
      <w:tblPr>
        <w:tblStyle w:val="20"/>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48" w:type="dxa"/>
            <w:noWrap w:val="0"/>
            <w:vAlign w:val="top"/>
          </w:tcPr>
          <w:p>
            <w:pPr>
              <w:spacing w:line="560" w:lineRule="exact"/>
              <w:jc w:val="center"/>
              <w:rPr>
                <w:rFonts w:hint="default" w:ascii="Times New Roman" w:hAnsi="Times New Roman" w:eastAsia="黑体" w:cs="Times New Roman"/>
                <w:color w:val="000000"/>
                <w:kern w:val="0"/>
                <w:sz w:val="30"/>
                <w:szCs w:val="30"/>
              </w:rPr>
            </w:pPr>
            <w:r>
              <w:rPr>
                <w:rFonts w:hint="default" w:ascii="Times New Roman" w:hAnsi="Times New Roman" w:eastAsia="黑体" w:cs="Times New Roman"/>
                <w:color w:val="000000"/>
                <w:sz w:val="28"/>
                <w:szCs w:val="28"/>
              </w:rPr>
              <w:t>专栏11 健康乳山建设行动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48" w:type="dxa"/>
            <w:noWrap w:val="0"/>
            <w:vAlign w:val="top"/>
          </w:tcPr>
          <w:p>
            <w:pPr>
              <w:spacing w:line="360" w:lineRule="exact"/>
              <w:ind w:firstLine="422" w:firstLineChars="200"/>
              <w:rPr>
                <w:rFonts w:hint="default" w:ascii="Times New Roman" w:hAnsi="Times New Roman" w:cs="Times New Roman"/>
                <w:b/>
                <w:bCs/>
                <w:color w:val="000000"/>
                <w:szCs w:val="21"/>
              </w:rPr>
            </w:pPr>
            <w:r>
              <w:rPr>
                <w:rFonts w:hint="default" w:ascii="Times New Roman" w:hAnsi="Times New Roman" w:eastAsia="楷体_GB2312" w:cs="Times New Roman"/>
                <w:b/>
                <w:bCs/>
                <w:color w:val="000000"/>
                <w:szCs w:val="21"/>
              </w:rPr>
              <w:t>1.提升公共医疗卫生服务能力。</w:t>
            </w:r>
            <w:r>
              <w:rPr>
                <w:rFonts w:hint="default" w:ascii="Times New Roman" w:hAnsi="Times New Roman" w:cs="Times New Roman"/>
                <w:b/>
                <w:bCs/>
                <w:color w:val="000000"/>
                <w:szCs w:val="21"/>
              </w:rPr>
              <w:t>推进人民医院新院区建设PPP项目、人民医院新院区传染科楼建设项目、市中医院搬迁后新建门诊楼及旧楼改造、妇保院搬迁后改造项目、市康宁医院搬迁后改造项目、市结核所搬迁后改造项目、市疾控中心能力提升建设项目，储备传染病临时救治医院，满足重大疫情处置要求。</w:t>
            </w:r>
          </w:p>
          <w:p>
            <w:pPr>
              <w:spacing w:line="360" w:lineRule="exact"/>
              <w:ind w:firstLine="422" w:firstLineChars="200"/>
              <w:rPr>
                <w:rFonts w:hint="default" w:ascii="Times New Roman" w:hAnsi="Times New Roman" w:cs="Times New Roman"/>
                <w:b/>
                <w:bCs/>
                <w:color w:val="000000"/>
                <w:szCs w:val="21"/>
              </w:rPr>
            </w:pPr>
            <w:r>
              <w:rPr>
                <w:rFonts w:hint="default" w:ascii="Times New Roman" w:hAnsi="Times New Roman" w:eastAsia="楷体_GB2312" w:cs="Times New Roman"/>
                <w:b/>
                <w:bCs/>
                <w:color w:val="000000"/>
                <w:szCs w:val="21"/>
              </w:rPr>
              <w:t>2.优化布局社区卫生服务中心（站）。</w:t>
            </w:r>
            <w:r>
              <w:rPr>
                <w:rFonts w:hint="default" w:ascii="Times New Roman" w:hAnsi="Times New Roman" w:cs="Times New Roman"/>
                <w:b/>
                <w:bCs/>
                <w:color w:val="000000"/>
                <w:szCs w:val="21"/>
              </w:rPr>
              <w:t>按照每3万人设置社区卫生服务中心，加快城南社区、城中社区及其他2处新建社区卫生服务中心项目建设。在社区卫生服务中心难以覆盖的区域，按每0.8-1万人口的标准设置一个社区卫生服务站，建设26处社区卫生服务站，构建“15分钟健康服务圈”。对规划建设的农村新型社区、撤村改居，按照城市社区服务机构设置标准要求，建设社区卫生服务机构。</w:t>
            </w:r>
          </w:p>
          <w:p>
            <w:pPr>
              <w:spacing w:line="360" w:lineRule="exact"/>
              <w:ind w:firstLine="422" w:firstLineChars="200"/>
              <w:rPr>
                <w:rFonts w:hint="default" w:ascii="Times New Roman" w:hAnsi="Times New Roman" w:cs="Times New Roman"/>
                <w:b/>
                <w:bCs/>
                <w:color w:val="000000"/>
                <w:szCs w:val="21"/>
              </w:rPr>
            </w:pPr>
            <w:r>
              <w:rPr>
                <w:rFonts w:hint="default" w:ascii="Times New Roman" w:hAnsi="Times New Roman" w:eastAsia="楷体_GB2312" w:cs="Times New Roman"/>
                <w:b/>
                <w:bCs/>
                <w:color w:val="000000"/>
                <w:szCs w:val="21"/>
              </w:rPr>
              <w:t>3.提升农村医疗卫生服务能力。</w:t>
            </w:r>
            <w:r>
              <w:rPr>
                <w:rFonts w:hint="default" w:ascii="Times New Roman" w:hAnsi="Times New Roman" w:cs="Times New Roman"/>
                <w:b/>
                <w:bCs/>
                <w:color w:val="000000"/>
                <w:szCs w:val="21"/>
              </w:rPr>
              <w:t>加强14个镇卫生院建设，合理配置和更新设施设备，建设崖子中心卫生院和白沙滩镇卫生院2处区域医疗服务次中心，有条件的乡镇卫生院达到一级甲等医院标准，合理布局村卫生室，原则上农村按2000-4000人的服务人口设置1所村卫生室。</w:t>
            </w:r>
          </w:p>
          <w:p>
            <w:pPr>
              <w:spacing w:line="360" w:lineRule="exact"/>
              <w:ind w:firstLine="422" w:firstLineChars="200"/>
              <w:rPr>
                <w:rFonts w:hint="default" w:ascii="Times New Roman" w:hAnsi="Times New Roman" w:cs="Times New Roman"/>
                <w:b/>
                <w:bCs/>
                <w:color w:val="000000"/>
                <w:szCs w:val="21"/>
              </w:rPr>
            </w:pPr>
            <w:r>
              <w:rPr>
                <w:rFonts w:hint="default" w:ascii="Times New Roman" w:hAnsi="Times New Roman" w:eastAsia="楷体_GB2312" w:cs="Times New Roman"/>
                <w:b/>
                <w:bCs/>
                <w:color w:val="000000"/>
                <w:szCs w:val="21"/>
              </w:rPr>
              <w:t>4.加大优质医疗卫生资源引进力度。</w:t>
            </w:r>
            <w:r>
              <w:rPr>
                <w:rFonts w:hint="default" w:ascii="Times New Roman" w:hAnsi="Times New Roman" w:cs="Times New Roman"/>
                <w:b/>
                <w:bCs/>
                <w:color w:val="000000"/>
                <w:szCs w:val="21"/>
              </w:rPr>
              <w:t>重点推进市人民医院、市中医院、市妇保计生中心与青岛大学附属医院、烟台毓璜顶医院、齐鲁医院、威海妇儿医院、山东省妇保院等上级医院展开深入交流合作，通过名医工作室等多种方式，实施人才培养工程，加快重点专科建设步伐，全面提升医院临床、科研和教学工作。</w:t>
            </w:r>
          </w:p>
          <w:p>
            <w:pPr>
              <w:spacing w:line="360" w:lineRule="exact"/>
              <w:ind w:firstLine="422" w:firstLineChars="200"/>
              <w:rPr>
                <w:rFonts w:hint="default" w:ascii="Times New Roman" w:hAnsi="Times New Roman" w:cs="Times New Roman"/>
                <w:b/>
                <w:bCs/>
                <w:color w:val="000000"/>
                <w:szCs w:val="21"/>
              </w:rPr>
            </w:pPr>
            <w:r>
              <w:rPr>
                <w:rFonts w:hint="default" w:ascii="Times New Roman" w:hAnsi="Times New Roman" w:eastAsia="楷体_GB2312" w:cs="Times New Roman"/>
                <w:b/>
                <w:bCs/>
                <w:color w:val="000000"/>
                <w:szCs w:val="21"/>
              </w:rPr>
              <w:t>5.“医共体”建设工程。</w:t>
            </w:r>
            <w:r>
              <w:rPr>
                <w:rFonts w:hint="default" w:ascii="Times New Roman" w:hAnsi="Times New Roman" w:cs="Times New Roman"/>
                <w:b/>
                <w:bCs/>
                <w:color w:val="000000"/>
                <w:szCs w:val="21"/>
              </w:rPr>
              <w:t>加强有全市二级、三级公立医院与基层医疗机构等组建的“医共体”建设，全面落实分级诊疗制度，健全“医共体”内部分工协作机制，逐步形成基层首诊、双向转诊、急慢分治、上下联动的就医新秩序和小病在基层、大病进医院、康复回社区的就医格局。</w:t>
            </w:r>
          </w:p>
          <w:p>
            <w:pPr>
              <w:pStyle w:val="19"/>
              <w:spacing w:after="0" w:line="360" w:lineRule="exact"/>
              <w:ind w:left="0" w:leftChars="0"/>
              <w:rPr>
                <w:rFonts w:hint="default" w:ascii="Times New Roman" w:hAnsi="Times New Roman" w:eastAsia="楷体_GB2312" w:cs="Times New Roman"/>
                <w:color w:val="000000"/>
              </w:rPr>
            </w:pPr>
            <w:r>
              <w:rPr>
                <w:rFonts w:hint="default" w:ascii="Times New Roman" w:hAnsi="Times New Roman" w:eastAsia="楷体_GB2312" w:cs="Times New Roman"/>
                <w:b/>
                <w:bCs/>
                <w:color w:val="000000"/>
                <w:szCs w:val="21"/>
              </w:rPr>
              <w:t>6.推进“互联网+健康医疗”服务。</w:t>
            </w:r>
            <w:r>
              <w:rPr>
                <w:rFonts w:hint="default" w:ascii="Times New Roman" w:hAnsi="Times New Roman" w:cs="Times New Roman"/>
                <w:b/>
                <w:bCs/>
                <w:color w:val="000000"/>
                <w:szCs w:val="21"/>
              </w:rPr>
              <w:t>建立完善远程医疗系统，提供远程会诊、远程影像、远程病理、远程心电诊断服务，进一步推进同级医疗机构间以及医疗机构与独立检查检验机构间检查检验结果互认。</w:t>
            </w:r>
          </w:p>
        </w:tc>
      </w:tr>
    </w:tbl>
    <w:p>
      <w:pPr>
        <w:pStyle w:val="3"/>
        <w:spacing w:before="156" w:beforeLines="50" w:after="156" w:afterLines="50" w:line="560" w:lineRule="exact"/>
        <w:ind w:firstLine="0" w:firstLineChars="0"/>
        <w:jc w:val="center"/>
        <w:rPr>
          <w:rFonts w:hint="default" w:ascii="Times New Roman" w:hAnsi="Times New Roman" w:eastAsia="黑体" w:cs="Times New Roman"/>
          <w:b w:val="0"/>
          <w:bCs/>
          <w:color w:val="000000"/>
        </w:rPr>
      </w:pPr>
      <w:bookmarkStart w:id="87" w:name="_Toc54561658"/>
      <w:bookmarkStart w:id="88" w:name="_Toc62919451"/>
      <w:r>
        <w:rPr>
          <w:rFonts w:hint="default" w:ascii="Times New Roman" w:hAnsi="Times New Roman" w:eastAsia="黑体" w:cs="Times New Roman"/>
          <w:b w:val="0"/>
          <w:bCs/>
          <w:color w:val="000000"/>
        </w:rPr>
        <w:t>第四节 健全完善社会保障体系</w:t>
      </w:r>
      <w:bookmarkEnd w:id="87"/>
      <w:bookmarkEnd w:id="88"/>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把社会保障作为民生之基，建设更加公平可持续的社会保障制度，完善社会保险制度，强化社会救助兜底保障，建立公平、多元、均等、安全的社会保障体系。</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健全多层次养老服务体系。</w:t>
      </w:r>
      <w:r>
        <w:rPr>
          <w:rFonts w:hint="default" w:ascii="Times New Roman" w:hAnsi="Times New Roman" w:eastAsia="仿宋_GB2312" w:cs="Times New Roman"/>
          <w:color w:val="000000"/>
          <w:sz w:val="32"/>
          <w:szCs w:val="32"/>
        </w:rPr>
        <w:t>提高优生优育服务水平，降低生育、养育、教育成本，促进人口长期均衡发展，提高人口素质。进一步加强养老服务机构建设，完善养老服务设施布局，建立以居家为基础、社区为依托、机构为支撑的社会养老服务体系。鼓励医养结合模式创新，推动医疗卫生服务向家庭、社区延伸。开展农村区域养老服务中心试点，打造乡村养老驿站。发展智慧养老，打造养老机构智慧管理平台，全面建立独居、空巢、留守、失能和计划生育特殊家庭等特殊老年人关爱服务体系。</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构筑多层次社会保险体系</w:t>
      </w:r>
      <w:r>
        <w:rPr>
          <w:rFonts w:hint="default" w:ascii="Times New Roman" w:hAnsi="Times New Roman" w:eastAsia="仿宋_GB2312" w:cs="Times New Roman"/>
          <w:color w:val="000000"/>
          <w:sz w:val="32"/>
          <w:szCs w:val="32"/>
        </w:rPr>
        <w:t>。全面推行电子社保卡，持续推进全民参保扩面专项行动，提高职工养老保险、医疗保险、失业保险、工伤保险和居民养老保险的参保率，基本实现法定人员全覆盖。健全养老保险统筹制度，完善失业登记办法，健全预防、补偿、康复相结合的工伤保险制度。</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创新住房保障机制。</w:t>
      </w:r>
      <w:r>
        <w:rPr>
          <w:rFonts w:hint="default" w:ascii="Times New Roman" w:hAnsi="Times New Roman" w:eastAsia="仿宋_GB2312" w:cs="Times New Roman"/>
          <w:color w:val="000000"/>
          <w:sz w:val="32"/>
          <w:szCs w:val="32"/>
        </w:rPr>
        <w:t>建立多主体供给、多渠道保障、租购并举的住房制度。引导房地产供给侧减量和结构性调整，注重防范化解房地产市场风险。扩大住房保障范围，大力推进保障性安居工程建设，加大老旧小区改造力度，有效解决中等偏下收入住房困难家庭和新市民住房困难。</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健全社会救助体系。</w:t>
      </w:r>
      <w:r>
        <w:rPr>
          <w:rFonts w:hint="default" w:ascii="Times New Roman" w:hAnsi="Times New Roman" w:eastAsia="仿宋_GB2312" w:cs="Times New Roman"/>
          <w:color w:val="000000"/>
          <w:sz w:val="32"/>
          <w:szCs w:val="32"/>
        </w:rPr>
        <w:t>加快社会大救助体系建设，打造以社区为服务平台，社会组织、社区企业、社会工作者、社区志愿者为补充，社会救助资源为依托的救助工作品牌。完善城乡低保、特困供养等救助标准自然增长机制，健全流浪乞讨人员救助管理工作机制，强化孤儿、事实无人抚养儿童基本生活保障，探索开展低收入家庭认定工作，加大支出型贫困家庭救助力度。强化临时救助，建立完善“救急难”工作机制，开辟急难救助“绿色通道”。</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做好重点群体的服务保障。</w:t>
      </w:r>
      <w:r>
        <w:rPr>
          <w:rFonts w:hint="default" w:ascii="Times New Roman" w:hAnsi="Times New Roman" w:eastAsia="仿宋_GB2312" w:cs="Times New Roman"/>
          <w:color w:val="000000"/>
          <w:sz w:val="32"/>
          <w:szCs w:val="32"/>
        </w:rPr>
        <w:t>健全妇女权益保障机制，提升儿童福利保障、关爱服务及未成年人保护水平。完善残疾人基层组织，加强残疾人工作者队伍建设，保障和改善残疾人民生。完善“阳光安置”工作机制，落实抚恤优待和烈士褒扬纪念政策制度，加强优抚设施建设，开展“最美退役军人”评选和宣传活动，做好军转干部、退役士兵、军休人员安置服务工作。</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提升社会事业服务水平。</w:t>
      </w:r>
      <w:r>
        <w:rPr>
          <w:rFonts w:hint="default" w:ascii="Times New Roman" w:hAnsi="Times New Roman" w:eastAsia="仿宋_GB2312" w:cs="Times New Roman"/>
          <w:color w:val="000000"/>
          <w:sz w:val="32"/>
          <w:szCs w:val="32"/>
        </w:rPr>
        <w:t>加强慈善组织网络建设，建立募捐长效机制，拓宽内外慈善资源。深化殡葬综合改革，加快公益性公墓建设，全面落实基本殡葬惠民政策，加大节地生态安葬奖补力度。推进婚姻登记便民利民服务，加快婚姻登记管理信息化建设，实现婚姻电子证照的共享应用。</w:t>
      </w:r>
    </w:p>
    <w:p>
      <w:pPr>
        <w:pStyle w:val="3"/>
        <w:spacing w:before="156" w:beforeLines="50" w:after="156" w:afterLines="50" w:line="560" w:lineRule="exact"/>
        <w:ind w:firstLine="0" w:firstLineChars="0"/>
        <w:jc w:val="center"/>
        <w:rPr>
          <w:rFonts w:hint="default" w:ascii="Times New Roman" w:hAnsi="Times New Roman" w:eastAsia="黑体" w:cs="Times New Roman"/>
          <w:b w:val="0"/>
          <w:bCs/>
          <w:color w:val="000000"/>
        </w:rPr>
      </w:pPr>
      <w:bookmarkStart w:id="89" w:name="_Toc54561660"/>
      <w:bookmarkStart w:id="90" w:name="_Toc62919452"/>
      <w:r>
        <w:rPr>
          <w:rFonts w:hint="default" w:ascii="Times New Roman" w:hAnsi="Times New Roman" w:eastAsia="黑体" w:cs="Times New Roman"/>
          <w:b w:val="0"/>
          <w:bCs/>
          <w:color w:val="000000"/>
        </w:rPr>
        <w:t>第五节 统筹推进其他社会事业</w:t>
      </w:r>
      <w:bookmarkEnd w:id="89"/>
      <w:bookmarkEnd w:id="90"/>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center"/>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加强国防动员、人民防空等工作，巩固军政军民团结。全面提升气象灾害综合防范能力。发挥档案馆的城市窗口作用，促进馆藏档案数字化。挖掘整合利用党史史志资源，做好做优史志编研工作。加强民族团结，促进少数民族经济和社会事业全面发展。统筹推进司法行政、红十字、宗教、外事、侨务、台港澳、仲裁、</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bCs/>
          <w:color w:val="000000"/>
          <w:sz w:val="34"/>
          <w:szCs w:val="34"/>
        </w:rPr>
      </w:pPr>
      <w:r>
        <w:rPr>
          <w:rFonts w:hint="default" w:ascii="Times New Roman" w:hAnsi="Times New Roman" w:eastAsia="仿宋_GB2312" w:cs="Times New Roman"/>
          <w:color w:val="000000"/>
          <w:sz w:val="32"/>
          <w:szCs w:val="32"/>
        </w:rPr>
        <w:t>人防、对口支援等社会事业。</w:t>
      </w:r>
      <w:r>
        <w:rPr>
          <w:rFonts w:hint="default" w:ascii="Times New Roman" w:hAnsi="Times New Roman" w:eastAsia="仿宋_GB2312" w:cs="Times New Roman"/>
          <w:color w:val="000000"/>
          <w:sz w:val="32"/>
          <w:szCs w:val="32"/>
        </w:rPr>
        <w:br w:type="page"/>
      </w:r>
      <w:bookmarkStart w:id="91" w:name="_Toc62919453"/>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黑体" w:cs="Times New Roman"/>
          <w:bCs/>
          <w:color w:val="000000"/>
          <w:sz w:val="34"/>
          <w:szCs w:val="34"/>
        </w:rPr>
        <w:t>第十章 统筹发展和安全 推进治理能力现代化</w:t>
      </w:r>
      <w:bookmarkEnd w:id="80"/>
      <w:bookmarkEnd w:id="91"/>
    </w:p>
    <w:p>
      <w:pPr>
        <w:pStyle w:val="51"/>
        <w:spacing w:after="0" w:line="560" w:lineRule="exact"/>
        <w:ind w:right="159" w:firstLine="646"/>
        <w:jc w:val="both"/>
        <w:rPr>
          <w:rFonts w:hint="default" w:ascii="Times New Roman" w:hAnsi="Times New Roman" w:eastAsia="仿宋_GB2312" w:cs="Times New Roman"/>
          <w:sz w:val="32"/>
        </w:rPr>
      </w:pPr>
      <w:r>
        <w:rPr>
          <w:rFonts w:hint="default" w:ascii="Times New Roman" w:hAnsi="Times New Roman" w:eastAsia="仿宋_GB2312" w:cs="Times New Roman"/>
          <w:sz w:val="32"/>
        </w:rPr>
        <w:t>全面贯彻落实习近平法治思想，健全公共安全体系，增强公共安全保障能力，加强法治政府建设，转变社会治理理念，创新社会治理模式，加快推进治理体系和治理能力现代化，建立充满活力、包容和谐的社会发展新格局。</w:t>
      </w:r>
    </w:p>
    <w:p>
      <w:pPr>
        <w:pStyle w:val="3"/>
        <w:spacing w:before="156" w:beforeLines="50" w:after="156" w:afterLines="50" w:line="560" w:lineRule="exact"/>
        <w:ind w:firstLine="0" w:firstLineChars="0"/>
        <w:jc w:val="center"/>
        <w:rPr>
          <w:rFonts w:hint="default" w:ascii="Times New Roman" w:hAnsi="Times New Roman" w:eastAsia="黑体" w:cs="Times New Roman"/>
          <w:b w:val="0"/>
          <w:bCs/>
          <w:color w:val="000000"/>
        </w:rPr>
      </w:pPr>
      <w:bookmarkStart w:id="92" w:name="_Toc54561651"/>
      <w:bookmarkStart w:id="93" w:name="_Toc62919454"/>
      <w:r>
        <w:rPr>
          <w:rFonts w:hint="default" w:ascii="Times New Roman" w:hAnsi="Times New Roman" w:eastAsia="黑体" w:cs="Times New Roman"/>
          <w:b w:val="0"/>
          <w:bCs/>
          <w:color w:val="000000"/>
        </w:rPr>
        <w:t>第一节 防范化解重点领域风险</w:t>
      </w:r>
      <w:bookmarkEnd w:id="92"/>
      <w:bookmarkEnd w:id="93"/>
    </w:p>
    <w:p>
      <w:pPr>
        <w:pStyle w:val="52"/>
        <w:spacing w:line="560" w:lineRule="exact"/>
        <w:ind w:right="158" w:firstLine="645"/>
        <w:jc w:val="both"/>
        <w:rPr>
          <w:rFonts w:hint="default" w:ascii="Times New Roman" w:hAnsi="Times New Roman" w:eastAsia="仿宋_GB2312" w:cs="Times New Roman"/>
          <w:sz w:val="32"/>
        </w:rPr>
      </w:pPr>
      <w:r>
        <w:rPr>
          <w:rFonts w:hint="default" w:ascii="Times New Roman" w:hAnsi="Times New Roman" w:eastAsia="仿宋_GB2312" w:cs="Times New Roman"/>
          <w:sz w:val="32"/>
        </w:rPr>
        <w:t>强化重点领域安全风险排查和联防联治，加强经济、网络等重点领域风险管控，强化源头防控、综合防控、依法防控，形成问题联治、工作联动、平安联创的良好局面，为现代化强市建设筑牢安全发展底线。</w:t>
      </w:r>
    </w:p>
    <w:p>
      <w:pPr>
        <w:pStyle w:val="51"/>
        <w:spacing w:after="0" w:line="560" w:lineRule="exact"/>
        <w:ind w:firstLine="652"/>
        <w:jc w:val="both"/>
        <w:rPr>
          <w:rFonts w:hint="default" w:ascii="Times New Roman" w:hAnsi="Times New Roman" w:eastAsia="仿宋_GB2312" w:cs="Times New Roman"/>
          <w:sz w:val="32"/>
        </w:rPr>
      </w:pPr>
      <w:r>
        <w:rPr>
          <w:rFonts w:hint="default" w:ascii="Times New Roman" w:hAnsi="Times New Roman" w:eastAsia="楷体_GB2312" w:cs="Times New Roman"/>
          <w:sz w:val="32"/>
        </w:rPr>
        <w:t>防范化解经济领域重大风险。</w:t>
      </w:r>
      <w:r>
        <w:rPr>
          <w:rFonts w:hint="default" w:ascii="Times New Roman" w:hAnsi="Times New Roman" w:eastAsia="仿宋_GB2312" w:cs="Times New Roman"/>
          <w:sz w:val="32"/>
        </w:rPr>
        <w:t>推进企业风险隐患排查整治，抓好小微企业风险分级管控体系和隐患排查治理体系建设，理清应急管理与日常监管职责，提升应急救援队伍协同作战能力。依托全省金融风险监测防控大数据平台，强化金融风险监测预警、早期干预、高效处置，稳妥有序防控金融风险。依法严厉打击非法集资、金融诈骗、恶意逃废债务等金融违法犯罪行为，全力打造“金安工程”。推动上市挂牌公司规范运作，健全上市挂牌公司法人治理结构和内控制度。健全投资者适当性制度，加强金融消费者权益保护。有序化解政府隐性债务风险，分类推进政府融资平台市场化转型。</w:t>
      </w:r>
    </w:p>
    <w:p>
      <w:pPr>
        <w:pStyle w:val="55"/>
        <w:spacing w:line="560" w:lineRule="exact"/>
        <w:ind w:firstLine="650"/>
        <w:jc w:val="both"/>
        <w:rPr>
          <w:rFonts w:hint="default" w:ascii="Times New Roman" w:hAnsi="Times New Roman" w:eastAsia="仿宋_GB2312" w:cs="Times New Roman"/>
          <w:sz w:val="32"/>
        </w:rPr>
      </w:pPr>
      <w:r>
        <w:rPr>
          <w:rFonts w:hint="default" w:ascii="Times New Roman" w:hAnsi="Times New Roman" w:eastAsia="楷体_GB2312" w:cs="Times New Roman"/>
          <w:spacing w:val="6"/>
          <w:sz w:val="32"/>
        </w:rPr>
        <w:t>深化信息网络安全防控。</w:t>
      </w:r>
      <w:r>
        <w:rPr>
          <w:rFonts w:hint="default" w:ascii="Times New Roman" w:hAnsi="Times New Roman" w:eastAsia="仿宋_GB2312" w:cs="Times New Roman"/>
          <w:spacing w:val="6"/>
          <w:sz w:val="32"/>
        </w:rPr>
        <w:t>加强对属地网络平台引导和管理，加大网络巡查、行政检查和执法力度，做好网络安全保障。深化以“雪亮工程”为支撑的信息化建设，强化公共安全数据资源的智能应用，加大无人机警务政务应用、人像识别前端感知等智能化技防设备推广力度，提高运用大数据预测预警预防能力。健全有关部门依法监管、多主体协同参与的市域网络综合治理体系，加强网络安全监管，落实网络安全主体责任，严厉打击网络违法犯罪，提升网络安全攻防能力。开展《网络安全法》等法律法规和网络安全知识技能宣传普及，增强网络安全意识。</w:t>
      </w:r>
    </w:p>
    <w:p>
      <w:pPr>
        <w:pStyle w:val="3"/>
        <w:spacing w:after="156" w:afterLines="50" w:line="560" w:lineRule="exact"/>
        <w:ind w:firstLine="0" w:firstLineChars="0"/>
        <w:jc w:val="center"/>
        <w:rPr>
          <w:rFonts w:hint="default" w:ascii="Times New Roman" w:hAnsi="Times New Roman" w:eastAsia="黑体" w:cs="Times New Roman"/>
          <w:b w:val="0"/>
          <w:bCs/>
          <w:color w:val="000000"/>
        </w:rPr>
      </w:pPr>
      <w:bookmarkStart w:id="94" w:name="_Toc54561652"/>
      <w:bookmarkStart w:id="95" w:name="_Toc62919455"/>
      <w:r>
        <w:rPr>
          <w:rFonts w:hint="default" w:ascii="Times New Roman" w:hAnsi="Times New Roman" w:eastAsia="黑体" w:cs="Times New Roman"/>
          <w:b w:val="0"/>
          <w:bCs/>
          <w:color w:val="000000"/>
        </w:rPr>
        <w:t>第二节 扎实推进平安乳山建设</w:t>
      </w:r>
      <w:bookmarkEnd w:id="94"/>
      <w:bookmarkEnd w:id="95"/>
    </w:p>
    <w:p>
      <w:pPr>
        <w:pStyle w:val="55"/>
        <w:spacing w:line="560" w:lineRule="exact"/>
        <w:ind w:firstLine="650"/>
        <w:jc w:val="both"/>
        <w:rPr>
          <w:rFonts w:hint="default" w:ascii="Times New Roman" w:hAnsi="Times New Roman" w:eastAsia="仿宋_GB2312" w:cs="Times New Roman"/>
          <w:sz w:val="32"/>
        </w:rPr>
      </w:pPr>
      <w:r>
        <w:rPr>
          <w:rFonts w:hint="default" w:ascii="Times New Roman" w:hAnsi="Times New Roman" w:eastAsia="仿宋_GB2312" w:cs="Times New Roman"/>
          <w:sz w:val="32"/>
        </w:rPr>
        <w:t>全面深化依法治市、依法行政，加快完善立体化、信息化治安防控体系，实现陆、海、空、网一体统筹，人、力、物、信息全要素掌控，把各类组织和人员的行为有效规范在法治轨道上。</w:t>
      </w:r>
    </w:p>
    <w:p>
      <w:pPr>
        <w:pStyle w:val="55"/>
        <w:spacing w:line="560" w:lineRule="exact"/>
        <w:ind w:firstLine="650"/>
        <w:jc w:val="both"/>
        <w:rPr>
          <w:rFonts w:hint="default" w:ascii="Times New Roman" w:hAnsi="Times New Roman" w:eastAsia="仿宋_GB2312" w:cs="Times New Roman"/>
          <w:sz w:val="32"/>
        </w:rPr>
      </w:pPr>
      <w:r>
        <w:rPr>
          <w:rFonts w:hint="default" w:ascii="Times New Roman" w:hAnsi="Times New Roman" w:eastAsia="楷体_GB2312" w:cs="Times New Roman"/>
          <w:sz w:val="32"/>
        </w:rPr>
        <w:t>加快建设法治政府。</w:t>
      </w:r>
      <w:r>
        <w:rPr>
          <w:rFonts w:hint="default" w:ascii="Times New Roman" w:hAnsi="Times New Roman" w:eastAsia="仿宋_GB2312" w:cs="Times New Roman"/>
          <w:sz w:val="32"/>
        </w:rPr>
        <w:t>提高依法行政水平，全面开展法治政府建设示范创建活动，营造良好法治营商环境，完善“双随机、一公开”监管机制和公平竞争审查制度。严格规范公正文明执法司法，完善执法司法权力运行机制和管理监督约束机制，推动行政执法与刑事执法有机衔接。完善公共法律服务体系，强化涉外法律服务，推进“互联网+公共法律服务”，建成覆盖城乡、便捷高效、均等普惠的现代公共法律服务体系。加强以宪法为核心的法</w:t>
      </w:r>
      <w:r>
        <w:rPr>
          <w:rFonts w:hint="default" w:ascii="Times New Roman" w:hAnsi="Times New Roman" w:eastAsia="仿宋_GB2312" w:cs="Times New Roman"/>
          <w:sz w:val="32"/>
          <w:lang w:eastAsia="zh-CN"/>
        </w:rPr>
        <w:t>治</w:t>
      </w:r>
      <w:r>
        <w:rPr>
          <w:rFonts w:hint="default" w:ascii="Times New Roman" w:hAnsi="Times New Roman" w:eastAsia="仿宋_GB2312" w:cs="Times New Roman"/>
          <w:sz w:val="32"/>
        </w:rPr>
        <w:t>宣传教育，强化“法治乳山”新媒体平台作用，增强法治宣传教育针对性。推进“法律七进”，实现“一村（社区）一法律顾问”全覆盖。</w:t>
      </w:r>
    </w:p>
    <w:p>
      <w:pPr>
        <w:pStyle w:val="52"/>
        <w:spacing w:line="560" w:lineRule="exact"/>
        <w:ind w:right="158" w:firstLine="645"/>
        <w:jc w:val="both"/>
        <w:rPr>
          <w:rFonts w:hint="default" w:ascii="Times New Roman" w:hAnsi="Times New Roman" w:eastAsia="仿宋_GB2312" w:cs="Times New Roman"/>
          <w:sz w:val="32"/>
        </w:rPr>
      </w:pPr>
      <w:r>
        <w:rPr>
          <w:rFonts w:hint="default" w:ascii="Times New Roman" w:hAnsi="Times New Roman" w:eastAsia="楷体_GB2312" w:cs="Times New Roman"/>
          <w:sz w:val="32"/>
        </w:rPr>
        <w:t>提升公共安全水平。</w:t>
      </w:r>
      <w:r>
        <w:rPr>
          <w:rFonts w:hint="default" w:ascii="Times New Roman" w:hAnsi="Times New Roman" w:eastAsia="仿宋_GB2312" w:cs="Times New Roman"/>
          <w:sz w:val="32"/>
        </w:rPr>
        <w:t>提升市域公共安全风险防范化解水平，密切跟踪人民群众反应强烈的治安问题，健全经常性专项打击整治机制，强化行业治理、基层治理，建立完善扫黑除恶常态化机制。严格落实公共安全属地责任、部门责任，建立公共安全隐患排查和安全预防控制体系。保持良好社会治安，严厉打击各类违法犯罪，严防宗教犯罪活动，加强人员密集场所安全管理和流动人口服务管理，加强道路交通安全综合治理。持续推进“食安乳山”建设，进一步提升食品、药品、保健品、医疗器械等质量安全管理水平，保障人民群众饮食用药安全。</w:t>
      </w:r>
    </w:p>
    <w:p>
      <w:pPr>
        <w:pStyle w:val="52"/>
        <w:spacing w:line="560" w:lineRule="exact"/>
        <w:ind w:right="158" w:firstLine="645"/>
        <w:jc w:val="both"/>
        <w:rPr>
          <w:rFonts w:hint="default" w:ascii="Times New Roman" w:hAnsi="Times New Roman" w:eastAsia="仿宋_GB2312" w:cs="Times New Roman"/>
          <w:sz w:val="32"/>
        </w:rPr>
      </w:pPr>
      <w:r>
        <w:rPr>
          <w:rFonts w:hint="default" w:ascii="Times New Roman" w:hAnsi="Times New Roman" w:eastAsia="楷体_GB2312" w:cs="Times New Roman"/>
          <w:sz w:val="32"/>
        </w:rPr>
        <w:t>强化安全生产。</w:t>
      </w:r>
      <w:r>
        <w:rPr>
          <w:rFonts w:hint="default" w:ascii="Times New Roman" w:hAnsi="Times New Roman" w:eastAsia="仿宋_GB2312" w:cs="Times New Roman"/>
          <w:sz w:val="32"/>
        </w:rPr>
        <w:t>健全和落实安全生产责任制，加强安全生产标准体系建设，完善监管网格化安全生产隐患排查整改工作机制。推进应急救援建设工程，健全安全生产应急体系，杜绝较大及以上事故。实施危化品和化工企业生产、仓储安全环保搬迁工程，加强生产、仓储、运输全环节监管。强化企业主体责任，严格实行企业安全员安全生产责任制，建立健全生产安全事故重大责任人员职业禁入制度。实施安全生产基层基础提升工程，着重加强城乡道路交通安全基础设施建设，全面推进安全生产标准化达标升级。</w:t>
      </w:r>
    </w:p>
    <w:p>
      <w:pPr>
        <w:pStyle w:val="52"/>
        <w:spacing w:line="560" w:lineRule="exact"/>
        <w:ind w:right="158" w:firstLine="645"/>
        <w:jc w:val="both"/>
        <w:rPr>
          <w:rFonts w:hint="default" w:ascii="Times New Roman" w:hAnsi="Times New Roman" w:eastAsia="仿宋_GB2312" w:cs="Times New Roman"/>
          <w:sz w:val="32"/>
        </w:rPr>
      </w:pPr>
      <w:r>
        <w:rPr>
          <w:rFonts w:hint="default" w:ascii="Times New Roman" w:hAnsi="Times New Roman" w:eastAsia="楷体_GB2312" w:cs="Times New Roman"/>
          <w:sz w:val="32"/>
        </w:rPr>
        <w:t>加强应急保障能力建设。</w:t>
      </w:r>
      <w:r>
        <w:rPr>
          <w:rFonts w:hint="default" w:ascii="Times New Roman" w:hAnsi="Times New Roman" w:eastAsia="仿宋_GB2312" w:cs="Times New Roman"/>
          <w:sz w:val="32"/>
        </w:rPr>
        <w:t>持续推进公共安全各领域和重大活动城市安全风险管理体系建设，加强隐患排查整改治理。加快推进突发事件公共避难场所规划建设，满足居民紧急避险和临时安置需求。统筹推进基层应急能力建设，促进镇（街道）政府专职消防队、企业专职消防队、志愿消防队、灾害信息员等多元力量发展。研究推进城乡应急广播系统建设，统筹推进“村村响”、人员密集的城市广场与重点街区广播、社区预警信息发布工程建设，强化基层预警信息传播能力，不断扩大预警信息覆盖面，确保预警信息发布“最后一公里”快捷有效。持续做好医疗物资储备，提升突发卫生事件处置能力。</w:t>
      </w:r>
    </w:p>
    <w:p>
      <w:pPr>
        <w:spacing w:before="156" w:beforeLines="50" w:after="156" w:afterLines="50" w:line="560" w:lineRule="exact"/>
        <w:jc w:val="center"/>
        <w:outlineLvl w:val="1"/>
        <w:rPr>
          <w:rFonts w:hint="default" w:ascii="Times New Roman" w:hAnsi="Times New Roman" w:eastAsia="黑体" w:cs="Times New Roman"/>
          <w:color w:val="000000"/>
          <w:sz w:val="32"/>
          <w:szCs w:val="32"/>
        </w:rPr>
      </w:pPr>
      <w:bookmarkStart w:id="96" w:name="_Toc62919456"/>
      <w:bookmarkStart w:id="97" w:name="_Toc54561653"/>
      <w:r>
        <w:rPr>
          <w:rFonts w:hint="default" w:ascii="Times New Roman" w:hAnsi="Times New Roman" w:eastAsia="黑体" w:cs="Times New Roman"/>
          <w:color w:val="000000"/>
          <w:sz w:val="32"/>
          <w:szCs w:val="32"/>
        </w:rPr>
        <w:t>第三节 加快推进社会信用体系建设</w:t>
      </w:r>
      <w:bookmarkEnd w:id="96"/>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以市域信用一体化为指引，坚持依法依规、纵深拓展原则，推动信用体系建设工作重心由基础建设向深化应用转变，多向畅通信用信息在政务部门、各行各业的流通使用，进一步巩固提升“信用乳山”建设成果，构建信用共享应用大格局。</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推动信用一体化建设。</w:t>
      </w:r>
      <w:r>
        <w:rPr>
          <w:rFonts w:hint="default" w:ascii="Times New Roman" w:hAnsi="Times New Roman" w:eastAsia="仿宋_GB2312" w:cs="Times New Roman"/>
          <w:color w:val="000000"/>
          <w:sz w:val="32"/>
          <w:szCs w:val="32"/>
        </w:rPr>
        <w:t>深入贯彻落实国家、省关于信用建设的法规、条例，依法依规开展信息采集、归集、使用工作，实现社会信用体系建设常态化、制度化、规范化，以及信用信息全量、可查、可修复，进一步营造法治化、诚实守信的营商环境。坚持信用建设一体化思路，打通信用信息共享壁垒和孤岛，纵向整合融入威海市级信用平台，提高数据上下行效率，横向强化信用信息在各部门、各行业间的互通共享，实现无缝对接。让信用信息真正“流”动起来，为信用体系建设奠定数据基础。</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color w:val="000000"/>
          <w:sz w:val="32"/>
          <w:szCs w:val="32"/>
        </w:rPr>
        <w:t>构建诚实守信社会氛围。</w:t>
      </w:r>
      <w:r>
        <w:rPr>
          <w:rFonts w:hint="default" w:ascii="Times New Roman" w:hAnsi="Times New Roman" w:eastAsia="仿宋_GB2312" w:cs="Times New Roman"/>
          <w:color w:val="000000"/>
          <w:sz w:val="32"/>
          <w:szCs w:val="32"/>
        </w:rPr>
        <w:t>坚持以正向激励引导为主，实施更多领域的“信用+”工程，让信用红利遍及社会各阶层、各领域，提升守信者的获得感，在全社会树立起褒奖诚信的价值导向，激励市场主体守信、用信、爱信，逐步提高全社会诚信意识和信用水平。完善失信约束制度，构建诚信建设长效机制，坚持信用建设法治为先的原则，依法依规开展联合惩戒工作，完善异议处理、信用修复机制，切实保护市场主体合法权益，提升信用修复、异议处</w:t>
      </w:r>
      <w:r>
        <w:rPr>
          <w:rFonts w:hint="default" w:ascii="Times New Roman" w:hAnsi="Times New Roman" w:eastAsia="仿宋_GB2312" w:cs="Times New Roman"/>
          <w:color w:val="000000"/>
          <w:spacing w:val="1"/>
          <w:sz w:val="32"/>
          <w:szCs w:val="32"/>
        </w:rPr>
        <w:t>理透明度。以“海贝分”个人信用积分为基础，不断提升惠民措施数量和质量，持续创新其在社会各领域的广泛应用，将信用治市打造成区域社会治理重要方式。从正面反面双角度，确保守信者畅行无阻、失信者寸步难行，</w:t>
      </w:r>
      <w:r>
        <w:rPr>
          <w:rFonts w:hint="default" w:ascii="Times New Roman" w:hAnsi="Times New Roman" w:eastAsia="仿宋_GB2312" w:cs="Times New Roman"/>
          <w:color w:val="000000"/>
          <w:sz w:val="32"/>
          <w:szCs w:val="32"/>
        </w:rPr>
        <w:t>实现社会诚信风气进一步净化。</w:t>
      </w:r>
    </w:p>
    <w:p>
      <w:pPr>
        <w:spacing w:line="560" w:lineRule="exact"/>
        <w:ind w:firstLine="640" w:firstLineChars="200"/>
        <w:rPr>
          <w:rFonts w:hint="default" w:ascii="Times New Roman" w:hAnsi="Times New Roman" w:eastAsia="黑体" w:cs="Times New Roman"/>
          <w:bCs/>
          <w:color w:val="000000"/>
        </w:rPr>
      </w:pPr>
      <w:r>
        <w:rPr>
          <w:rFonts w:hint="default" w:ascii="Times New Roman" w:hAnsi="Times New Roman" w:eastAsia="楷体_GB2312" w:cs="Times New Roman"/>
          <w:color w:val="000000"/>
          <w:sz w:val="32"/>
          <w:szCs w:val="32"/>
        </w:rPr>
        <w:t>拓宽信用应用广度深度。</w:t>
      </w:r>
      <w:r>
        <w:rPr>
          <w:rFonts w:hint="default" w:ascii="Times New Roman" w:hAnsi="Times New Roman" w:eastAsia="仿宋_GB2312" w:cs="Times New Roman"/>
          <w:color w:val="000000"/>
          <w:sz w:val="32"/>
          <w:szCs w:val="32"/>
        </w:rPr>
        <w:t>加大对守信典型的正面宣传和失信案例的反面警示力度，形成守信知信的良好社会氛围，推动全社会信用意识提升。坚持政务诚信引领，辐射带动商务诚信、社会诚信、司法公信，构建以信用为核心的行政管理、市场监管和社会治理体系，加强行业商会信用建设，制定多领域信用惠民政策，推动信用信息在行政审批、财政性资金使用、公共资源交易、公共服务等方面应用，着力提升社会管理和市域治理水平，城市信用指数排名稳定在全国前列。</w:t>
      </w:r>
    </w:p>
    <w:p>
      <w:pPr>
        <w:pStyle w:val="3"/>
        <w:spacing w:before="156" w:beforeLines="50" w:after="156" w:afterLines="50" w:line="560" w:lineRule="exact"/>
        <w:ind w:firstLine="0" w:firstLineChars="0"/>
        <w:jc w:val="center"/>
        <w:rPr>
          <w:rFonts w:hint="default" w:ascii="Times New Roman" w:hAnsi="Times New Roman" w:eastAsia="黑体" w:cs="Times New Roman"/>
          <w:b w:val="0"/>
          <w:bCs/>
          <w:color w:val="000000"/>
        </w:rPr>
      </w:pPr>
      <w:bookmarkStart w:id="98" w:name="_Toc62919457"/>
      <w:r>
        <w:rPr>
          <w:rFonts w:hint="default" w:ascii="Times New Roman" w:hAnsi="Times New Roman" w:eastAsia="黑体" w:cs="Times New Roman"/>
          <w:b w:val="0"/>
          <w:bCs/>
          <w:color w:val="000000"/>
        </w:rPr>
        <w:t>第四节 完善创新社会治理模式</w:t>
      </w:r>
      <w:bookmarkEnd w:id="97"/>
      <w:bookmarkEnd w:id="98"/>
    </w:p>
    <w:p>
      <w:pPr>
        <w:pStyle w:val="54"/>
        <w:spacing w:line="560" w:lineRule="exact"/>
        <w:ind w:firstLine="648"/>
        <w:jc w:val="both"/>
        <w:rPr>
          <w:rFonts w:hint="default" w:ascii="Times New Roman" w:hAnsi="Times New Roman" w:eastAsia="仿宋_GB2312" w:cs="Times New Roman"/>
          <w:sz w:val="32"/>
        </w:rPr>
      </w:pPr>
      <w:r>
        <w:rPr>
          <w:rFonts w:hint="default" w:ascii="Times New Roman" w:hAnsi="Times New Roman" w:eastAsia="仿宋_GB2312" w:cs="Times New Roman"/>
          <w:sz w:val="32"/>
        </w:rPr>
        <w:t>完善党委领导、政府负责、民主协商、社会协同、公众参与、法治保障、科技支撑的社会治理体制，全面推行“六治融合、一网联动”社会治理新模式，持续强化党建引领、自治基础、法治保障、德治教化、智治支撑、信治引导作用和网格化服务管理“底座”功能，推进治理体系和治理能力现代化。</w:t>
      </w:r>
    </w:p>
    <w:p>
      <w:pPr>
        <w:pStyle w:val="55"/>
        <w:spacing w:line="560" w:lineRule="exact"/>
        <w:ind w:firstLine="650"/>
        <w:jc w:val="both"/>
        <w:rPr>
          <w:rFonts w:hint="default" w:ascii="Times New Roman" w:hAnsi="Times New Roman" w:eastAsia="仿宋_GB2312" w:cs="Times New Roman"/>
          <w:sz w:val="32"/>
        </w:rPr>
      </w:pPr>
      <w:r>
        <w:rPr>
          <w:rFonts w:hint="default" w:ascii="Times New Roman" w:hAnsi="Times New Roman" w:eastAsia="楷体_GB2312" w:cs="Times New Roman"/>
          <w:sz w:val="32"/>
        </w:rPr>
        <w:t>完善社会治理体制机制。</w:t>
      </w:r>
      <w:r>
        <w:rPr>
          <w:rFonts w:hint="default" w:ascii="Times New Roman" w:hAnsi="Times New Roman" w:eastAsia="仿宋_GB2312" w:cs="Times New Roman"/>
          <w:sz w:val="32"/>
        </w:rPr>
        <w:t>完善权责明晰、上下贯通的纵向治理架构，推行扁平化管理，构建市级统筹主导、镇（街道）级组织实施、村（社区）级抓好基层基础的工作格局。推进综治中心实体化、规范化建设，健全应急综合指挥平台，完善综合服务管理平台社会治理功能，构建贯通市镇村、联通相关领域的市域社会治理信息综合、指挥调度、联动处置体系。到2025年，市镇村三级综治（网格化服务管理）中心全部实现标准化建设。加强协商民主制度建设，推动协商民主广泛、多层、制度化发展，充分发挥村（社区）党组织在基层协商中的领导作用，着力推进城乡社区协商。发挥群团组织联系群众的桥梁纽带作用，广泛组织群众参与社会治理。大力培育发展与社会治理事务相关的社会组织，完善政府购买服务机制，推动社会组织有效承接社会治理具体事务。</w:t>
      </w:r>
    </w:p>
    <w:p>
      <w:pPr>
        <w:pStyle w:val="55"/>
        <w:spacing w:line="560" w:lineRule="exact"/>
        <w:ind w:firstLine="652"/>
        <w:jc w:val="both"/>
        <w:rPr>
          <w:rFonts w:hint="default" w:ascii="Times New Roman" w:hAnsi="Times New Roman" w:eastAsia="黑体" w:cs="Times New Roman"/>
          <w:sz w:val="36"/>
          <w:szCs w:val="36"/>
        </w:rPr>
      </w:pPr>
      <w:r>
        <w:rPr>
          <w:rFonts w:hint="default" w:ascii="Times New Roman" w:hAnsi="Times New Roman" w:eastAsia="楷体_GB2312" w:cs="Times New Roman"/>
          <w:sz w:val="32"/>
        </w:rPr>
        <w:t>提高矛盾纠纷化解效能。</w:t>
      </w:r>
      <w:r>
        <w:rPr>
          <w:rFonts w:hint="default" w:ascii="Times New Roman" w:hAnsi="Times New Roman" w:eastAsia="仿宋_GB2312" w:cs="Times New Roman"/>
          <w:sz w:val="32"/>
        </w:rPr>
        <w:t>构建矛盾纠纷多元化解机制，创新发展新时代“枫桥经验”，加强信访突出问题整治，坚持“去存量、控增量、防变量”，推进信访案件常态化化解，坚决防止系统性、规模性矛盾风险，力争信访“三无”镇（街道）达到95%以上。强化帮扶救助、心理疏导、法律援助，最大限度消除社会戾气，严防发生个人极端事件。落实非诉讼纠纷解决机制，强化调解、仲裁、行政裁决、行政复议、诉讼等方式有机衔接。加快智慧调解系统推广应用，健全诉调、检调、警调对接机制，建立提供“一站式”解纷服务的实体平台和在线平台。扎实开展律师调解试点工作，完善劳动人事争议纠纷预防调处机制，探索建立市场化纠纷解决机制。坚持领导包案责任制，建立“听证</w:t>
      </w:r>
      <w:r>
        <w:rPr>
          <w:rFonts w:hint="default" w:ascii="Times New Roman" w:hAnsi="Times New Roman" w:eastAsia="宋体" w:cs="Times New Roman"/>
          <w:sz w:val="32"/>
        </w:rPr>
        <w:t>+</w:t>
      </w:r>
      <w:r>
        <w:rPr>
          <w:rFonts w:hint="default" w:ascii="Times New Roman" w:hAnsi="Times New Roman" w:eastAsia="仿宋_GB2312" w:cs="Times New Roman"/>
          <w:sz w:val="32"/>
        </w:rPr>
        <w:t>调解</w:t>
      </w:r>
      <w:r>
        <w:rPr>
          <w:rFonts w:hint="default" w:ascii="Times New Roman" w:hAnsi="Times New Roman" w:eastAsia="宋体" w:cs="Times New Roman"/>
          <w:sz w:val="32"/>
        </w:rPr>
        <w:t>+</w:t>
      </w:r>
      <w:r>
        <w:rPr>
          <w:rFonts w:hint="default" w:ascii="Times New Roman" w:hAnsi="Times New Roman" w:eastAsia="仿宋_GB2312" w:cs="Times New Roman"/>
          <w:sz w:val="32"/>
        </w:rPr>
        <w:t>司法确认”工作模式，推动落实信访积案化解任务，推行“联合接访、访调对接”工作模式，完善初次信访首办责任制和信访工作联席会议机制，全面提升信访工作水平。</w:t>
      </w:r>
    </w:p>
    <w:p>
      <w:pPr>
        <w:spacing w:line="20" w:lineRule="exact"/>
        <w:rPr>
          <w:rFonts w:hint="default" w:ascii="Times New Roman" w:hAnsi="Times New Roman" w:eastAsia="黑体" w:cs="Times New Roman"/>
          <w:color w:val="000000"/>
          <w:sz w:val="36"/>
          <w:szCs w:val="36"/>
        </w:rPr>
      </w:pPr>
      <w:bookmarkStart w:id="99" w:name="_Toc54561661"/>
      <w:r>
        <w:rPr>
          <w:rFonts w:hint="default" w:ascii="Times New Roman" w:hAnsi="Times New Roman" w:eastAsia="黑体" w:cs="Times New Roman"/>
          <w:color w:val="000000"/>
          <w:sz w:val="36"/>
          <w:szCs w:val="36"/>
        </w:rPr>
        <w:br w:type="page"/>
      </w:r>
    </w:p>
    <w:p>
      <w:pPr>
        <w:spacing w:after="156" w:afterLines="50" w:line="560" w:lineRule="exact"/>
        <w:jc w:val="center"/>
        <w:outlineLvl w:val="0"/>
        <w:rPr>
          <w:rFonts w:hint="default" w:ascii="Times New Roman" w:hAnsi="Times New Roman" w:eastAsia="黑体" w:cs="Times New Roman"/>
          <w:bCs/>
          <w:color w:val="000000"/>
          <w:sz w:val="34"/>
          <w:szCs w:val="34"/>
        </w:rPr>
      </w:pPr>
      <w:bookmarkStart w:id="100" w:name="_Toc62919458"/>
      <w:r>
        <w:rPr>
          <w:rFonts w:hint="default" w:ascii="Times New Roman" w:hAnsi="Times New Roman" w:eastAsia="黑体" w:cs="Times New Roman"/>
          <w:bCs/>
          <w:color w:val="000000"/>
          <w:sz w:val="34"/>
          <w:szCs w:val="34"/>
        </w:rPr>
        <w:t>第十一章 强化规划实施保障 增强规划落地支撑</w:t>
      </w:r>
      <w:bookmarkEnd w:id="99"/>
      <w:bookmarkEnd w:id="100"/>
    </w:p>
    <w:p>
      <w:pPr>
        <w:spacing w:line="560" w:lineRule="exact"/>
        <w:ind w:firstLine="640" w:firstLineChars="200"/>
        <w:rPr>
          <w:rFonts w:hint="default" w:ascii="Times New Roman" w:hAnsi="Times New Roman" w:eastAsia="仿宋_GB2312" w:cs="Times New Roman"/>
          <w:bCs/>
          <w:color w:val="000000"/>
          <w:kern w:val="36"/>
          <w:sz w:val="32"/>
          <w:szCs w:val="32"/>
        </w:rPr>
      </w:pPr>
      <w:r>
        <w:rPr>
          <w:rFonts w:hint="default" w:ascii="Times New Roman" w:hAnsi="Times New Roman" w:eastAsia="仿宋_GB2312" w:cs="Times New Roman"/>
          <w:bCs/>
          <w:color w:val="000000"/>
          <w:kern w:val="36"/>
          <w:sz w:val="32"/>
          <w:szCs w:val="32"/>
        </w:rPr>
        <w:t>“十四五”规划是开启全面建设新时代美好乳山新征程、向第二个百年奋斗目标进军的第一个五年行动指南，必须坚持和加强党的领导，更好履行政府职责，更大程度地激发各类主体的活力和创造力，确保完成规划确定的发展目标和任务。</w:t>
      </w:r>
    </w:p>
    <w:p>
      <w:pPr>
        <w:pStyle w:val="3"/>
        <w:spacing w:before="156" w:beforeLines="50" w:after="156" w:afterLines="50" w:line="560" w:lineRule="exact"/>
        <w:ind w:firstLine="0" w:firstLineChars="0"/>
        <w:jc w:val="center"/>
        <w:rPr>
          <w:rFonts w:hint="default" w:ascii="Times New Roman" w:hAnsi="Times New Roman" w:eastAsia="黑体" w:cs="Times New Roman"/>
          <w:b w:val="0"/>
          <w:color w:val="000000"/>
        </w:rPr>
      </w:pPr>
      <w:bookmarkStart w:id="101" w:name="_Toc54561662"/>
      <w:bookmarkStart w:id="102" w:name="_Toc62919459"/>
      <w:r>
        <w:rPr>
          <w:rFonts w:hint="default" w:ascii="Times New Roman" w:hAnsi="Times New Roman" w:eastAsia="黑体" w:cs="Times New Roman"/>
          <w:b w:val="0"/>
          <w:color w:val="000000"/>
        </w:rPr>
        <w:t>第一节 发挥党的领导核心作用</w:t>
      </w:r>
      <w:bookmarkEnd w:id="101"/>
      <w:bookmarkEnd w:id="102"/>
    </w:p>
    <w:p>
      <w:pPr>
        <w:spacing w:line="560" w:lineRule="exact"/>
        <w:ind w:firstLine="640" w:firstLineChars="200"/>
        <w:rPr>
          <w:rFonts w:hint="default" w:ascii="Times New Roman" w:hAnsi="Times New Roman" w:eastAsia="仿宋" w:cs="Times New Roman"/>
          <w:bCs/>
          <w:color w:val="000000"/>
          <w:kern w:val="36"/>
          <w:sz w:val="32"/>
          <w:szCs w:val="32"/>
        </w:rPr>
      </w:pPr>
      <w:r>
        <w:rPr>
          <w:rFonts w:hint="default" w:ascii="Times New Roman" w:hAnsi="Times New Roman" w:eastAsia="楷体_GB2312" w:cs="Times New Roman"/>
          <w:bCs/>
          <w:color w:val="000000"/>
          <w:kern w:val="36"/>
          <w:sz w:val="32"/>
          <w:szCs w:val="32"/>
        </w:rPr>
        <w:t>坚持党对一切工作的领导。</w:t>
      </w:r>
      <w:r>
        <w:rPr>
          <w:rFonts w:hint="default" w:ascii="Times New Roman" w:hAnsi="Times New Roman" w:eastAsia="仿宋_GB2312" w:cs="Times New Roman"/>
          <w:color w:val="000000"/>
          <w:kern w:val="36"/>
          <w:sz w:val="32"/>
          <w:szCs w:val="32"/>
        </w:rPr>
        <w:t>坚持“党建是重要引领，发展是第一要务，稳定压倒一切”</w:t>
      </w:r>
      <w:r>
        <w:rPr>
          <w:rFonts w:hint="default" w:ascii="Times New Roman" w:hAnsi="Times New Roman" w:eastAsia="仿宋_GB2312" w:cs="Times New Roman"/>
          <w:bCs/>
          <w:color w:val="000000"/>
          <w:kern w:val="36"/>
          <w:sz w:val="32"/>
          <w:szCs w:val="32"/>
        </w:rPr>
        <w:t>，深入贯彻党的基本理论、基本路线、基本方略，增强“四个意识”、坚定“四个自信”、做到“两个维护”，把党的领导贯穿“十四五”规划实施全过程、各环节，把“十四五”发展作为落实习近平新时代中国特色社会主义思想的生动实践。</w:t>
      </w:r>
    </w:p>
    <w:p>
      <w:pPr>
        <w:spacing w:line="560" w:lineRule="exact"/>
        <w:ind w:firstLine="640" w:firstLineChars="200"/>
        <w:rPr>
          <w:rFonts w:hint="default" w:ascii="Times New Roman" w:hAnsi="Times New Roman" w:eastAsia="仿宋_GB2312" w:cs="Times New Roman"/>
          <w:bCs/>
          <w:color w:val="000000"/>
          <w:kern w:val="36"/>
          <w:sz w:val="32"/>
          <w:szCs w:val="32"/>
        </w:rPr>
      </w:pPr>
      <w:r>
        <w:rPr>
          <w:rFonts w:hint="default" w:ascii="Times New Roman" w:hAnsi="Times New Roman" w:eastAsia="楷体_GB2312" w:cs="Times New Roman"/>
          <w:bCs/>
          <w:color w:val="000000"/>
          <w:kern w:val="36"/>
          <w:sz w:val="32"/>
          <w:szCs w:val="32"/>
        </w:rPr>
        <w:t>坚持和完善党领导经济社会发展的体制机制。</w:t>
      </w:r>
      <w:r>
        <w:rPr>
          <w:rFonts w:hint="default" w:ascii="Times New Roman" w:hAnsi="Times New Roman" w:eastAsia="仿宋_GB2312" w:cs="Times New Roman"/>
          <w:bCs/>
          <w:color w:val="000000"/>
          <w:kern w:val="36"/>
          <w:sz w:val="32"/>
          <w:szCs w:val="32"/>
        </w:rPr>
        <w:t>切实提高各级党委领导经济社会发展的能力，加强对经济社会发展形势的分析研判，完善党委研究经济社会发展战略、研究重大方针政策的工作机制，形成定期分析经济形势的制度，落实重大事项集体决策和专家审议制度。创新和完善干部选人用人机制，加强各级领导班子和干部队伍建设，教育和引导广大党员干部始终做到心中有党、心中有民、心中有责、心中有戒，发挥好基层党组织的战斗堡垒作用，在国民经济和社会发展中勇于担当重任，敢于攻坚克难。完善干部考评机制，发挥考核对选人用人的基础性作用，更加紧密地把考核结果与培养教育、管理监督、激励约束、问责追责、能上能下、治庸治懒等结合起来，最大限度调动各级党政领导班子和领导干部积极性、主动性、创造性。坚定不移全面从严治党，坚持和完善党和国家监督体系，持之以恒纠正“四风”，力戒形式主义、官僚主义，构建一体推进不敢腐、不能腐、不想腐体制机制，营造风清气正的政治生态。发挥基层党组织战斗堡垒作用和党员先锋模范作用，注重发挥工会、共青团、妇联等群团组织的作用，巩固和发展最广泛的爱国统一战线，全面落实民族、宗教、侨务等政策，充分发挥民主党派、工商联和无党派人士作用，最大限度凝聚全社会共识和力量。加强智库建设，创新完善决策咨询体制机制。加强宣传和舆论引导，统一全市人民的思想和行动，鼓励探索，大胆创新，宽容失败，营造良好的发展环境。</w:t>
      </w:r>
    </w:p>
    <w:p>
      <w:pPr>
        <w:pStyle w:val="3"/>
        <w:spacing w:before="156" w:beforeLines="50" w:after="156" w:afterLines="50" w:line="560" w:lineRule="exact"/>
        <w:ind w:firstLine="0" w:firstLineChars="0"/>
        <w:jc w:val="center"/>
        <w:rPr>
          <w:rFonts w:hint="default" w:ascii="Times New Roman" w:hAnsi="Times New Roman" w:eastAsia="黑体" w:cs="Times New Roman"/>
          <w:b w:val="0"/>
          <w:color w:val="000000"/>
        </w:rPr>
      </w:pPr>
      <w:bookmarkStart w:id="103" w:name="_Toc62919460"/>
      <w:bookmarkStart w:id="104" w:name="_Toc54561664"/>
      <w:r>
        <w:rPr>
          <w:rFonts w:hint="default" w:ascii="Times New Roman" w:hAnsi="Times New Roman" w:eastAsia="黑体" w:cs="Times New Roman"/>
          <w:b w:val="0"/>
          <w:color w:val="000000"/>
        </w:rPr>
        <w:t>第二节 建立规划实施保障机制</w:t>
      </w:r>
      <w:bookmarkEnd w:id="103"/>
      <w:bookmarkEnd w:id="104"/>
    </w:p>
    <w:p>
      <w:pPr>
        <w:spacing w:line="560" w:lineRule="exact"/>
        <w:ind w:firstLine="640" w:firstLineChars="200"/>
        <w:rPr>
          <w:rFonts w:hint="default" w:ascii="Times New Roman" w:hAnsi="Times New Roman" w:eastAsia="仿宋_GB2312" w:cs="Times New Roman"/>
          <w:bCs/>
          <w:color w:val="000000"/>
          <w:kern w:val="36"/>
          <w:sz w:val="32"/>
          <w:szCs w:val="32"/>
        </w:rPr>
      </w:pPr>
      <w:r>
        <w:rPr>
          <w:rFonts w:hint="default" w:ascii="Times New Roman" w:hAnsi="Times New Roman" w:eastAsia="楷体_GB2312" w:cs="Times New Roman"/>
          <w:bCs/>
          <w:color w:val="000000"/>
          <w:kern w:val="36"/>
          <w:sz w:val="32"/>
          <w:szCs w:val="32"/>
        </w:rPr>
        <w:t>强化组织实施。</w:t>
      </w:r>
      <w:r>
        <w:rPr>
          <w:rFonts w:hint="default" w:ascii="Times New Roman" w:hAnsi="Times New Roman" w:eastAsia="仿宋_GB2312" w:cs="Times New Roman"/>
          <w:bCs/>
          <w:color w:val="000000"/>
          <w:kern w:val="36"/>
          <w:sz w:val="32"/>
          <w:szCs w:val="32"/>
        </w:rPr>
        <w:t>市政府统筹推进“十四五”规划实施，对规划确定的重大目标任务进行考核，分解本规划确定的发展目标、主要任务，明确牵头单位和工作责任，加强年度计划与本规划的衔接，对主要指标应当设置年度目标，创新思路，细化措施，扎实推进目标任务落实落地。明确重要指标、重要项目和重大改革的责任主体，规划实施责任、指标和任务完成情况纳入经济社会发展综合评价和绩效考核体系。</w:t>
      </w:r>
    </w:p>
    <w:p>
      <w:pPr>
        <w:spacing w:line="560" w:lineRule="exact"/>
        <w:ind w:firstLine="640" w:firstLineChars="200"/>
        <w:rPr>
          <w:rFonts w:hint="default" w:ascii="Times New Roman" w:hAnsi="Times New Roman" w:eastAsia="仿宋_GB2312" w:cs="Times New Roman"/>
          <w:bCs/>
          <w:color w:val="000000"/>
          <w:kern w:val="36"/>
          <w:sz w:val="32"/>
          <w:szCs w:val="32"/>
        </w:rPr>
      </w:pPr>
      <w:r>
        <w:rPr>
          <w:rFonts w:hint="default" w:ascii="Times New Roman" w:hAnsi="Times New Roman" w:eastAsia="楷体_GB2312" w:cs="Times New Roman"/>
          <w:bCs/>
          <w:color w:val="000000"/>
          <w:kern w:val="36"/>
          <w:sz w:val="32"/>
          <w:szCs w:val="32"/>
        </w:rPr>
        <w:t>健全保障机制。</w:t>
      </w:r>
      <w:r>
        <w:rPr>
          <w:rFonts w:hint="default" w:ascii="Times New Roman" w:hAnsi="Times New Roman" w:eastAsia="仿宋_GB2312" w:cs="Times New Roman"/>
          <w:bCs/>
          <w:color w:val="000000"/>
          <w:kern w:val="36"/>
          <w:sz w:val="32"/>
          <w:szCs w:val="32"/>
        </w:rPr>
        <w:t>建立健全规划与财政、金融、产业等政策的协调协同和实施机制。财政部门要加强财政预算与规划实施的衔接协调，在明晰财政支出责任的基础上，强化公共财政对规划实施的保障作用。中期财政规划要根据本规划提出的目标任务和财力可能，合理安排支出规模和结构，滚动调整时要充分考虑本规划实施需要。年度预算安排要优先考虑本规划实施的年度需要。提升项目谋划储备水平，形成“竣工一批、开工一批、储备一批、谋划一批”的滚动发展态势。全面落实“要素跟着项目走”机制，全力保障好规划实施项目在用地、用海、用林、环境容量以及用水、用电、用气等方面的指标需求，以创新的思路和改革的办法破解融资难题。</w:t>
      </w:r>
    </w:p>
    <w:p>
      <w:pPr>
        <w:pStyle w:val="3"/>
        <w:spacing w:before="156" w:beforeLines="50" w:after="156" w:afterLines="50" w:line="560" w:lineRule="exact"/>
        <w:ind w:firstLine="0" w:firstLineChars="0"/>
        <w:jc w:val="center"/>
        <w:rPr>
          <w:rFonts w:hint="default" w:ascii="Times New Roman" w:hAnsi="Times New Roman" w:eastAsia="黑体" w:cs="Times New Roman"/>
          <w:b w:val="0"/>
          <w:color w:val="000000"/>
        </w:rPr>
      </w:pPr>
      <w:bookmarkStart w:id="105" w:name="_Toc62919461"/>
      <w:bookmarkStart w:id="106" w:name="_Toc54561665"/>
      <w:r>
        <w:rPr>
          <w:rFonts w:hint="default" w:ascii="Times New Roman" w:hAnsi="Times New Roman" w:eastAsia="黑体" w:cs="Times New Roman"/>
          <w:b w:val="0"/>
          <w:color w:val="000000"/>
        </w:rPr>
        <w:t>第三节 强化规划实施监督评估</w:t>
      </w:r>
      <w:bookmarkEnd w:id="105"/>
      <w:bookmarkEnd w:id="106"/>
    </w:p>
    <w:p>
      <w:pPr>
        <w:spacing w:line="560" w:lineRule="exact"/>
        <w:ind w:firstLine="640" w:firstLineChars="200"/>
        <w:rPr>
          <w:rFonts w:hint="default" w:ascii="Times New Roman" w:hAnsi="Times New Roman" w:eastAsia="仿宋_GB2312" w:cs="Times New Roman"/>
          <w:bCs/>
          <w:color w:val="000000"/>
          <w:kern w:val="36"/>
          <w:sz w:val="32"/>
          <w:szCs w:val="32"/>
        </w:rPr>
      </w:pPr>
      <w:r>
        <w:rPr>
          <w:rFonts w:hint="default" w:ascii="Times New Roman" w:hAnsi="Times New Roman" w:eastAsia="楷体_GB2312" w:cs="Times New Roman"/>
          <w:bCs/>
          <w:color w:val="000000"/>
          <w:kern w:val="36"/>
          <w:sz w:val="32"/>
          <w:szCs w:val="32"/>
        </w:rPr>
        <w:t>建立完善评估机制。</w:t>
      </w:r>
      <w:r>
        <w:rPr>
          <w:rFonts w:hint="default" w:ascii="Times New Roman" w:hAnsi="Times New Roman" w:eastAsia="仿宋_GB2312" w:cs="Times New Roman"/>
          <w:bCs/>
          <w:color w:val="000000"/>
          <w:kern w:val="36"/>
          <w:sz w:val="32"/>
          <w:szCs w:val="32"/>
        </w:rPr>
        <w:t>加强对规划主要目标、约束性指标和重大任务完成情况的评估，向市人大汇报时序进度、接受人大监督检查，并向市政协通报情况。推进规划实施的信息公开，加强社会对规划实施的监督。客观公正开展规划实施情况中期评估和实施后评估，及时发现规划执行中突出问题并整改，评估报告提请市人大常委会审议。</w:t>
      </w:r>
    </w:p>
    <w:p>
      <w:pPr>
        <w:spacing w:line="560" w:lineRule="exact"/>
        <w:ind w:firstLine="640" w:firstLineChars="200"/>
        <w:rPr>
          <w:rFonts w:hint="default" w:ascii="Times New Roman" w:hAnsi="Times New Roman" w:eastAsia="仿宋_GB2312" w:cs="Times New Roman"/>
          <w:bCs/>
          <w:color w:val="000000"/>
          <w:kern w:val="36"/>
          <w:sz w:val="32"/>
          <w:szCs w:val="32"/>
        </w:rPr>
      </w:pPr>
      <w:r>
        <w:rPr>
          <w:rFonts w:hint="default" w:ascii="Times New Roman" w:hAnsi="Times New Roman" w:eastAsia="楷体_GB2312" w:cs="Times New Roman"/>
          <w:bCs/>
          <w:color w:val="000000"/>
          <w:kern w:val="36"/>
          <w:sz w:val="32"/>
          <w:szCs w:val="32"/>
        </w:rPr>
        <w:t>动员全社会参与。</w:t>
      </w:r>
      <w:r>
        <w:rPr>
          <w:rFonts w:hint="default" w:ascii="Times New Roman" w:hAnsi="Times New Roman" w:eastAsia="仿宋_GB2312" w:cs="Times New Roman"/>
          <w:bCs/>
          <w:color w:val="000000"/>
          <w:kern w:val="36"/>
          <w:sz w:val="32"/>
          <w:szCs w:val="32"/>
        </w:rPr>
        <w:t>加强规划宣传，广泛征求人大代表、政协委员和社会各界人士对规划实施的意见和建议，健全政府与企业、市民的信息沟通和交流机制，发挥新闻媒体、群众社团的桥梁和监督作用，提高规划实施的民主化程度和透明度，促进各级各类规划的有效实施。</w:t>
      </w:r>
    </w:p>
    <w:p>
      <w:pPr>
        <w:spacing w:line="560" w:lineRule="exact"/>
        <w:ind w:firstLine="640" w:firstLineChars="200"/>
        <w:rPr>
          <w:rFonts w:hint="default" w:ascii="Times New Roman" w:hAnsi="Times New Roman" w:eastAsia="仿宋_GB2312" w:cs="Times New Roman"/>
          <w:bCs/>
          <w:color w:val="000000"/>
          <w:kern w:val="36"/>
          <w:sz w:val="32"/>
          <w:szCs w:val="32"/>
        </w:rPr>
      </w:pPr>
      <w:r>
        <w:rPr>
          <w:rFonts w:hint="default" w:ascii="Times New Roman" w:hAnsi="Times New Roman" w:eastAsia="仿宋_GB2312" w:cs="Times New Roman"/>
          <w:bCs/>
          <w:color w:val="000000"/>
          <w:kern w:val="36"/>
          <w:sz w:val="32"/>
          <w:szCs w:val="32"/>
        </w:rPr>
        <w:t>全市上下要更加紧密地团结在以习近平同志为核心的党中央周围，坚持以习近平新时代中国特色社会主义思想为指导，坚定信心，抢抓机遇，锐意进取，真抓实干，促进全市经济社会高质量发展，为圆满完成“十四五”规划确定的各项目标任务，建设现代化美好乳山而不懈奋斗！</w:t>
      </w:r>
    </w:p>
    <w:p>
      <w:pPr>
        <w:snapToGrid w:val="0"/>
        <w:spacing w:line="20" w:lineRule="exact"/>
        <w:ind w:firstLine="560"/>
        <w:rPr>
          <w:rFonts w:hint="default" w:ascii="Times New Roman" w:hAnsi="Times New Roman" w:cs="Times New Roman"/>
          <w:lang w:val="en-US" w:eastAsia="zh-CN"/>
        </w:rPr>
      </w:pPr>
    </w:p>
    <w:sectPr>
      <w:footerReference r:id="rId6" w:type="default"/>
      <w:pgSz w:w="11906" w:h="16838"/>
      <w:pgMar w:top="2098" w:right="1531" w:bottom="1984" w:left="1531" w:header="851" w:footer="1531"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-33655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ind w:left="315" w:leftChars="150" w:right="315" w:rightChars="150"/>
                            <w:rPr>
                              <w:rStyle w:val="24"/>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Style w:val="24"/>
                              <w:rFonts w:ascii="宋体" w:hAnsi="宋体"/>
                              <w:sz w:val="28"/>
                              <w:szCs w:val="28"/>
                            </w:rPr>
                            <w:instrText xml:space="preserve">PAGE  </w:instrText>
                          </w:r>
                          <w:r>
                            <w:rPr>
                              <w:rFonts w:ascii="宋体" w:hAnsi="宋体"/>
                              <w:sz w:val="28"/>
                              <w:szCs w:val="28"/>
                            </w:rPr>
                            <w:fldChar w:fldCharType="separate"/>
                          </w:r>
                          <w:r>
                            <w:rPr>
                              <w:rStyle w:val="24"/>
                              <w:rFonts w:ascii="宋体" w:hAnsi="宋体"/>
                              <w:sz w:val="28"/>
                              <w:szCs w:val="28"/>
                            </w:rPr>
                            <w:t>75</w:t>
                          </w:r>
                          <w:r>
                            <w:rPr>
                              <w:rFonts w:ascii="宋体" w:hAnsi="宋体"/>
                              <w:sz w:val="28"/>
                              <w:szCs w:val="28"/>
                            </w:rPr>
                            <w:fldChar w:fldCharType="end"/>
                          </w:r>
                          <w:r>
                            <w:rPr>
                              <w:rStyle w:val="24"/>
                              <w:rFonts w:hint="eastAsia" w:ascii="宋体" w:hAnsi="宋体"/>
                              <w:sz w:val="28"/>
                              <w:szCs w:val="28"/>
                            </w:rPr>
                            <w:t xml:space="preserve"> </w:t>
                          </w:r>
                          <w:r>
                            <w:rPr>
                              <w:rFonts w:hint="eastAsia" w:ascii="宋体" w:hAnsi="宋体"/>
                              <w:sz w:val="28"/>
                              <w:szCs w:val="28"/>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2.65pt;height:144pt;width:144pt;mso-position-horizontal:outside;mso-position-horizontal-relative:margin;mso-wrap-style:none;z-index:251659264;mso-width-relative:page;mso-height-relative:page;" filled="f" stroked="f" coordsize="21600,21600" o:gfxdata="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HbqDH0wAAAAcBAAAPAAAAAAAAAAEAIAAAACIAAABkcnMvZG93bnJl&#10;di54bWxQSwECFAAUAAAACACHTuJA1F+UJskBAACZAwAADgAAAAAAAAABACAAAAAiAQAAZHJzL2Uy&#10;b0RvYy54bWxQSwUGAAAAAAYABgBZAQAAXQUAAAAA&#10;">
              <v:fill on="f" focussize="0,0"/>
              <v:stroke on="f"/>
              <v:imagedata o:title=""/>
              <o:lock v:ext="edit" aspectratio="f"/>
              <v:textbox inset="0mm,0mm,0mm,0mm" style="mso-fit-shape-to-text:t;">
                <w:txbxContent>
                  <w:p>
                    <w:pPr>
                      <w:pStyle w:val="11"/>
                      <w:ind w:left="315" w:leftChars="150" w:right="315" w:rightChars="150"/>
                      <w:rPr>
                        <w:rStyle w:val="24"/>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Style w:val="24"/>
                        <w:rFonts w:ascii="宋体" w:hAnsi="宋体"/>
                        <w:sz w:val="28"/>
                        <w:szCs w:val="28"/>
                      </w:rPr>
                      <w:instrText xml:space="preserve">PAGE  </w:instrText>
                    </w:r>
                    <w:r>
                      <w:rPr>
                        <w:rFonts w:ascii="宋体" w:hAnsi="宋体"/>
                        <w:sz w:val="28"/>
                        <w:szCs w:val="28"/>
                      </w:rPr>
                      <w:fldChar w:fldCharType="separate"/>
                    </w:r>
                    <w:r>
                      <w:rPr>
                        <w:rStyle w:val="24"/>
                        <w:rFonts w:ascii="宋体" w:hAnsi="宋体"/>
                        <w:sz w:val="28"/>
                        <w:szCs w:val="28"/>
                      </w:rPr>
                      <w:t>75</w:t>
                    </w:r>
                    <w:r>
                      <w:rPr>
                        <w:rFonts w:ascii="宋体" w:hAnsi="宋体"/>
                        <w:sz w:val="28"/>
                        <w:szCs w:val="28"/>
                      </w:rPr>
                      <w:fldChar w:fldCharType="end"/>
                    </w:r>
                    <w:r>
                      <w:rPr>
                        <w:rStyle w:val="24"/>
                        <w:rFonts w:hint="eastAsia" w:ascii="宋体" w:hAnsi="宋体"/>
                        <w:sz w:val="28"/>
                        <w:szCs w:val="28"/>
                      </w:rPr>
                      <w:t xml:space="preserve"> </w:t>
                    </w:r>
                    <w:r>
                      <w:rPr>
                        <w:rFonts w:hint="eastAsia" w:ascii="宋体" w:hAnsi="宋体"/>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4"/>
      </w:rPr>
    </w:pPr>
    <w:r>
      <w:fldChar w:fldCharType="begin"/>
    </w:r>
    <w:r>
      <w:rPr>
        <w:rStyle w:val="24"/>
      </w:rPr>
      <w:instrText xml:space="preserve">PAGE  </w:instrText>
    </w:r>
    <w:r>
      <w:fldChar w:fldCharType="end"/>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-33655</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ind w:left="315" w:leftChars="150" w:right="315" w:rightChars="150"/>
                            <w:rPr>
                              <w:rStyle w:val="24"/>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Style w:val="24"/>
                              <w:rFonts w:ascii="宋体" w:hAnsi="宋体"/>
                              <w:sz w:val="28"/>
                              <w:szCs w:val="28"/>
                            </w:rPr>
                            <w:instrText xml:space="preserve">PAGE  </w:instrText>
                          </w:r>
                          <w:r>
                            <w:rPr>
                              <w:rFonts w:ascii="宋体" w:hAnsi="宋体"/>
                              <w:sz w:val="28"/>
                              <w:szCs w:val="28"/>
                            </w:rPr>
                            <w:fldChar w:fldCharType="separate"/>
                          </w:r>
                          <w:r>
                            <w:rPr>
                              <w:rStyle w:val="24"/>
                              <w:rFonts w:ascii="宋体" w:hAnsi="宋体"/>
                              <w:sz w:val="28"/>
                              <w:szCs w:val="28"/>
                            </w:rPr>
                            <w:t>75</w:t>
                          </w:r>
                          <w:r>
                            <w:rPr>
                              <w:rFonts w:ascii="宋体" w:hAnsi="宋体"/>
                              <w:sz w:val="28"/>
                              <w:szCs w:val="28"/>
                            </w:rPr>
                            <w:fldChar w:fldCharType="end"/>
                          </w:r>
                          <w:r>
                            <w:rPr>
                              <w:rStyle w:val="24"/>
                              <w:rFonts w:hint="eastAsia" w:ascii="宋体" w:hAnsi="宋体"/>
                              <w:sz w:val="28"/>
                              <w:szCs w:val="28"/>
                            </w:rPr>
                            <w:t xml:space="preserve"> </w:t>
                          </w:r>
                          <w:r>
                            <w:rPr>
                              <w:rFonts w:hint="eastAsia" w:ascii="宋体" w:hAnsi="宋体"/>
                              <w:sz w:val="28"/>
                              <w:szCs w:val="28"/>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2.65pt;height:144pt;width:144pt;mso-position-horizontal:outside;mso-position-horizontal-relative:margin;mso-wrap-style:none;z-index:251660288;mso-width-relative:page;mso-height-relative:page;" filled="f" stroked="f" coordsize="21600,21600" o:gfxdata="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duoMfTAAAABwEAAA8AAAAAAAAAAQAgAAAAIgAAAGRycy9kb3ducmV2&#10;LnhtbFBLAQIUABQAAAAIAIdO4kA0kvpJyAEAAJkDAAAOAAAAAAAAAAEAIAAAACIBAABkcnMvZTJv&#10;RG9jLnhtbFBLBQYAAAAABgAGAFkBAABcBQAAAAA=&#10;">
              <v:fill on="f" focussize="0,0"/>
              <v:stroke on="f"/>
              <v:imagedata o:title=""/>
              <o:lock v:ext="edit" aspectratio="f"/>
              <v:textbox inset="0mm,0mm,0mm,0mm" style="mso-fit-shape-to-text:t;">
                <w:txbxContent>
                  <w:p>
                    <w:pPr>
                      <w:pStyle w:val="11"/>
                      <w:ind w:left="315" w:leftChars="150" w:right="315" w:rightChars="150"/>
                      <w:rPr>
                        <w:rStyle w:val="24"/>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Style w:val="24"/>
                        <w:rFonts w:ascii="宋体" w:hAnsi="宋体"/>
                        <w:sz w:val="28"/>
                        <w:szCs w:val="28"/>
                      </w:rPr>
                      <w:instrText xml:space="preserve">PAGE  </w:instrText>
                    </w:r>
                    <w:r>
                      <w:rPr>
                        <w:rFonts w:ascii="宋体" w:hAnsi="宋体"/>
                        <w:sz w:val="28"/>
                        <w:szCs w:val="28"/>
                      </w:rPr>
                      <w:fldChar w:fldCharType="separate"/>
                    </w:r>
                    <w:r>
                      <w:rPr>
                        <w:rStyle w:val="24"/>
                        <w:rFonts w:ascii="宋体" w:hAnsi="宋体"/>
                        <w:sz w:val="28"/>
                        <w:szCs w:val="28"/>
                      </w:rPr>
                      <w:t>75</w:t>
                    </w:r>
                    <w:r>
                      <w:rPr>
                        <w:rFonts w:ascii="宋体" w:hAnsi="宋体"/>
                        <w:sz w:val="28"/>
                        <w:szCs w:val="28"/>
                      </w:rPr>
                      <w:fldChar w:fldCharType="end"/>
                    </w:r>
                    <w:r>
                      <w:rPr>
                        <w:rStyle w:val="24"/>
                        <w:rFonts w:hint="eastAsia" w:ascii="宋体" w:hAnsi="宋体"/>
                        <w:sz w:val="28"/>
                        <w:szCs w:val="28"/>
                      </w:rPr>
                      <w:t xml:space="preserve"> </w:t>
                    </w:r>
                    <w:r>
                      <w:rPr>
                        <w:rFonts w:hint="eastAsia" w:ascii="宋体" w:hAnsi="宋体"/>
                        <w:sz w:val="28"/>
                        <w:szCs w:val="28"/>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-33655</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ind w:left="315" w:leftChars="150" w:right="315" w:rightChars="150"/>
                            <w:rPr>
                              <w:rStyle w:val="24"/>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Style w:val="24"/>
                              <w:rFonts w:ascii="宋体" w:hAnsi="宋体"/>
                              <w:sz w:val="28"/>
                              <w:szCs w:val="28"/>
                            </w:rPr>
                            <w:instrText xml:space="preserve">PAGE  </w:instrText>
                          </w:r>
                          <w:r>
                            <w:rPr>
                              <w:rFonts w:ascii="宋体" w:hAnsi="宋体"/>
                              <w:sz w:val="28"/>
                              <w:szCs w:val="28"/>
                            </w:rPr>
                            <w:fldChar w:fldCharType="separate"/>
                          </w:r>
                          <w:r>
                            <w:rPr>
                              <w:rStyle w:val="24"/>
                              <w:rFonts w:ascii="宋体" w:hAnsi="宋体"/>
                              <w:sz w:val="28"/>
                              <w:szCs w:val="28"/>
                            </w:rPr>
                            <w:t>75</w:t>
                          </w:r>
                          <w:r>
                            <w:rPr>
                              <w:rFonts w:ascii="宋体" w:hAnsi="宋体"/>
                              <w:sz w:val="28"/>
                              <w:szCs w:val="28"/>
                            </w:rPr>
                            <w:fldChar w:fldCharType="end"/>
                          </w:r>
                          <w:r>
                            <w:rPr>
                              <w:rStyle w:val="24"/>
                              <w:rFonts w:hint="eastAsia" w:ascii="宋体" w:hAnsi="宋体"/>
                              <w:sz w:val="28"/>
                              <w:szCs w:val="28"/>
                            </w:rPr>
                            <w:t xml:space="preserve"> </w:t>
                          </w:r>
                          <w:r>
                            <w:rPr>
                              <w:rFonts w:hint="eastAsia" w:ascii="宋体" w:hAnsi="宋体"/>
                              <w:sz w:val="28"/>
                              <w:szCs w:val="28"/>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2.65pt;height:144pt;width:144pt;mso-position-horizontal:outside;mso-position-horizontal-relative:margin;mso-wrap-style:none;z-index:251661312;mso-width-relative:page;mso-height-relative:page;" filled="f" stroked="f" coordsize="21600,21600" o:gfxdata="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duoMfTAAAABwEAAA8AAAAAAAAAAQAgAAAAIgAAAGRycy9kb3ducmV2&#10;LnhtbFBLAQIUABQAAAAIAIdO4kDE9E1+yAEAAJkDAAAOAAAAAAAAAAEAIAAAACIBAABkcnMvZTJv&#10;RG9jLnhtbFBLBQYAAAAABgAGAFkBAABcBQAAAAA=&#10;">
              <v:fill on="f" focussize="0,0"/>
              <v:stroke on="f"/>
              <v:imagedata o:title=""/>
              <o:lock v:ext="edit" aspectratio="f"/>
              <v:textbox inset="0mm,0mm,0mm,0mm" style="mso-fit-shape-to-text:t;">
                <w:txbxContent>
                  <w:p>
                    <w:pPr>
                      <w:pStyle w:val="11"/>
                      <w:ind w:left="315" w:leftChars="150" w:right="315" w:rightChars="150"/>
                      <w:rPr>
                        <w:rStyle w:val="24"/>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Style w:val="24"/>
                        <w:rFonts w:ascii="宋体" w:hAnsi="宋体"/>
                        <w:sz w:val="28"/>
                        <w:szCs w:val="28"/>
                      </w:rPr>
                      <w:instrText xml:space="preserve">PAGE  </w:instrText>
                    </w:r>
                    <w:r>
                      <w:rPr>
                        <w:rFonts w:ascii="宋体" w:hAnsi="宋体"/>
                        <w:sz w:val="28"/>
                        <w:szCs w:val="28"/>
                      </w:rPr>
                      <w:fldChar w:fldCharType="separate"/>
                    </w:r>
                    <w:r>
                      <w:rPr>
                        <w:rStyle w:val="24"/>
                        <w:rFonts w:ascii="宋体" w:hAnsi="宋体"/>
                        <w:sz w:val="28"/>
                        <w:szCs w:val="28"/>
                      </w:rPr>
                      <w:t>75</w:t>
                    </w:r>
                    <w:r>
                      <w:rPr>
                        <w:rFonts w:ascii="宋体" w:hAnsi="宋体"/>
                        <w:sz w:val="28"/>
                        <w:szCs w:val="28"/>
                      </w:rPr>
                      <w:fldChar w:fldCharType="end"/>
                    </w:r>
                    <w:r>
                      <w:rPr>
                        <w:rStyle w:val="24"/>
                        <w:rFonts w:hint="eastAsia" w:ascii="宋体" w:hAnsi="宋体"/>
                        <w:sz w:val="28"/>
                        <w:szCs w:val="28"/>
                      </w:rPr>
                      <w:t xml:space="preserve"> </w:t>
                    </w:r>
                    <w:r>
                      <w:rPr>
                        <w:rFonts w:hint="eastAsia" w:ascii="宋体" w:hAnsi="宋体"/>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4MjM3MzY4MDJkYTgwNDVhNDAyNTQ1NWEyMDU4NjAifQ=="/>
  </w:docVars>
  <w:rsids>
    <w:rsidRoot w:val="0095242A"/>
    <w:rsid w:val="00002787"/>
    <w:rsid w:val="0001144F"/>
    <w:rsid w:val="00013866"/>
    <w:rsid w:val="000214D7"/>
    <w:rsid w:val="000256A6"/>
    <w:rsid w:val="00030DA7"/>
    <w:rsid w:val="00044D3C"/>
    <w:rsid w:val="00047A3B"/>
    <w:rsid w:val="00053D36"/>
    <w:rsid w:val="00057D77"/>
    <w:rsid w:val="00066F34"/>
    <w:rsid w:val="000710D7"/>
    <w:rsid w:val="00072413"/>
    <w:rsid w:val="00072D5D"/>
    <w:rsid w:val="000740A0"/>
    <w:rsid w:val="00084FF1"/>
    <w:rsid w:val="000B2C48"/>
    <w:rsid w:val="000C269D"/>
    <w:rsid w:val="000D32C7"/>
    <w:rsid w:val="000D3FD2"/>
    <w:rsid w:val="000D5787"/>
    <w:rsid w:val="000E2DB7"/>
    <w:rsid w:val="000E5459"/>
    <w:rsid w:val="000F0B4B"/>
    <w:rsid w:val="000F3885"/>
    <w:rsid w:val="000F5A05"/>
    <w:rsid w:val="0010120E"/>
    <w:rsid w:val="001164F3"/>
    <w:rsid w:val="00117E5F"/>
    <w:rsid w:val="00131F5F"/>
    <w:rsid w:val="00145848"/>
    <w:rsid w:val="00161B48"/>
    <w:rsid w:val="00173F10"/>
    <w:rsid w:val="00174C9F"/>
    <w:rsid w:val="00184F83"/>
    <w:rsid w:val="001851AF"/>
    <w:rsid w:val="0018566D"/>
    <w:rsid w:val="00194239"/>
    <w:rsid w:val="0019754A"/>
    <w:rsid w:val="001B0A0D"/>
    <w:rsid w:val="001B2624"/>
    <w:rsid w:val="001B7107"/>
    <w:rsid w:val="001C4D06"/>
    <w:rsid w:val="001C548A"/>
    <w:rsid w:val="001C6D66"/>
    <w:rsid w:val="001E6A44"/>
    <w:rsid w:val="00210B77"/>
    <w:rsid w:val="0021209B"/>
    <w:rsid w:val="00215438"/>
    <w:rsid w:val="002160A5"/>
    <w:rsid w:val="00236D7A"/>
    <w:rsid w:val="00240B24"/>
    <w:rsid w:val="002424CA"/>
    <w:rsid w:val="00250115"/>
    <w:rsid w:val="00257C24"/>
    <w:rsid w:val="00261A1B"/>
    <w:rsid w:val="0026783F"/>
    <w:rsid w:val="00273C52"/>
    <w:rsid w:val="002761CB"/>
    <w:rsid w:val="00280D5D"/>
    <w:rsid w:val="002878FB"/>
    <w:rsid w:val="00290160"/>
    <w:rsid w:val="00292624"/>
    <w:rsid w:val="002A390B"/>
    <w:rsid w:val="002A3E4E"/>
    <w:rsid w:val="002B183F"/>
    <w:rsid w:val="002B343D"/>
    <w:rsid w:val="002B3D24"/>
    <w:rsid w:val="002C362E"/>
    <w:rsid w:val="002D61AC"/>
    <w:rsid w:val="002D7F2E"/>
    <w:rsid w:val="002E06F4"/>
    <w:rsid w:val="002E1C14"/>
    <w:rsid w:val="002E4812"/>
    <w:rsid w:val="0030579F"/>
    <w:rsid w:val="00305ABE"/>
    <w:rsid w:val="00310FE3"/>
    <w:rsid w:val="0031548B"/>
    <w:rsid w:val="00315CE6"/>
    <w:rsid w:val="00342783"/>
    <w:rsid w:val="00342829"/>
    <w:rsid w:val="00342C2D"/>
    <w:rsid w:val="0035661E"/>
    <w:rsid w:val="00364A37"/>
    <w:rsid w:val="003652BF"/>
    <w:rsid w:val="003661C3"/>
    <w:rsid w:val="00366E47"/>
    <w:rsid w:val="00372F80"/>
    <w:rsid w:val="00374644"/>
    <w:rsid w:val="003821F6"/>
    <w:rsid w:val="003836EB"/>
    <w:rsid w:val="00387029"/>
    <w:rsid w:val="00391175"/>
    <w:rsid w:val="00391E08"/>
    <w:rsid w:val="003926BA"/>
    <w:rsid w:val="003A559F"/>
    <w:rsid w:val="003A6D05"/>
    <w:rsid w:val="003A6DFC"/>
    <w:rsid w:val="003B2E8B"/>
    <w:rsid w:val="003C5952"/>
    <w:rsid w:val="003D5F0A"/>
    <w:rsid w:val="003E5F81"/>
    <w:rsid w:val="003F6E80"/>
    <w:rsid w:val="0040126C"/>
    <w:rsid w:val="00401CFC"/>
    <w:rsid w:val="00401DE1"/>
    <w:rsid w:val="004029C3"/>
    <w:rsid w:val="004030E5"/>
    <w:rsid w:val="00405CDE"/>
    <w:rsid w:val="004138C9"/>
    <w:rsid w:val="0041776F"/>
    <w:rsid w:val="00420FAF"/>
    <w:rsid w:val="00421A90"/>
    <w:rsid w:val="00431772"/>
    <w:rsid w:val="004326A1"/>
    <w:rsid w:val="004349AF"/>
    <w:rsid w:val="004405E5"/>
    <w:rsid w:val="00441224"/>
    <w:rsid w:val="00447CD8"/>
    <w:rsid w:val="00454543"/>
    <w:rsid w:val="00456CF5"/>
    <w:rsid w:val="004657AD"/>
    <w:rsid w:val="00470E31"/>
    <w:rsid w:val="00484235"/>
    <w:rsid w:val="00484790"/>
    <w:rsid w:val="004903AA"/>
    <w:rsid w:val="00497532"/>
    <w:rsid w:val="004A14C0"/>
    <w:rsid w:val="004A7E85"/>
    <w:rsid w:val="004B15BA"/>
    <w:rsid w:val="004B39B1"/>
    <w:rsid w:val="004C0C59"/>
    <w:rsid w:val="004C3AE4"/>
    <w:rsid w:val="004C5149"/>
    <w:rsid w:val="004C6867"/>
    <w:rsid w:val="004D074B"/>
    <w:rsid w:val="004D6B74"/>
    <w:rsid w:val="004E33FC"/>
    <w:rsid w:val="004E7A70"/>
    <w:rsid w:val="004F5243"/>
    <w:rsid w:val="005000BA"/>
    <w:rsid w:val="0050089C"/>
    <w:rsid w:val="005014A4"/>
    <w:rsid w:val="00510BBD"/>
    <w:rsid w:val="0051388F"/>
    <w:rsid w:val="00522D38"/>
    <w:rsid w:val="005243AB"/>
    <w:rsid w:val="00525AA3"/>
    <w:rsid w:val="005311C2"/>
    <w:rsid w:val="005370A6"/>
    <w:rsid w:val="0054061A"/>
    <w:rsid w:val="00547D1F"/>
    <w:rsid w:val="00550BD7"/>
    <w:rsid w:val="0055707F"/>
    <w:rsid w:val="005624B6"/>
    <w:rsid w:val="005632C4"/>
    <w:rsid w:val="005676D6"/>
    <w:rsid w:val="005855A1"/>
    <w:rsid w:val="0059243F"/>
    <w:rsid w:val="00594614"/>
    <w:rsid w:val="005A09B1"/>
    <w:rsid w:val="005A2EA7"/>
    <w:rsid w:val="005A6118"/>
    <w:rsid w:val="005B530D"/>
    <w:rsid w:val="005B61A9"/>
    <w:rsid w:val="005B66D7"/>
    <w:rsid w:val="005B7594"/>
    <w:rsid w:val="005C2C88"/>
    <w:rsid w:val="005D2986"/>
    <w:rsid w:val="005D6246"/>
    <w:rsid w:val="005E053C"/>
    <w:rsid w:val="005F6D1A"/>
    <w:rsid w:val="005F6DC2"/>
    <w:rsid w:val="00603468"/>
    <w:rsid w:val="00610C97"/>
    <w:rsid w:val="00613618"/>
    <w:rsid w:val="00614979"/>
    <w:rsid w:val="0062012F"/>
    <w:rsid w:val="0062733F"/>
    <w:rsid w:val="006302D9"/>
    <w:rsid w:val="006313CE"/>
    <w:rsid w:val="00633EC8"/>
    <w:rsid w:val="00640858"/>
    <w:rsid w:val="00642B6E"/>
    <w:rsid w:val="00643FB6"/>
    <w:rsid w:val="006549CA"/>
    <w:rsid w:val="00660DBE"/>
    <w:rsid w:val="006840F6"/>
    <w:rsid w:val="00684747"/>
    <w:rsid w:val="006A4813"/>
    <w:rsid w:val="006B096F"/>
    <w:rsid w:val="006B42F6"/>
    <w:rsid w:val="006B6530"/>
    <w:rsid w:val="006E7996"/>
    <w:rsid w:val="006E7D71"/>
    <w:rsid w:val="00704B9F"/>
    <w:rsid w:val="00720C51"/>
    <w:rsid w:val="00730E73"/>
    <w:rsid w:val="00740413"/>
    <w:rsid w:val="007432B4"/>
    <w:rsid w:val="00747C0C"/>
    <w:rsid w:val="007509D2"/>
    <w:rsid w:val="00750D7C"/>
    <w:rsid w:val="00756E9E"/>
    <w:rsid w:val="007668E8"/>
    <w:rsid w:val="00771468"/>
    <w:rsid w:val="00771800"/>
    <w:rsid w:val="00780DCA"/>
    <w:rsid w:val="00781163"/>
    <w:rsid w:val="00795930"/>
    <w:rsid w:val="007A0093"/>
    <w:rsid w:val="007B0184"/>
    <w:rsid w:val="007B08C1"/>
    <w:rsid w:val="007B0C7C"/>
    <w:rsid w:val="007C3A71"/>
    <w:rsid w:val="007C4E22"/>
    <w:rsid w:val="007D48D9"/>
    <w:rsid w:val="007E20F4"/>
    <w:rsid w:val="007E2323"/>
    <w:rsid w:val="007F3CFD"/>
    <w:rsid w:val="008019A3"/>
    <w:rsid w:val="00803B05"/>
    <w:rsid w:val="00805B6D"/>
    <w:rsid w:val="00816D9C"/>
    <w:rsid w:val="00820DAE"/>
    <w:rsid w:val="00830B1B"/>
    <w:rsid w:val="00830F62"/>
    <w:rsid w:val="00831E71"/>
    <w:rsid w:val="0084029D"/>
    <w:rsid w:val="00840311"/>
    <w:rsid w:val="008428CB"/>
    <w:rsid w:val="0085154D"/>
    <w:rsid w:val="00852544"/>
    <w:rsid w:val="008563D0"/>
    <w:rsid w:val="008600B6"/>
    <w:rsid w:val="00861E93"/>
    <w:rsid w:val="00875ACE"/>
    <w:rsid w:val="008A0C0C"/>
    <w:rsid w:val="008A1D39"/>
    <w:rsid w:val="008A3A2E"/>
    <w:rsid w:val="008A695F"/>
    <w:rsid w:val="008B1A82"/>
    <w:rsid w:val="008B75A9"/>
    <w:rsid w:val="008C3767"/>
    <w:rsid w:val="008C3D9C"/>
    <w:rsid w:val="008E1132"/>
    <w:rsid w:val="008E1D2D"/>
    <w:rsid w:val="008E7658"/>
    <w:rsid w:val="008F6B40"/>
    <w:rsid w:val="008F714D"/>
    <w:rsid w:val="009014C5"/>
    <w:rsid w:val="0090238A"/>
    <w:rsid w:val="0090546B"/>
    <w:rsid w:val="00907989"/>
    <w:rsid w:val="00907C09"/>
    <w:rsid w:val="00910850"/>
    <w:rsid w:val="0091460A"/>
    <w:rsid w:val="00914AE2"/>
    <w:rsid w:val="0092509C"/>
    <w:rsid w:val="00936E13"/>
    <w:rsid w:val="00943E8C"/>
    <w:rsid w:val="0095242A"/>
    <w:rsid w:val="009552C8"/>
    <w:rsid w:val="00960B4F"/>
    <w:rsid w:val="0097609D"/>
    <w:rsid w:val="00977A69"/>
    <w:rsid w:val="00983835"/>
    <w:rsid w:val="009B03DA"/>
    <w:rsid w:val="009B53AA"/>
    <w:rsid w:val="009B61BA"/>
    <w:rsid w:val="009E092E"/>
    <w:rsid w:val="009E384B"/>
    <w:rsid w:val="009E5083"/>
    <w:rsid w:val="009F5449"/>
    <w:rsid w:val="00A00041"/>
    <w:rsid w:val="00A00130"/>
    <w:rsid w:val="00A043FB"/>
    <w:rsid w:val="00A047C4"/>
    <w:rsid w:val="00A04F32"/>
    <w:rsid w:val="00A119B9"/>
    <w:rsid w:val="00A11C36"/>
    <w:rsid w:val="00A14A32"/>
    <w:rsid w:val="00A37164"/>
    <w:rsid w:val="00A470BE"/>
    <w:rsid w:val="00A537CA"/>
    <w:rsid w:val="00A55532"/>
    <w:rsid w:val="00A64749"/>
    <w:rsid w:val="00A65256"/>
    <w:rsid w:val="00A71652"/>
    <w:rsid w:val="00AA0D72"/>
    <w:rsid w:val="00AA169E"/>
    <w:rsid w:val="00AA4DD1"/>
    <w:rsid w:val="00AA5143"/>
    <w:rsid w:val="00AA547E"/>
    <w:rsid w:val="00AA715A"/>
    <w:rsid w:val="00AA727A"/>
    <w:rsid w:val="00AB657F"/>
    <w:rsid w:val="00AB7234"/>
    <w:rsid w:val="00AC1937"/>
    <w:rsid w:val="00AC703F"/>
    <w:rsid w:val="00AD2AF9"/>
    <w:rsid w:val="00AD2BDE"/>
    <w:rsid w:val="00AD36CD"/>
    <w:rsid w:val="00AD5DC4"/>
    <w:rsid w:val="00AE035C"/>
    <w:rsid w:val="00AF0512"/>
    <w:rsid w:val="00AF7D56"/>
    <w:rsid w:val="00B0055D"/>
    <w:rsid w:val="00B00AEE"/>
    <w:rsid w:val="00B039B5"/>
    <w:rsid w:val="00B047F8"/>
    <w:rsid w:val="00B05DF6"/>
    <w:rsid w:val="00B06549"/>
    <w:rsid w:val="00B10F01"/>
    <w:rsid w:val="00B2215B"/>
    <w:rsid w:val="00B258D0"/>
    <w:rsid w:val="00B37458"/>
    <w:rsid w:val="00B4338A"/>
    <w:rsid w:val="00B45404"/>
    <w:rsid w:val="00B45B75"/>
    <w:rsid w:val="00B47A20"/>
    <w:rsid w:val="00B505AD"/>
    <w:rsid w:val="00B63E7C"/>
    <w:rsid w:val="00B72257"/>
    <w:rsid w:val="00B75C5C"/>
    <w:rsid w:val="00B8075C"/>
    <w:rsid w:val="00B85DC2"/>
    <w:rsid w:val="00B96867"/>
    <w:rsid w:val="00BA3A85"/>
    <w:rsid w:val="00BB1FB1"/>
    <w:rsid w:val="00BB64AB"/>
    <w:rsid w:val="00BB7BDC"/>
    <w:rsid w:val="00BC5D23"/>
    <w:rsid w:val="00BC636A"/>
    <w:rsid w:val="00BD2AD3"/>
    <w:rsid w:val="00BD7886"/>
    <w:rsid w:val="00BE29DD"/>
    <w:rsid w:val="00BE461E"/>
    <w:rsid w:val="00BF175E"/>
    <w:rsid w:val="00BF7F71"/>
    <w:rsid w:val="00C02692"/>
    <w:rsid w:val="00C0745B"/>
    <w:rsid w:val="00C24110"/>
    <w:rsid w:val="00C31457"/>
    <w:rsid w:val="00C33B3B"/>
    <w:rsid w:val="00C3619F"/>
    <w:rsid w:val="00C4523E"/>
    <w:rsid w:val="00C55267"/>
    <w:rsid w:val="00C55C74"/>
    <w:rsid w:val="00C67BF7"/>
    <w:rsid w:val="00C70942"/>
    <w:rsid w:val="00C716C4"/>
    <w:rsid w:val="00C80E30"/>
    <w:rsid w:val="00C91D87"/>
    <w:rsid w:val="00CA1A55"/>
    <w:rsid w:val="00CA70F5"/>
    <w:rsid w:val="00CB3D2A"/>
    <w:rsid w:val="00CC6E93"/>
    <w:rsid w:val="00CD5225"/>
    <w:rsid w:val="00CE180C"/>
    <w:rsid w:val="00CE6CDD"/>
    <w:rsid w:val="00D0154B"/>
    <w:rsid w:val="00D11E1D"/>
    <w:rsid w:val="00D1598D"/>
    <w:rsid w:val="00D37DA4"/>
    <w:rsid w:val="00D43484"/>
    <w:rsid w:val="00D43F84"/>
    <w:rsid w:val="00D541C9"/>
    <w:rsid w:val="00D548DA"/>
    <w:rsid w:val="00D54A28"/>
    <w:rsid w:val="00D57832"/>
    <w:rsid w:val="00D617AA"/>
    <w:rsid w:val="00D629A6"/>
    <w:rsid w:val="00D634E4"/>
    <w:rsid w:val="00D71957"/>
    <w:rsid w:val="00D75C3D"/>
    <w:rsid w:val="00D8222A"/>
    <w:rsid w:val="00D85C6C"/>
    <w:rsid w:val="00D860FA"/>
    <w:rsid w:val="00D87C2E"/>
    <w:rsid w:val="00D949DE"/>
    <w:rsid w:val="00DA2BCE"/>
    <w:rsid w:val="00DB59F7"/>
    <w:rsid w:val="00DC0CF5"/>
    <w:rsid w:val="00DC2684"/>
    <w:rsid w:val="00DD3297"/>
    <w:rsid w:val="00DE5B2B"/>
    <w:rsid w:val="00DF3003"/>
    <w:rsid w:val="00DF4A49"/>
    <w:rsid w:val="00DF6EFD"/>
    <w:rsid w:val="00DF7F9E"/>
    <w:rsid w:val="00E01397"/>
    <w:rsid w:val="00E149F5"/>
    <w:rsid w:val="00E15B29"/>
    <w:rsid w:val="00E1666F"/>
    <w:rsid w:val="00E24920"/>
    <w:rsid w:val="00E26D63"/>
    <w:rsid w:val="00E306D3"/>
    <w:rsid w:val="00E36594"/>
    <w:rsid w:val="00E523F4"/>
    <w:rsid w:val="00E626DB"/>
    <w:rsid w:val="00E76F33"/>
    <w:rsid w:val="00E8587D"/>
    <w:rsid w:val="00E90824"/>
    <w:rsid w:val="00E94058"/>
    <w:rsid w:val="00E95B1B"/>
    <w:rsid w:val="00EA1C00"/>
    <w:rsid w:val="00EA35E5"/>
    <w:rsid w:val="00EA3A25"/>
    <w:rsid w:val="00EB46D1"/>
    <w:rsid w:val="00EB79E7"/>
    <w:rsid w:val="00EE5745"/>
    <w:rsid w:val="00EE78DD"/>
    <w:rsid w:val="00EE7F7C"/>
    <w:rsid w:val="00EF2F4D"/>
    <w:rsid w:val="00EF2F8B"/>
    <w:rsid w:val="00EF7F44"/>
    <w:rsid w:val="00F02B44"/>
    <w:rsid w:val="00F04EA3"/>
    <w:rsid w:val="00F0642B"/>
    <w:rsid w:val="00F06845"/>
    <w:rsid w:val="00F22460"/>
    <w:rsid w:val="00F320DE"/>
    <w:rsid w:val="00F34D6B"/>
    <w:rsid w:val="00F3513E"/>
    <w:rsid w:val="00F42306"/>
    <w:rsid w:val="00F50593"/>
    <w:rsid w:val="00F515CD"/>
    <w:rsid w:val="00F5301D"/>
    <w:rsid w:val="00F53B2C"/>
    <w:rsid w:val="00F61003"/>
    <w:rsid w:val="00F61CFE"/>
    <w:rsid w:val="00F73CB8"/>
    <w:rsid w:val="00F765C0"/>
    <w:rsid w:val="00F7740E"/>
    <w:rsid w:val="00F81BDA"/>
    <w:rsid w:val="00F82B4C"/>
    <w:rsid w:val="00F85164"/>
    <w:rsid w:val="00F861F9"/>
    <w:rsid w:val="00FA4C56"/>
    <w:rsid w:val="00FB02FA"/>
    <w:rsid w:val="00FB36FA"/>
    <w:rsid w:val="00FB4FC7"/>
    <w:rsid w:val="00FC00C5"/>
    <w:rsid w:val="00FC4508"/>
    <w:rsid w:val="00FC6CEC"/>
    <w:rsid w:val="00FD2590"/>
    <w:rsid w:val="00FE0A7B"/>
    <w:rsid w:val="00FE214A"/>
    <w:rsid w:val="00FE4510"/>
    <w:rsid w:val="00FE6083"/>
    <w:rsid w:val="00FF0C8C"/>
    <w:rsid w:val="00FF1D5F"/>
    <w:rsid w:val="00FF1FD6"/>
    <w:rsid w:val="00FF56EE"/>
    <w:rsid w:val="00FF5DC3"/>
    <w:rsid w:val="0134581A"/>
    <w:rsid w:val="01693E4A"/>
    <w:rsid w:val="02086790"/>
    <w:rsid w:val="0223725D"/>
    <w:rsid w:val="02523EBF"/>
    <w:rsid w:val="026B7186"/>
    <w:rsid w:val="028371BC"/>
    <w:rsid w:val="02F45CB5"/>
    <w:rsid w:val="03D81CF1"/>
    <w:rsid w:val="03F01AF8"/>
    <w:rsid w:val="04437226"/>
    <w:rsid w:val="044E0AEF"/>
    <w:rsid w:val="04695B42"/>
    <w:rsid w:val="05161C7A"/>
    <w:rsid w:val="053D60FA"/>
    <w:rsid w:val="05D52043"/>
    <w:rsid w:val="061A7941"/>
    <w:rsid w:val="06A42AC8"/>
    <w:rsid w:val="06E3539E"/>
    <w:rsid w:val="06FC3EFB"/>
    <w:rsid w:val="07391E2A"/>
    <w:rsid w:val="07496106"/>
    <w:rsid w:val="080E7736"/>
    <w:rsid w:val="083319BC"/>
    <w:rsid w:val="08F04711"/>
    <w:rsid w:val="091D1A47"/>
    <w:rsid w:val="096322B5"/>
    <w:rsid w:val="0968048D"/>
    <w:rsid w:val="0A0B297F"/>
    <w:rsid w:val="0A1514D5"/>
    <w:rsid w:val="0A7647BB"/>
    <w:rsid w:val="0A861104"/>
    <w:rsid w:val="0AEF47D6"/>
    <w:rsid w:val="0B3F1A32"/>
    <w:rsid w:val="0B581075"/>
    <w:rsid w:val="0B844D97"/>
    <w:rsid w:val="0BA92C05"/>
    <w:rsid w:val="0BB01935"/>
    <w:rsid w:val="0BC113B9"/>
    <w:rsid w:val="0C216E02"/>
    <w:rsid w:val="0C230576"/>
    <w:rsid w:val="0C46407C"/>
    <w:rsid w:val="0C47386C"/>
    <w:rsid w:val="0C572157"/>
    <w:rsid w:val="0CC81F36"/>
    <w:rsid w:val="0D00799F"/>
    <w:rsid w:val="0D0255AC"/>
    <w:rsid w:val="0D426D59"/>
    <w:rsid w:val="0D607FCD"/>
    <w:rsid w:val="0D924807"/>
    <w:rsid w:val="0DBC0176"/>
    <w:rsid w:val="0E1F37C0"/>
    <w:rsid w:val="0FAB6E14"/>
    <w:rsid w:val="10055263"/>
    <w:rsid w:val="10356E8A"/>
    <w:rsid w:val="10421020"/>
    <w:rsid w:val="106B4908"/>
    <w:rsid w:val="10D22992"/>
    <w:rsid w:val="11055A6D"/>
    <w:rsid w:val="11104D09"/>
    <w:rsid w:val="11267607"/>
    <w:rsid w:val="114F07E4"/>
    <w:rsid w:val="117E0687"/>
    <w:rsid w:val="11FD7065"/>
    <w:rsid w:val="122A54D2"/>
    <w:rsid w:val="124438F2"/>
    <w:rsid w:val="126F70D1"/>
    <w:rsid w:val="12F32000"/>
    <w:rsid w:val="12FC1F3C"/>
    <w:rsid w:val="131D646C"/>
    <w:rsid w:val="13503586"/>
    <w:rsid w:val="13C15CD6"/>
    <w:rsid w:val="13C20D64"/>
    <w:rsid w:val="13D261DC"/>
    <w:rsid w:val="142958C2"/>
    <w:rsid w:val="144122F0"/>
    <w:rsid w:val="14657C33"/>
    <w:rsid w:val="14CB40E8"/>
    <w:rsid w:val="15604CB3"/>
    <w:rsid w:val="15B07500"/>
    <w:rsid w:val="15BA4595"/>
    <w:rsid w:val="15C8653A"/>
    <w:rsid w:val="15F902C8"/>
    <w:rsid w:val="162C35A0"/>
    <w:rsid w:val="16482ACB"/>
    <w:rsid w:val="1674380F"/>
    <w:rsid w:val="16B15C4B"/>
    <w:rsid w:val="16B50040"/>
    <w:rsid w:val="16C26917"/>
    <w:rsid w:val="16DA7C82"/>
    <w:rsid w:val="17196E21"/>
    <w:rsid w:val="171D1598"/>
    <w:rsid w:val="1779037D"/>
    <w:rsid w:val="17A55188"/>
    <w:rsid w:val="17A76DB1"/>
    <w:rsid w:val="17B57A95"/>
    <w:rsid w:val="189101AB"/>
    <w:rsid w:val="18B33FEA"/>
    <w:rsid w:val="18FA4E71"/>
    <w:rsid w:val="196766D7"/>
    <w:rsid w:val="199B0D94"/>
    <w:rsid w:val="19AD6790"/>
    <w:rsid w:val="1AD873E8"/>
    <w:rsid w:val="1AF61EB0"/>
    <w:rsid w:val="1B123C42"/>
    <w:rsid w:val="1B2A57FC"/>
    <w:rsid w:val="1B585E81"/>
    <w:rsid w:val="1B813A74"/>
    <w:rsid w:val="1BC214AF"/>
    <w:rsid w:val="1BC95844"/>
    <w:rsid w:val="1C3C4BE7"/>
    <w:rsid w:val="1CC0372B"/>
    <w:rsid w:val="1CEB2B63"/>
    <w:rsid w:val="1CEE08A0"/>
    <w:rsid w:val="1D3C71DE"/>
    <w:rsid w:val="1D5316FC"/>
    <w:rsid w:val="1D9D3AF7"/>
    <w:rsid w:val="1DB97FA5"/>
    <w:rsid w:val="1DF0361E"/>
    <w:rsid w:val="1ED31DFB"/>
    <w:rsid w:val="1EF066C9"/>
    <w:rsid w:val="1EF718A0"/>
    <w:rsid w:val="1EFE5E79"/>
    <w:rsid w:val="1F093890"/>
    <w:rsid w:val="1F4658D4"/>
    <w:rsid w:val="1FB52A0E"/>
    <w:rsid w:val="204124F1"/>
    <w:rsid w:val="20574AAB"/>
    <w:rsid w:val="20717DFF"/>
    <w:rsid w:val="207E483D"/>
    <w:rsid w:val="2089216C"/>
    <w:rsid w:val="20BB2A85"/>
    <w:rsid w:val="21370CA2"/>
    <w:rsid w:val="217A4332"/>
    <w:rsid w:val="21B27925"/>
    <w:rsid w:val="21E31714"/>
    <w:rsid w:val="221933AA"/>
    <w:rsid w:val="22864750"/>
    <w:rsid w:val="228714A6"/>
    <w:rsid w:val="23266800"/>
    <w:rsid w:val="23EA67F9"/>
    <w:rsid w:val="23FD4FAB"/>
    <w:rsid w:val="240A4F33"/>
    <w:rsid w:val="24EC1EF7"/>
    <w:rsid w:val="24FA1333"/>
    <w:rsid w:val="25716D7F"/>
    <w:rsid w:val="25856F58"/>
    <w:rsid w:val="25E35155"/>
    <w:rsid w:val="25FA058F"/>
    <w:rsid w:val="26AB6BE5"/>
    <w:rsid w:val="272C1BA7"/>
    <w:rsid w:val="27451086"/>
    <w:rsid w:val="27631C87"/>
    <w:rsid w:val="27846053"/>
    <w:rsid w:val="27A14ED5"/>
    <w:rsid w:val="27D5314E"/>
    <w:rsid w:val="28085132"/>
    <w:rsid w:val="284D040D"/>
    <w:rsid w:val="28502D73"/>
    <w:rsid w:val="286D33C7"/>
    <w:rsid w:val="287A5DD2"/>
    <w:rsid w:val="2905645F"/>
    <w:rsid w:val="29D40412"/>
    <w:rsid w:val="29FE4F72"/>
    <w:rsid w:val="2A207AF0"/>
    <w:rsid w:val="2A21489D"/>
    <w:rsid w:val="2A2B2C99"/>
    <w:rsid w:val="2A690FAA"/>
    <w:rsid w:val="2A9C1661"/>
    <w:rsid w:val="2B4D4104"/>
    <w:rsid w:val="2B5271B2"/>
    <w:rsid w:val="2B6146AE"/>
    <w:rsid w:val="2BAA1184"/>
    <w:rsid w:val="2BAE4FC1"/>
    <w:rsid w:val="2BBE7945"/>
    <w:rsid w:val="2BF02882"/>
    <w:rsid w:val="2BF36BAF"/>
    <w:rsid w:val="2C0F77A9"/>
    <w:rsid w:val="2C6424B3"/>
    <w:rsid w:val="2C885614"/>
    <w:rsid w:val="2C952751"/>
    <w:rsid w:val="2CD03113"/>
    <w:rsid w:val="2D413EE9"/>
    <w:rsid w:val="2D5D375E"/>
    <w:rsid w:val="2D6300D7"/>
    <w:rsid w:val="2DC23C0E"/>
    <w:rsid w:val="2E36056A"/>
    <w:rsid w:val="2E3D5A59"/>
    <w:rsid w:val="2F3A1520"/>
    <w:rsid w:val="2F6D259A"/>
    <w:rsid w:val="2FC857B5"/>
    <w:rsid w:val="301074CB"/>
    <w:rsid w:val="30274F25"/>
    <w:rsid w:val="305D51D3"/>
    <w:rsid w:val="305F5DA8"/>
    <w:rsid w:val="30845664"/>
    <w:rsid w:val="30BF5830"/>
    <w:rsid w:val="31582CB0"/>
    <w:rsid w:val="318360E0"/>
    <w:rsid w:val="31891D10"/>
    <w:rsid w:val="323E2179"/>
    <w:rsid w:val="325F1356"/>
    <w:rsid w:val="326253A4"/>
    <w:rsid w:val="32794C43"/>
    <w:rsid w:val="332C4D52"/>
    <w:rsid w:val="336D2C88"/>
    <w:rsid w:val="33B10C2F"/>
    <w:rsid w:val="33B22436"/>
    <w:rsid w:val="33F30FF6"/>
    <w:rsid w:val="34EE2CB0"/>
    <w:rsid w:val="36490813"/>
    <w:rsid w:val="366E2E0D"/>
    <w:rsid w:val="36CC6570"/>
    <w:rsid w:val="36EA3A16"/>
    <w:rsid w:val="37440B18"/>
    <w:rsid w:val="3757212F"/>
    <w:rsid w:val="37A116FF"/>
    <w:rsid w:val="37B562FE"/>
    <w:rsid w:val="37F65417"/>
    <w:rsid w:val="3816678A"/>
    <w:rsid w:val="381D6D33"/>
    <w:rsid w:val="387F38FC"/>
    <w:rsid w:val="38BD3120"/>
    <w:rsid w:val="38C60592"/>
    <w:rsid w:val="38FB60D4"/>
    <w:rsid w:val="38FC7FA0"/>
    <w:rsid w:val="391B6730"/>
    <w:rsid w:val="393C0F6B"/>
    <w:rsid w:val="394E7B49"/>
    <w:rsid w:val="399835AB"/>
    <w:rsid w:val="39C01B70"/>
    <w:rsid w:val="39D3492D"/>
    <w:rsid w:val="3A2D58F7"/>
    <w:rsid w:val="3A390903"/>
    <w:rsid w:val="3A7855D4"/>
    <w:rsid w:val="3AB9600C"/>
    <w:rsid w:val="3BF01667"/>
    <w:rsid w:val="3C2B338B"/>
    <w:rsid w:val="3C5245DE"/>
    <w:rsid w:val="3C761520"/>
    <w:rsid w:val="3C775EF0"/>
    <w:rsid w:val="3D3E5031"/>
    <w:rsid w:val="3D9103FD"/>
    <w:rsid w:val="3E1C0303"/>
    <w:rsid w:val="3E312854"/>
    <w:rsid w:val="3E3A02BC"/>
    <w:rsid w:val="3E561A18"/>
    <w:rsid w:val="3E76576E"/>
    <w:rsid w:val="3EA93926"/>
    <w:rsid w:val="3F2F4DC2"/>
    <w:rsid w:val="3F8814D7"/>
    <w:rsid w:val="3FE06FE9"/>
    <w:rsid w:val="3FFE02A2"/>
    <w:rsid w:val="400455E4"/>
    <w:rsid w:val="40E96F8D"/>
    <w:rsid w:val="414B715C"/>
    <w:rsid w:val="414E2B57"/>
    <w:rsid w:val="419A5251"/>
    <w:rsid w:val="42091FF7"/>
    <w:rsid w:val="4257554D"/>
    <w:rsid w:val="425E48B5"/>
    <w:rsid w:val="42A141ED"/>
    <w:rsid w:val="42B12819"/>
    <w:rsid w:val="43472D7B"/>
    <w:rsid w:val="434A1F6B"/>
    <w:rsid w:val="434B064F"/>
    <w:rsid w:val="43CC6B48"/>
    <w:rsid w:val="43DC7E0C"/>
    <w:rsid w:val="43FF5788"/>
    <w:rsid w:val="44276BBC"/>
    <w:rsid w:val="44437B47"/>
    <w:rsid w:val="445E303F"/>
    <w:rsid w:val="44E36C32"/>
    <w:rsid w:val="44F03213"/>
    <w:rsid w:val="45110B85"/>
    <w:rsid w:val="45480273"/>
    <w:rsid w:val="454C60C1"/>
    <w:rsid w:val="4558196A"/>
    <w:rsid w:val="456956FB"/>
    <w:rsid w:val="45DD19D7"/>
    <w:rsid w:val="46065A5C"/>
    <w:rsid w:val="4616676A"/>
    <w:rsid w:val="46347225"/>
    <w:rsid w:val="46BB0D81"/>
    <w:rsid w:val="470D17A9"/>
    <w:rsid w:val="47246E39"/>
    <w:rsid w:val="47477A2A"/>
    <w:rsid w:val="47564C73"/>
    <w:rsid w:val="47710608"/>
    <w:rsid w:val="47843CAA"/>
    <w:rsid w:val="478F282F"/>
    <w:rsid w:val="47C57A60"/>
    <w:rsid w:val="480804B4"/>
    <w:rsid w:val="483C116A"/>
    <w:rsid w:val="48424EAC"/>
    <w:rsid w:val="48460CAE"/>
    <w:rsid w:val="485A1794"/>
    <w:rsid w:val="48786C98"/>
    <w:rsid w:val="48B170A8"/>
    <w:rsid w:val="48BA52B1"/>
    <w:rsid w:val="48D277F2"/>
    <w:rsid w:val="48EC5AEE"/>
    <w:rsid w:val="494050F7"/>
    <w:rsid w:val="4A624988"/>
    <w:rsid w:val="4ABB19A2"/>
    <w:rsid w:val="4ABD17AC"/>
    <w:rsid w:val="4B3C7B8C"/>
    <w:rsid w:val="4B7C59EF"/>
    <w:rsid w:val="4B90034D"/>
    <w:rsid w:val="4B9225BD"/>
    <w:rsid w:val="4BB90AFF"/>
    <w:rsid w:val="4BE80E24"/>
    <w:rsid w:val="4C4635DE"/>
    <w:rsid w:val="4C930896"/>
    <w:rsid w:val="4CC12D26"/>
    <w:rsid w:val="4CF81F50"/>
    <w:rsid w:val="4D302228"/>
    <w:rsid w:val="4D8509F4"/>
    <w:rsid w:val="4DB66785"/>
    <w:rsid w:val="4E2C353F"/>
    <w:rsid w:val="4E430D6A"/>
    <w:rsid w:val="4E9F122B"/>
    <w:rsid w:val="4EBC1C5C"/>
    <w:rsid w:val="4ECE725A"/>
    <w:rsid w:val="4EE21F26"/>
    <w:rsid w:val="4EE95E84"/>
    <w:rsid w:val="4F1F559E"/>
    <w:rsid w:val="4F432D96"/>
    <w:rsid w:val="4F727D88"/>
    <w:rsid w:val="4FD02608"/>
    <w:rsid w:val="50796489"/>
    <w:rsid w:val="507E096C"/>
    <w:rsid w:val="50A60FE9"/>
    <w:rsid w:val="50BE5A8E"/>
    <w:rsid w:val="50FC4C04"/>
    <w:rsid w:val="51457A88"/>
    <w:rsid w:val="5155064B"/>
    <w:rsid w:val="5183598A"/>
    <w:rsid w:val="51877FEC"/>
    <w:rsid w:val="51E932AD"/>
    <w:rsid w:val="51F33C4F"/>
    <w:rsid w:val="51FE5E16"/>
    <w:rsid w:val="520239A3"/>
    <w:rsid w:val="52A26020"/>
    <w:rsid w:val="52B818D4"/>
    <w:rsid w:val="52DC1EEB"/>
    <w:rsid w:val="5304697C"/>
    <w:rsid w:val="53355E2E"/>
    <w:rsid w:val="533F4842"/>
    <w:rsid w:val="536C5A42"/>
    <w:rsid w:val="53AD42B3"/>
    <w:rsid w:val="53EF0948"/>
    <w:rsid w:val="54193573"/>
    <w:rsid w:val="54254902"/>
    <w:rsid w:val="54555CD0"/>
    <w:rsid w:val="54812CDA"/>
    <w:rsid w:val="54CD24B0"/>
    <w:rsid w:val="554A2E20"/>
    <w:rsid w:val="55857873"/>
    <w:rsid w:val="55C221FC"/>
    <w:rsid w:val="55DC53D8"/>
    <w:rsid w:val="563D10CB"/>
    <w:rsid w:val="566855C1"/>
    <w:rsid w:val="56C6101E"/>
    <w:rsid w:val="57127594"/>
    <w:rsid w:val="57854AF5"/>
    <w:rsid w:val="57970B91"/>
    <w:rsid w:val="5852767B"/>
    <w:rsid w:val="5867311F"/>
    <w:rsid w:val="5887483C"/>
    <w:rsid w:val="58DF6D59"/>
    <w:rsid w:val="58F84B58"/>
    <w:rsid w:val="593D617C"/>
    <w:rsid w:val="59466D42"/>
    <w:rsid w:val="594E605F"/>
    <w:rsid w:val="597533AF"/>
    <w:rsid w:val="597C2B49"/>
    <w:rsid w:val="59902011"/>
    <w:rsid w:val="599718C4"/>
    <w:rsid w:val="5A1A7945"/>
    <w:rsid w:val="5A333D1A"/>
    <w:rsid w:val="5AB12605"/>
    <w:rsid w:val="5B4B6CFA"/>
    <w:rsid w:val="5B61496D"/>
    <w:rsid w:val="5B8D74AD"/>
    <w:rsid w:val="5BB02381"/>
    <w:rsid w:val="5C227B6D"/>
    <w:rsid w:val="5C8B2D67"/>
    <w:rsid w:val="5D5857B8"/>
    <w:rsid w:val="5D706482"/>
    <w:rsid w:val="5DF47B16"/>
    <w:rsid w:val="5E2677F5"/>
    <w:rsid w:val="5E69661F"/>
    <w:rsid w:val="5E8A1947"/>
    <w:rsid w:val="60344692"/>
    <w:rsid w:val="60376C78"/>
    <w:rsid w:val="60767605"/>
    <w:rsid w:val="607B4229"/>
    <w:rsid w:val="6089655F"/>
    <w:rsid w:val="60941D28"/>
    <w:rsid w:val="609F3D39"/>
    <w:rsid w:val="60B13FF1"/>
    <w:rsid w:val="60E36725"/>
    <w:rsid w:val="60E7331C"/>
    <w:rsid w:val="61054AFF"/>
    <w:rsid w:val="610E0CEC"/>
    <w:rsid w:val="612A586F"/>
    <w:rsid w:val="6194641D"/>
    <w:rsid w:val="61955D26"/>
    <w:rsid w:val="625718A1"/>
    <w:rsid w:val="62ED3B44"/>
    <w:rsid w:val="639F0768"/>
    <w:rsid w:val="63EB1989"/>
    <w:rsid w:val="641A0034"/>
    <w:rsid w:val="648814A1"/>
    <w:rsid w:val="64B660EC"/>
    <w:rsid w:val="64B75447"/>
    <w:rsid w:val="64F03B11"/>
    <w:rsid w:val="64FD60E4"/>
    <w:rsid w:val="65BF719F"/>
    <w:rsid w:val="65C7710E"/>
    <w:rsid w:val="66307E60"/>
    <w:rsid w:val="663B4E3F"/>
    <w:rsid w:val="66D4760A"/>
    <w:rsid w:val="670176B5"/>
    <w:rsid w:val="67232FA3"/>
    <w:rsid w:val="685741EC"/>
    <w:rsid w:val="6864664B"/>
    <w:rsid w:val="68AF1AE8"/>
    <w:rsid w:val="68BB3646"/>
    <w:rsid w:val="68D57147"/>
    <w:rsid w:val="699F499A"/>
    <w:rsid w:val="6A0731E4"/>
    <w:rsid w:val="6A6A56CF"/>
    <w:rsid w:val="6AB87A70"/>
    <w:rsid w:val="6AE4020E"/>
    <w:rsid w:val="6B26359F"/>
    <w:rsid w:val="6BC4518E"/>
    <w:rsid w:val="6BFF7547"/>
    <w:rsid w:val="6C321BD3"/>
    <w:rsid w:val="6C434B81"/>
    <w:rsid w:val="6C437EDA"/>
    <w:rsid w:val="6C7E430F"/>
    <w:rsid w:val="6CCA33BE"/>
    <w:rsid w:val="6D3F13B1"/>
    <w:rsid w:val="6DF14387"/>
    <w:rsid w:val="6E184077"/>
    <w:rsid w:val="6E5852E9"/>
    <w:rsid w:val="6E5A7B39"/>
    <w:rsid w:val="6E8A0718"/>
    <w:rsid w:val="6EB91AF5"/>
    <w:rsid w:val="6F0E2C67"/>
    <w:rsid w:val="6F134E5A"/>
    <w:rsid w:val="6F937F2B"/>
    <w:rsid w:val="6F9A40A4"/>
    <w:rsid w:val="6FB679D1"/>
    <w:rsid w:val="6FF96878"/>
    <w:rsid w:val="704F3BD5"/>
    <w:rsid w:val="70763E3E"/>
    <w:rsid w:val="70F94C37"/>
    <w:rsid w:val="70FB1761"/>
    <w:rsid w:val="714458F1"/>
    <w:rsid w:val="714A2D9F"/>
    <w:rsid w:val="71526592"/>
    <w:rsid w:val="71A22548"/>
    <w:rsid w:val="71C0648E"/>
    <w:rsid w:val="71EB31D2"/>
    <w:rsid w:val="72AA2579"/>
    <w:rsid w:val="7309793E"/>
    <w:rsid w:val="73863D1A"/>
    <w:rsid w:val="739831D2"/>
    <w:rsid w:val="73D73BD6"/>
    <w:rsid w:val="73DD185E"/>
    <w:rsid w:val="743D6642"/>
    <w:rsid w:val="75196A2E"/>
    <w:rsid w:val="75663006"/>
    <w:rsid w:val="759744D5"/>
    <w:rsid w:val="75C32B2E"/>
    <w:rsid w:val="761E0690"/>
    <w:rsid w:val="763C31E3"/>
    <w:rsid w:val="764B3812"/>
    <w:rsid w:val="76BE00E1"/>
    <w:rsid w:val="76C82E0F"/>
    <w:rsid w:val="76E03704"/>
    <w:rsid w:val="76EA587E"/>
    <w:rsid w:val="76F05526"/>
    <w:rsid w:val="76FF63BD"/>
    <w:rsid w:val="772B6866"/>
    <w:rsid w:val="77603F6C"/>
    <w:rsid w:val="77803FA5"/>
    <w:rsid w:val="77846642"/>
    <w:rsid w:val="778A4AE6"/>
    <w:rsid w:val="7790356F"/>
    <w:rsid w:val="782C4EA3"/>
    <w:rsid w:val="78421372"/>
    <w:rsid w:val="784D33E6"/>
    <w:rsid w:val="78840E38"/>
    <w:rsid w:val="78C067CD"/>
    <w:rsid w:val="78ED1C09"/>
    <w:rsid w:val="79017B0A"/>
    <w:rsid w:val="7907485F"/>
    <w:rsid w:val="79211654"/>
    <w:rsid w:val="79357208"/>
    <w:rsid w:val="79405367"/>
    <w:rsid w:val="798258A2"/>
    <w:rsid w:val="798837AF"/>
    <w:rsid w:val="79947E79"/>
    <w:rsid w:val="79EC00D5"/>
    <w:rsid w:val="79FE5D50"/>
    <w:rsid w:val="7A0238AB"/>
    <w:rsid w:val="7A6B6DE3"/>
    <w:rsid w:val="7A96168C"/>
    <w:rsid w:val="7ACC236A"/>
    <w:rsid w:val="7AF2239C"/>
    <w:rsid w:val="7B0E37FC"/>
    <w:rsid w:val="7B111E8C"/>
    <w:rsid w:val="7B360BD6"/>
    <w:rsid w:val="7B4C6747"/>
    <w:rsid w:val="7BC40137"/>
    <w:rsid w:val="7C5905BE"/>
    <w:rsid w:val="7C7F0567"/>
    <w:rsid w:val="7D0A5953"/>
    <w:rsid w:val="7D0E6B0C"/>
    <w:rsid w:val="7D2E5FAD"/>
    <w:rsid w:val="7D926CBD"/>
    <w:rsid w:val="7DB60EA6"/>
    <w:rsid w:val="7DBF1D6C"/>
    <w:rsid w:val="7DD86262"/>
    <w:rsid w:val="7EC432E5"/>
    <w:rsid w:val="7EDC7BCE"/>
    <w:rsid w:val="7F1C7772"/>
    <w:rsid w:val="7F9D5090"/>
    <w:rsid w:val="7FDF54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39" w:semiHidden="0" w:name="toc 1"/>
    <w:lsdException w:qFormat="1" w:unhideWhenUsed="0" w:uiPriority="39" w:semiHidden="0" w:name="toc 2"/>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ocked="1"/>
    <w:lsdException w:unhideWhenUsed="0" w:uiPriority="0" w:semiHidden="0" w:name="footnote text" w:locked="1"/>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ocked="1"/>
    <w:lsdException w:qFormat="1" w:uiPriority="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semiHidden="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sdException w:unhideWhenUsed="0" w:uiPriority="0" w:semiHidden="0" w:name="Closing" w:locked="1"/>
    <w:lsdException w:unhideWhenUsed="0" w:uiPriority="0" w:semiHidden="0" w:name="Signature" w:locked="1"/>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unhideWhenUsed="0" w:uiPriority="0" w:semiHidden="0" w:name="Date" w:locked="1"/>
    <w:lsdException w:qFormat="1" w:unhideWhenUsed="0" w:uiPriority="0" w:semiHidden="0" w:name="Body Text First Indent"/>
    <w:lsdException w:qFormat="1" w:unhideWhenUsed="0" w:uiPriority="0" w:semiHidden="0" w:name="Body Text First Indent 2"/>
    <w:lsdException w:unhideWhenUsed="0" w:uiPriority="0" w:semiHidden="0" w:name="Note Heading" w:locked="1"/>
    <w:lsdException w:unhideWhenUsed="0" w:uiPriority="0" w:semiHidden="0" w:name="Body Text 2" w:locked="1"/>
    <w:lsdException w:unhideWhenUsed="0" w:uiPriority="0" w:semiHidden="0" w:name="Body Text 3" w:locked="1"/>
    <w:lsdException w:unhideWhenUsed="0" w:uiPriority="0" w:semiHidden="0" w:name="Body Text Indent 2" w:locked="1"/>
    <w:lsdException w:unhideWhenUsed="0" w:uiPriority="0" w:semiHidden="0" w:name="Body Text Indent 3" w:locked="1"/>
    <w:lsdException w:unhideWhenUsed="0" w:uiPriority="0" w:semiHidden="0" w:name="Block Text" w:locked="1"/>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qFormat="1" w:unhideWhenUsed="0" w:uiPriority="0" w:semiHidden="0" w:name="HTML Cite"/>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nhideWhenUsed="0" w:uiPriority="0" w:name="Normal Table"/>
    <w:lsdException w:qFormat="1" w:unhideWhenUsed="0" w:uiPriority="0" w:semiHidden="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0" w:semiHidden="0" w:name="Balloon Text"/>
    <w:lsdException w:qFormat="1" w:unhideWhenUsed="0" w:uiPriority="0" w:semiHidden="0" w:name="Table Grid"/>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30"/>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1"/>
    <w:qFormat/>
    <w:uiPriority w:val="0"/>
    <w:pPr>
      <w:spacing w:line="600" w:lineRule="exact"/>
      <w:ind w:firstLine="643" w:firstLineChars="200"/>
      <w:outlineLvl w:val="1"/>
    </w:pPr>
    <w:rPr>
      <w:rFonts w:ascii="楷体_GB2312" w:hAnsi="Calibri" w:eastAsia="楷体_GB2312" w:cs="Times New Roman"/>
      <w:b/>
      <w:sz w:val="32"/>
      <w:szCs w:val="32"/>
    </w:rPr>
  </w:style>
  <w:style w:type="paragraph" w:styleId="4">
    <w:name w:val="heading 3"/>
    <w:basedOn w:val="1"/>
    <w:next w:val="1"/>
    <w:link w:val="32"/>
    <w:autoRedefine/>
    <w:qFormat/>
    <w:uiPriority w:val="0"/>
    <w:pPr>
      <w:jc w:val="left"/>
      <w:outlineLvl w:val="2"/>
    </w:pPr>
    <w:rPr>
      <w:rFonts w:ascii="宋体" w:hAnsi="宋体" w:eastAsia="宋体" w:cs="Times New Roman"/>
      <w:b/>
      <w:kern w:val="0"/>
      <w:sz w:val="24"/>
      <w:szCs w:val="24"/>
    </w:rPr>
  </w:style>
  <w:style w:type="character" w:default="1" w:styleId="22">
    <w:name w:val="Default Paragraph Font"/>
    <w:autoRedefine/>
    <w:semiHidden/>
    <w:qFormat/>
    <w:uiPriority w:val="0"/>
  </w:style>
  <w:style w:type="table" w:default="1" w:styleId="20">
    <w:name w:val="Normal Table"/>
    <w:autoRedefine/>
    <w:semiHidden/>
    <w:qFormat/>
    <w:uiPriority w:val="0"/>
    <w:tblPr>
      <w:tblCellMar>
        <w:top w:w="0" w:type="dxa"/>
        <w:left w:w="108" w:type="dxa"/>
        <w:bottom w:w="0" w:type="dxa"/>
        <w:right w:w="108" w:type="dxa"/>
      </w:tblCellMar>
    </w:tblPr>
  </w:style>
  <w:style w:type="paragraph" w:styleId="5">
    <w:name w:val="Document Map"/>
    <w:basedOn w:val="1"/>
    <w:link w:val="33"/>
    <w:qFormat/>
    <w:uiPriority w:val="0"/>
    <w:rPr>
      <w:rFonts w:ascii="宋体" w:hAnsi="Calibri" w:eastAsia="宋体" w:cs="Times New Roman"/>
      <w:sz w:val="18"/>
      <w:szCs w:val="18"/>
    </w:rPr>
  </w:style>
  <w:style w:type="paragraph" w:styleId="6">
    <w:name w:val="annotation text"/>
    <w:basedOn w:val="1"/>
    <w:link w:val="34"/>
    <w:autoRedefine/>
    <w:qFormat/>
    <w:uiPriority w:val="0"/>
    <w:pPr>
      <w:jc w:val="left"/>
    </w:pPr>
    <w:rPr>
      <w:rFonts w:ascii="Calibri" w:hAnsi="Calibri" w:eastAsia="宋体" w:cs="Times New Roman"/>
      <w:szCs w:val="22"/>
    </w:rPr>
  </w:style>
  <w:style w:type="paragraph" w:styleId="7">
    <w:name w:val="Body Text"/>
    <w:basedOn w:val="1"/>
    <w:link w:val="35"/>
    <w:autoRedefine/>
    <w:qFormat/>
    <w:uiPriority w:val="0"/>
    <w:pPr>
      <w:spacing w:after="120"/>
    </w:pPr>
    <w:rPr>
      <w:rFonts w:ascii="Calibri" w:hAnsi="Calibri" w:eastAsia="宋体" w:cs="Times New Roman"/>
      <w:szCs w:val="22"/>
    </w:rPr>
  </w:style>
  <w:style w:type="paragraph" w:styleId="8">
    <w:name w:val="Body Text Indent"/>
    <w:basedOn w:val="1"/>
    <w:link w:val="36"/>
    <w:autoRedefine/>
    <w:qFormat/>
    <w:uiPriority w:val="0"/>
    <w:pPr>
      <w:spacing w:after="120"/>
      <w:ind w:left="420" w:leftChars="200"/>
    </w:pPr>
    <w:rPr>
      <w:rFonts w:ascii="Calibri" w:hAnsi="Calibri" w:eastAsia="宋体" w:cs="Times New Roman"/>
      <w:szCs w:val="22"/>
    </w:rPr>
  </w:style>
  <w:style w:type="paragraph" w:styleId="9">
    <w:name w:val="Plain Text"/>
    <w:basedOn w:val="1"/>
    <w:link w:val="37"/>
    <w:autoRedefine/>
    <w:qFormat/>
    <w:uiPriority w:val="0"/>
    <w:rPr>
      <w:rFonts w:ascii="宋体" w:hAnsi="Courier New" w:eastAsia="宋体" w:cs="Times New Roman"/>
      <w:szCs w:val="20"/>
    </w:rPr>
  </w:style>
  <w:style w:type="paragraph" w:styleId="10">
    <w:name w:val="Balloon Text"/>
    <w:basedOn w:val="1"/>
    <w:link w:val="38"/>
    <w:qFormat/>
    <w:uiPriority w:val="0"/>
    <w:rPr>
      <w:rFonts w:ascii="Calibri" w:hAnsi="Calibri" w:eastAsia="宋体" w:cs="Times New Roman"/>
      <w:sz w:val="18"/>
      <w:szCs w:val="18"/>
    </w:rPr>
  </w:style>
  <w:style w:type="paragraph" w:styleId="11">
    <w:name w:val="footer"/>
    <w:basedOn w:val="1"/>
    <w:link w:val="39"/>
    <w:autoRedefine/>
    <w:qFormat/>
    <w:uiPriority w:val="0"/>
    <w:pPr>
      <w:tabs>
        <w:tab w:val="center" w:pos="4153"/>
        <w:tab w:val="right" w:pos="8306"/>
      </w:tabs>
      <w:snapToGrid w:val="0"/>
      <w:jc w:val="left"/>
    </w:pPr>
    <w:rPr>
      <w:sz w:val="18"/>
    </w:rPr>
  </w:style>
  <w:style w:type="paragraph" w:styleId="12">
    <w:name w:val="header"/>
    <w:basedOn w:val="1"/>
    <w:link w:val="40"/>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autoRedefine/>
    <w:qFormat/>
    <w:uiPriority w:val="39"/>
    <w:rPr>
      <w:rFonts w:ascii="Calibri" w:hAnsi="Calibri" w:eastAsia="宋体" w:cs="Times New Roman"/>
      <w:szCs w:val="22"/>
    </w:rPr>
  </w:style>
  <w:style w:type="paragraph" w:styleId="14">
    <w:name w:val="toc 2"/>
    <w:basedOn w:val="1"/>
    <w:next w:val="1"/>
    <w:autoRedefine/>
    <w:qFormat/>
    <w:uiPriority w:val="39"/>
    <w:pPr>
      <w:ind w:left="420" w:leftChars="200"/>
    </w:pPr>
    <w:rPr>
      <w:rFonts w:ascii="Calibri" w:hAnsi="Calibri" w:eastAsia="宋体" w:cs="Times New Roman"/>
      <w:szCs w:val="22"/>
    </w:rPr>
  </w:style>
  <w:style w:type="paragraph" w:styleId="15">
    <w:name w:val="Normal (Web)"/>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styleId="16">
    <w:name w:val="Title"/>
    <w:basedOn w:val="1"/>
    <w:next w:val="1"/>
    <w:link w:val="41"/>
    <w:autoRedefine/>
    <w:qFormat/>
    <w:uiPriority w:val="0"/>
    <w:pPr>
      <w:spacing w:before="240" w:after="60"/>
      <w:jc w:val="center"/>
      <w:outlineLvl w:val="0"/>
    </w:pPr>
    <w:rPr>
      <w:rFonts w:ascii="Cambria" w:hAnsi="Cambria" w:eastAsia="宋体" w:cs="Times New Roman"/>
      <w:b/>
      <w:bCs/>
      <w:sz w:val="32"/>
      <w:szCs w:val="32"/>
    </w:rPr>
  </w:style>
  <w:style w:type="paragraph" w:styleId="17">
    <w:name w:val="annotation subject"/>
    <w:basedOn w:val="6"/>
    <w:next w:val="6"/>
    <w:link w:val="42"/>
    <w:autoRedefine/>
    <w:qFormat/>
    <w:uiPriority w:val="0"/>
    <w:rPr>
      <w:b/>
      <w:bCs/>
    </w:rPr>
  </w:style>
  <w:style w:type="paragraph" w:styleId="18">
    <w:name w:val="Body Text First Indent"/>
    <w:basedOn w:val="7"/>
    <w:link w:val="43"/>
    <w:autoRedefine/>
    <w:qFormat/>
    <w:uiPriority w:val="0"/>
    <w:pPr>
      <w:spacing w:after="0"/>
      <w:ind w:firstLine="420" w:firstLineChars="100"/>
    </w:pPr>
    <w:rPr>
      <w:szCs w:val="24"/>
    </w:rPr>
  </w:style>
  <w:style w:type="paragraph" w:styleId="19">
    <w:name w:val="Body Text First Indent 2"/>
    <w:basedOn w:val="8"/>
    <w:link w:val="44"/>
    <w:autoRedefine/>
    <w:qFormat/>
    <w:uiPriority w:val="0"/>
    <w:pPr>
      <w:ind w:firstLine="420" w:firstLineChars="200"/>
    </w:pPr>
  </w:style>
  <w:style w:type="table" w:styleId="21">
    <w:name w:val="Table Grid"/>
    <w:basedOn w:val="20"/>
    <w:autoRedefine/>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autoRedefine/>
    <w:qFormat/>
    <w:uiPriority w:val="0"/>
    <w:rPr>
      <w:rFonts w:ascii="Times New Roman" w:hAnsi="Times New Roman" w:eastAsia="宋体" w:cs="Times New Roman"/>
      <w:b/>
      <w:sz w:val="24"/>
      <w:szCs w:val="24"/>
    </w:rPr>
  </w:style>
  <w:style w:type="character" w:styleId="24">
    <w:name w:val="page number"/>
    <w:basedOn w:val="22"/>
    <w:autoRedefine/>
    <w:qFormat/>
    <w:locked/>
    <w:uiPriority w:val="0"/>
    <w:rPr>
      <w:rFonts w:ascii="Times New Roman" w:hAnsi="Times New Roman" w:eastAsia="宋体" w:cs="Times New Roman"/>
    </w:rPr>
  </w:style>
  <w:style w:type="character" w:styleId="25">
    <w:name w:val="FollowedHyperlink"/>
    <w:autoRedefine/>
    <w:qFormat/>
    <w:uiPriority w:val="0"/>
    <w:rPr>
      <w:rFonts w:ascii="Times New Roman" w:hAnsi="Times New Roman" w:eastAsia="宋体" w:cs="Times New Roman"/>
      <w:color w:val="576B95"/>
      <w:u w:val="none"/>
    </w:rPr>
  </w:style>
  <w:style w:type="character" w:styleId="26">
    <w:name w:val="Emphasis"/>
    <w:autoRedefine/>
    <w:qFormat/>
    <w:uiPriority w:val="0"/>
    <w:rPr>
      <w:rFonts w:ascii="Times New Roman" w:hAnsi="Times New Roman" w:eastAsia="宋体" w:cs="Times New Roman"/>
      <w:color w:val="D73130"/>
      <w:sz w:val="24"/>
      <w:szCs w:val="24"/>
    </w:rPr>
  </w:style>
  <w:style w:type="character" w:styleId="27">
    <w:name w:val="Hyperlink"/>
    <w:autoRedefine/>
    <w:qFormat/>
    <w:uiPriority w:val="99"/>
    <w:rPr>
      <w:rFonts w:ascii="Times New Roman" w:hAnsi="Times New Roman" w:eastAsia="宋体" w:cs="Times New Roman"/>
      <w:color w:val="0000FF"/>
      <w:u w:val="single"/>
    </w:rPr>
  </w:style>
  <w:style w:type="character" w:styleId="28">
    <w:name w:val="annotation reference"/>
    <w:autoRedefine/>
    <w:qFormat/>
    <w:uiPriority w:val="0"/>
    <w:rPr>
      <w:rFonts w:ascii="Times New Roman" w:hAnsi="Times New Roman" w:eastAsia="宋体" w:cs="Times New Roman"/>
      <w:sz w:val="21"/>
      <w:szCs w:val="21"/>
    </w:rPr>
  </w:style>
  <w:style w:type="character" w:styleId="29">
    <w:name w:val="HTML Cite"/>
    <w:autoRedefine/>
    <w:qFormat/>
    <w:uiPriority w:val="0"/>
    <w:rPr>
      <w:rFonts w:ascii="Times New Roman" w:hAnsi="Times New Roman" w:eastAsia="宋体" w:cs="Times New Roman"/>
      <w:sz w:val="24"/>
      <w:szCs w:val="24"/>
    </w:rPr>
  </w:style>
  <w:style w:type="character" w:customStyle="1" w:styleId="30">
    <w:name w:val="标题 1 字符"/>
    <w:link w:val="2"/>
    <w:autoRedefine/>
    <w:qFormat/>
    <w:uiPriority w:val="0"/>
    <w:rPr>
      <w:rFonts w:ascii="Times New Roman" w:hAnsi="Times New Roman" w:eastAsia="宋体" w:cs="Times New Roman"/>
      <w:b/>
      <w:bCs/>
      <w:kern w:val="44"/>
      <w:sz w:val="44"/>
      <w:szCs w:val="44"/>
    </w:rPr>
  </w:style>
  <w:style w:type="character" w:customStyle="1" w:styleId="31">
    <w:name w:val="标题 2 字符"/>
    <w:link w:val="3"/>
    <w:autoRedefine/>
    <w:qFormat/>
    <w:uiPriority w:val="0"/>
    <w:rPr>
      <w:rFonts w:ascii="楷体_GB2312" w:hAnsi="Times New Roman" w:eastAsia="楷体_GB2312" w:cs="Times New Roman"/>
      <w:b/>
      <w:sz w:val="32"/>
      <w:szCs w:val="32"/>
    </w:rPr>
  </w:style>
  <w:style w:type="character" w:customStyle="1" w:styleId="32">
    <w:name w:val="标题 3 字符"/>
    <w:link w:val="4"/>
    <w:autoRedefine/>
    <w:semiHidden/>
    <w:qFormat/>
    <w:uiPriority w:val="0"/>
    <w:rPr>
      <w:rFonts w:ascii="宋体" w:hAnsi="宋体" w:eastAsia="宋体" w:cs="Times New Roman"/>
      <w:b/>
      <w:kern w:val="0"/>
      <w:sz w:val="24"/>
      <w:szCs w:val="24"/>
    </w:rPr>
  </w:style>
  <w:style w:type="character" w:customStyle="1" w:styleId="33">
    <w:name w:val="文档结构图 字符"/>
    <w:link w:val="5"/>
    <w:autoRedefine/>
    <w:semiHidden/>
    <w:qFormat/>
    <w:uiPriority w:val="0"/>
    <w:rPr>
      <w:rFonts w:ascii="宋体" w:hAnsi="Times New Roman" w:eastAsia="宋体" w:cs="Times New Roman"/>
      <w:sz w:val="18"/>
      <w:szCs w:val="18"/>
    </w:rPr>
  </w:style>
  <w:style w:type="character" w:customStyle="1" w:styleId="34">
    <w:name w:val="批注文字 字符"/>
    <w:link w:val="6"/>
    <w:autoRedefine/>
    <w:semiHidden/>
    <w:qFormat/>
    <w:uiPriority w:val="0"/>
    <w:rPr>
      <w:rFonts w:ascii="Times New Roman" w:hAnsi="Times New Roman" w:eastAsia="宋体" w:cs="Times New Roman"/>
    </w:rPr>
  </w:style>
  <w:style w:type="character" w:customStyle="1" w:styleId="35">
    <w:name w:val="正文文本 字符"/>
    <w:link w:val="7"/>
    <w:autoRedefine/>
    <w:semiHidden/>
    <w:qFormat/>
    <w:uiPriority w:val="0"/>
    <w:rPr>
      <w:rFonts w:ascii="Times New Roman" w:hAnsi="Times New Roman" w:eastAsia="宋体" w:cs="Times New Roman"/>
    </w:rPr>
  </w:style>
  <w:style w:type="character" w:customStyle="1" w:styleId="36">
    <w:name w:val="正文文本缩进 字符"/>
    <w:link w:val="8"/>
    <w:autoRedefine/>
    <w:semiHidden/>
    <w:qFormat/>
    <w:uiPriority w:val="0"/>
    <w:rPr>
      <w:rFonts w:ascii="Times New Roman" w:hAnsi="Times New Roman" w:eastAsia="宋体" w:cs="Times New Roman"/>
    </w:rPr>
  </w:style>
  <w:style w:type="character" w:customStyle="1" w:styleId="37">
    <w:name w:val="纯文本 字符"/>
    <w:link w:val="9"/>
    <w:autoRedefine/>
    <w:qFormat/>
    <w:uiPriority w:val="0"/>
    <w:rPr>
      <w:rFonts w:ascii="宋体" w:hAnsi="Courier New" w:eastAsia="宋体" w:cs="Times New Roman"/>
      <w:szCs w:val="20"/>
    </w:rPr>
  </w:style>
  <w:style w:type="character" w:customStyle="1" w:styleId="38">
    <w:name w:val="批注框文本 字符"/>
    <w:link w:val="10"/>
    <w:autoRedefine/>
    <w:semiHidden/>
    <w:qFormat/>
    <w:uiPriority w:val="0"/>
    <w:rPr>
      <w:rFonts w:ascii="Times New Roman" w:hAnsi="Times New Roman" w:eastAsia="宋体" w:cs="Times New Roman"/>
      <w:sz w:val="18"/>
      <w:szCs w:val="18"/>
    </w:rPr>
  </w:style>
  <w:style w:type="character" w:customStyle="1" w:styleId="39">
    <w:name w:val="页脚 字符"/>
    <w:link w:val="11"/>
    <w:autoRedefine/>
    <w:qFormat/>
    <w:uiPriority w:val="0"/>
    <w:rPr>
      <w:rFonts w:ascii="Times New Roman" w:hAnsi="Times New Roman" w:eastAsia="宋体" w:cs="Times New Roman"/>
      <w:sz w:val="18"/>
    </w:rPr>
  </w:style>
  <w:style w:type="character" w:customStyle="1" w:styleId="40">
    <w:name w:val="页眉 字符"/>
    <w:link w:val="12"/>
    <w:autoRedefine/>
    <w:qFormat/>
    <w:uiPriority w:val="0"/>
    <w:rPr>
      <w:rFonts w:ascii="Times New Roman" w:hAnsi="Times New Roman" w:eastAsia="宋体" w:cs="Times New Roman"/>
      <w:sz w:val="18"/>
    </w:rPr>
  </w:style>
  <w:style w:type="character" w:customStyle="1" w:styleId="41">
    <w:name w:val="标题 字符"/>
    <w:link w:val="16"/>
    <w:autoRedefine/>
    <w:qFormat/>
    <w:uiPriority w:val="0"/>
    <w:rPr>
      <w:rFonts w:ascii="Cambria" w:hAnsi="Cambria" w:eastAsia="宋体" w:cs="Times New Roman"/>
      <w:b/>
      <w:bCs/>
      <w:sz w:val="32"/>
      <w:szCs w:val="32"/>
    </w:rPr>
  </w:style>
  <w:style w:type="character" w:customStyle="1" w:styleId="42">
    <w:name w:val="批注主题 字符"/>
    <w:link w:val="17"/>
    <w:autoRedefine/>
    <w:semiHidden/>
    <w:qFormat/>
    <w:uiPriority w:val="0"/>
    <w:rPr>
      <w:rFonts w:ascii="Times New Roman" w:hAnsi="Times New Roman" w:eastAsia="宋体" w:cs="Times New Roman"/>
      <w:b/>
      <w:bCs/>
    </w:rPr>
  </w:style>
  <w:style w:type="character" w:customStyle="1" w:styleId="43">
    <w:name w:val="正文文本首行缩进 字符"/>
    <w:link w:val="18"/>
    <w:autoRedefine/>
    <w:qFormat/>
    <w:uiPriority w:val="0"/>
    <w:rPr>
      <w:rFonts w:ascii="Times New Roman" w:hAnsi="Times New Roman" w:eastAsia="宋体" w:cs="Times New Roman"/>
      <w:szCs w:val="24"/>
    </w:rPr>
  </w:style>
  <w:style w:type="character" w:customStyle="1" w:styleId="44">
    <w:name w:val="正文文本首行缩进 2 字符"/>
    <w:basedOn w:val="36"/>
    <w:link w:val="19"/>
    <w:semiHidden/>
    <w:qFormat/>
    <w:uiPriority w:val="0"/>
  </w:style>
  <w:style w:type="character" w:customStyle="1" w:styleId="45">
    <w:name w:val="表格总体 Char"/>
    <w:link w:val="46"/>
    <w:autoRedefine/>
    <w:qFormat/>
    <w:uiPriority w:val="0"/>
    <w:rPr>
      <w:rFonts w:ascii="宋体" w:hAnsi="宋体" w:eastAsia="宋体" w:cs="Times New Roman"/>
      <w:bCs/>
      <w:sz w:val="24"/>
      <w:szCs w:val="24"/>
    </w:rPr>
  </w:style>
  <w:style w:type="paragraph" w:customStyle="1" w:styleId="46">
    <w:name w:val="表格总体"/>
    <w:basedOn w:val="1"/>
    <w:link w:val="45"/>
    <w:qFormat/>
    <w:uiPriority w:val="0"/>
    <w:pPr>
      <w:spacing w:beforeLines="20"/>
      <w:jc w:val="center"/>
    </w:pPr>
    <w:rPr>
      <w:rFonts w:ascii="宋体" w:hAnsi="宋体" w:eastAsia="宋体" w:cs="Times New Roman"/>
      <w:bCs/>
      <w:sz w:val="24"/>
      <w:szCs w:val="24"/>
    </w:rPr>
  </w:style>
  <w:style w:type="character" w:customStyle="1" w:styleId="47">
    <w:name w:val="img_bg_cover"/>
    <w:autoRedefine/>
    <w:qFormat/>
    <w:uiPriority w:val="0"/>
    <w:rPr>
      <w:rFonts w:ascii="Times New Roman" w:hAnsi="Times New Roman" w:eastAsia="宋体" w:cs="Times New Roman"/>
    </w:rPr>
  </w:style>
  <w:style w:type="paragraph" w:customStyle="1" w:styleId="48">
    <w:name w:val="CM6"/>
    <w:basedOn w:val="1"/>
    <w:next w:val="1"/>
    <w:autoRedefine/>
    <w:qFormat/>
    <w:uiPriority w:val="0"/>
    <w:pPr>
      <w:autoSpaceDE w:val="0"/>
      <w:autoSpaceDN w:val="0"/>
      <w:adjustRightInd w:val="0"/>
      <w:spacing w:line="560" w:lineRule="atLeast"/>
      <w:jc w:val="left"/>
    </w:pPr>
    <w:rPr>
      <w:rFonts w:ascii="方正小标宋简体" w:hAnsi="方正小标宋简体" w:eastAsia="方正小标宋简体" w:cs="Times New Roman"/>
      <w:color w:val="000000"/>
      <w:kern w:val="0"/>
      <w:sz w:val="24"/>
      <w:szCs w:val="24"/>
    </w:rPr>
  </w:style>
  <w:style w:type="paragraph" w:customStyle="1" w:styleId="49">
    <w:name w:val="CM1"/>
    <w:basedOn w:val="1"/>
    <w:next w:val="1"/>
    <w:qFormat/>
    <w:uiPriority w:val="0"/>
    <w:pPr>
      <w:autoSpaceDE w:val="0"/>
      <w:autoSpaceDN w:val="0"/>
      <w:adjustRightInd w:val="0"/>
      <w:jc w:val="left"/>
    </w:pPr>
    <w:rPr>
      <w:rFonts w:ascii="方正小标宋简体" w:hAnsi="方正小标宋简体" w:eastAsia="方正小标宋简体" w:cs="Times New Roman"/>
      <w:color w:val="000000"/>
      <w:kern w:val="0"/>
      <w:sz w:val="24"/>
      <w:szCs w:val="24"/>
    </w:rPr>
  </w:style>
  <w:style w:type="paragraph" w:customStyle="1" w:styleId="50">
    <w:name w:val="列表段落1"/>
    <w:basedOn w:val="1"/>
    <w:autoRedefine/>
    <w:qFormat/>
    <w:uiPriority w:val="0"/>
    <w:pPr>
      <w:ind w:firstLine="420" w:firstLineChars="200"/>
    </w:pPr>
    <w:rPr>
      <w:rFonts w:ascii="Calibri" w:hAnsi="Calibri" w:eastAsia="宋体" w:cs="Times New Roman"/>
      <w:szCs w:val="22"/>
    </w:rPr>
  </w:style>
  <w:style w:type="paragraph" w:customStyle="1" w:styleId="51">
    <w:name w:val="CM26"/>
    <w:basedOn w:val="1"/>
    <w:next w:val="1"/>
    <w:autoRedefine/>
    <w:qFormat/>
    <w:uiPriority w:val="0"/>
    <w:pPr>
      <w:autoSpaceDE w:val="0"/>
      <w:autoSpaceDN w:val="0"/>
      <w:adjustRightInd w:val="0"/>
      <w:spacing w:after="308"/>
      <w:jc w:val="left"/>
    </w:pPr>
    <w:rPr>
      <w:rFonts w:ascii="方正小标宋简体" w:hAnsi="方正小标宋简体" w:eastAsia="方正小标宋简体" w:cs="Times New Roman"/>
      <w:color w:val="000000"/>
      <w:kern w:val="0"/>
      <w:sz w:val="24"/>
      <w:szCs w:val="24"/>
    </w:rPr>
  </w:style>
  <w:style w:type="paragraph" w:customStyle="1" w:styleId="52">
    <w:name w:val="CM8"/>
    <w:basedOn w:val="1"/>
    <w:next w:val="1"/>
    <w:qFormat/>
    <w:uiPriority w:val="0"/>
    <w:pPr>
      <w:autoSpaceDE w:val="0"/>
      <w:autoSpaceDN w:val="0"/>
      <w:adjustRightInd w:val="0"/>
      <w:spacing w:line="560" w:lineRule="atLeast"/>
      <w:jc w:val="left"/>
    </w:pPr>
    <w:rPr>
      <w:rFonts w:ascii="方正小标宋简体" w:hAnsi="方正小标宋简体" w:eastAsia="方正小标宋简体" w:cs="Times New Roman"/>
      <w:color w:val="000000"/>
      <w:kern w:val="0"/>
      <w:sz w:val="24"/>
      <w:szCs w:val="24"/>
    </w:rPr>
  </w:style>
  <w:style w:type="paragraph" w:customStyle="1" w:styleId="53">
    <w:name w:val="正文文本首行缩进 21"/>
    <w:basedOn w:val="1"/>
    <w:qFormat/>
    <w:uiPriority w:val="0"/>
    <w:pPr>
      <w:spacing w:after="120"/>
      <w:ind w:left="420" w:leftChars="200" w:firstLine="420" w:firstLineChars="200"/>
    </w:pPr>
    <w:rPr>
      <w:rFonts w:ascii="Calibri" w:hAnsi="Calibri" w:eastAsia="仿宋_GB2312" w:cs="Times New Roman"/>
      <w:sz w:val="32"/>
      <w:szCs w:val="22"/>
    </w:rPr>
  </w:style>
  <w:style w:type="paragraph" w:customStyle="1" w:styleId="54">
    <w:name w:val="CM9"/>
    <w:basedOn w:val="1"/>
    <w:next w:val="1"/>
    <w:autoRedefine/>
    <w:qFormat/>
    <w:uiPriority w:val="0"/>
    <w:pPr>
      <w:autoSpaceDE w:val="0"/>
      <w:autoSpaceDN w:val="0"/>
      <w:adjustRightInd w:val="0"/>
      <w:spacing w:line="560" w:lineRule="atLeast"/>
      <w:jc w:val="left"/>
    </w:pPr>
    <w:rPr>
      <w:rFonts w:ascii="方正小标宋简体" w:hAnsi="方正小标宋简体" w:eastAsia="方正小标宋简体" w:cs="Times New Roman"/>
      <w:color w:val="000000"/>
      <w:kern w:val="0"/>
      <w:sz w:val="24"/>
      <w:szCs w:val="24"/>
    </w:rPr>
  </w:style>
  <w:style w:type="paragraph" w:customStyle="1" w:styleId="55">
    <w:name w:val="CM4"/>
    <w:basedOn w:val="1"/>
    <w:next w:val="1"/>
    <w:autoRedefine/>
    <w:qFormat/>
    <w:uiPriority w:val="0"/>
    <w:pPr>
      <w:autoSpaceDE w:val="0"/>
      <w:autoSpaceDN w:val="0"/>
      <w:adjustRightInd w:val="0"/>
      <w:spacing w:line="560" w:lineRule="atLeast"/>
      <w:jc w:val="left"/>
    </w:pPr>
    <w:rPr>
      <w:rFonts w:ascii="方正小标宋简体" w:hAnsi="方正小标宋简体" w:eastAsia="方正小标宋简体" w:cs="Times New Roman"/>
      <w:color w:val="000000"/>
      <w:kern w:val="0"/>
      <w:sz w:val="24"/>
      <w:szCs w:val="24"/>
    </w:rPr>
  </w:style>
  <w:style w:type="table" w:customStyle="1" w:styleId="56">
    <w:name w:val="网格型1"/>
    <w:autoRedefine/>
    <w:qFormat/>
    <w:uiPriority w:val="0"/>
    <w:pPr>
      <w:widowControl w:val="0"/>
      <w:jc w:val="both"/>
    </w:pPr>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104</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2021-09-17T01:20:00Z</dcterms:created>
  <dc:creator>jjcc</dc:creator>
  <cp:lastModifiedBy>WPS_199711308</cp:lastModifiedBy>
  <cp:lastPrinted>2021-09-28T01:29:00Z</cp:lastPrinted>
  <dcterms:modified xsi:type="dcterms:W3CDTF">2024-05-15T02:41:53Z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63BC2DFC455D4AEE81B38FD8C7F3FA33</vt:lpwstr>
  </property>
</Properties>
</file>