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ageBreakBefore w:val="0"/>
        <w:widowControl w:val="0"/>
        <w:kinsoku/>
        <w:wordWrap/>
        <w:overflowPunct/>
        <w:topLinePunct w:val="0"/>
        <w:bidi w:val="0"/>
        <w:adjustRightInd w:val="0"/>
        <w:snapToGrid w:val="0"/>
        <w:spacing w:line="420" w:lineRule="auto"/>
        <w:jc w:val="center"/>
        <w:textAlignment w:val="auto"/>
        <w:rPr>
          <w:rFonts w:hint="eastAsia" w:ascii="微软雅黑" w:hAnsi="微软雅黑" w:eastAsia="微软雅黑" w:cs="微软雅黑"/>
          <w:b/>
          <w:bCs/>
          <w:sz w:val="36"/>
          <w:szCs w:val="36"/>
        </w:rPr>
      </w:pPr>
      <w:r>
        <w:rPr>
          <w:rFonts w:hint="eastAsia" w:ascii="微软雅黑" w:hAnsi="微软雅黑" w:eastAsia="微软雅黑" w:cs="微软雅黑"/>
          <w:b/>
          <w:bCs/>
          <w:sz w:val="36"/>
          <w:szCs w:val="36"/>
        </w:rPr>
        <w:t>乳山市人民政府办公室</w:t>
      </w:r>
    </w:p>
    <w:p>
      <w:pPr>
        <w:pageBreakBefore w:val="0"/>
        <w:widowControl w:val="0"/>
        <w:kinsoku/>
        <w:wordWrap/>
        <w:overflowPunct/>
        <w:topLinePunct w:val="0"/>
        <w:bidi w:val="0"/>
        <w:adjustRightInd w:val="0"/>
        <w:snapToGrid w:val="0"/>
        <w:spacing w:line="420" w:lineRule="auto"/>
        <w:jc w:val="center"/>
        <w:textAlignment w:val="auto"/>
        <w:rPr>
          <w:rFonts w:hint="eastAsia" w:ascii="微软雅黑" w:hAnsi="微软雅黑" w:eastAsia="微软雅黑" w:cs="微软雅黑"/>
          <w:b/>
          <w:bCs/>
          <w:sz w:val="36"/>
          <w:szCs w:val="36"/>
        </w:rPr>
      </w:pPr>
      <w:r>
        <w:rPr>
          <w:rFonts w:hint="eastAsia" w:ascii="微软雅黑" w:hAnsi="微软雅黑" w:eastAsia="微软雅黑" w:cs="微软雅黑"/>
          <w:b/>
          <w:bCs/>
          <w:sz w:val="36"/>
          <w:szCs w:val="36"/>
        </w:rPr>
        <w:t>关于印发乳山市中小微企业增信基金管理办法的通知</w:t>
      </w:r>
    </w:p>
    <w:p>
      <w:pPr>
        <w:pageBreakBefore w:val="0"/>
        <w:widowControl w:val="0"/>
        <w:kinsoku/>
        <w:wordWrap/>
        <w:overflowPunct/>
        <w:topLinePunct w:val="0"/>
        <w:bidi w:val="0"/>
        <w:adjustRightInd w:val="0"/>
        <w:snapToGrid w:val="0"/>
        <w:spacing w:line="420" w:lineRule="auto"/>
        <w:jc w:val="center"/>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乳政办发〔</w:t>
      </w:r>
      <w:r>
        <w:rPr>
          <w:rFonts w:hint="eastAsia" w:ascii="微软雅黑" w:hAnsi="微软雅黑" w:eastAsia="微软雅黑" w:cs="微软雅黑"/>
          <w:kern w:val="0"/>
          <w:sz w:val="24"/>
          <w:szCs w:val="24"/>
        </w:rPr>
        <w:t>2021</w:t>
      </w:r>
      <w:r>
        <w:rPr>
          <w:rFonts w:hint="eastAsia" w:ascii="微软雅黑" w:hAnsi="微软雅黑" w:eastAsia="微软雅黑" w:cs="微软雅黑"/>
          <w:kern w:val="0"/>
          <w:sz w:val="24"/>
          <w:szCs w:val="24"/>
        </w:rPr>
        <w:t>〕</w:t>
      </w:r>
      <w:r>
        <w:rPr>
          <w:rFonts w:hint="eastAsia" w:ascii="微软雅黑" w:hAnsi="微软雅黑" w:eastAsia="微软雅黑" w:cs="微软雅黑"/>
          <w:kern w:val="0"/>
          <w:sz w:val="24"/>
          <w:szCs w:val="24"/>
        </w:rPr>
        <w:t>2</w:t>
      </w:r>
      <w:r>
        <w:rPr>
          <w:rFonts w:hint="eastAsia" w:ascii="微软雅黑" w:hAnsi="微软雅黑" w:eastAsia="微软雅黑" w:cs="微软雅黑"/>
          <w:kern w:val="0"/>
          <w:sz w:val="24"/>
          <w:szCs w:val="24"/>
        </w:rPr>
        <w:t>号</w:t>
      </w: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ageBreakBefore w:val="0"/>
        <w:widowControl w:val="0"/>
        <w:tabs>
          <w:tab w:val="left" w:pos="7560"/>
          <w:tab w:val="left" w:pos="7770"/>
        </w:tabs>
        <w:kinsoku/>
        <w:wordWrap/>
        <w:overflowPunct/>
        <w:topLinePunct w:val="0"/>
        <w:bidi w:val="0"/>
        <w:adjustRightInd w:val="0"/>
        <w:snapToGrid w:val="0"/>
        <w:spacing w:line="420" w:lineRule="auto"/>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各镇人民政府，市政府各部门、单位，滨海新区（银滩旅游度假区）、经济开发区、城区街道办事处，各市属国有企业：</w:t>
      </w:r>
    </w:p>
    <w:p>
      <w:pPr>
        <w:pageBreakBefore w:val="0"/>
        <w:widowControl w:val="0"/>
        <w:tabs>
          <w:tab w:val="left" w:pos="7560"/>
          <w:tab w:val="left" w:pos="7770"/>
        </w:tabs>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《乳山市中小微企业增信基金管理办法》已经市政府同意，现印发给你们，请认真组织实施。</w:t>
      </w:r>
    </w:p>
    <w:p>
      <w:pPr>
        <w:pStyle w:val="2"/>
        <w:pageBreakBefore w:val="0"/>
        <w:widowControl w:val="0"/>
        <w:kinsoku/>
        <w:wordWrap/>
        <w:overflowPunct/>
        <w:topLinePunct w:val="0"/>
        <w:bidi w:val="0"/>
        <w:spacing w:line="420" w:lineRule="auto"/>
        <w:textAlignment w:val="auto"/>
        <w:rPr>
          <w:rFonts w:hint="eastAsia"/>
        </w:rPr>
      </w:pPr>
    </w:p>
    <w:p>
      <w:pPr>
        <w:pageBreakBefore w:val="0"/>
        <w:widowControl w:val="0"/>
        <w:kinsoku/>
        <w:wordWrap/>
        <w:overflowPunct/>
        <w:topLinePunct w:val="0"/>
        <w:bidi w:val="0"/>
        <w:adjustRightInd w:val="0"/>
        <w:snapToGrid w:val="0"/>
        <w:spacing w:line="420" w:lineRule="auto"/>
        <w:ind w:firstLine="3480" w:firstLineChars="1450"/>
        <w:jc w:val="right"/>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乳山市人民政府办公室</w:t>
      </w:r>
    </w:p>
    <w:p>
      <w:pPr>
        <w:pageBreakBefore w:val="0"/>
        <w:widowControl w:val="0"/>
        <w:kinsoku/>
        <w:wordWrap/>
        <w:overflowPunct/>
        <w:topLinePunct w:val="0"/>
        <w:bidi w:val="0"/>
        <w:adjustRightInd w:val="0"/>
        <w:snapToGrid w:val="0"/>
        <w:spacing w:line="420" w:lineRule="auto"/>
        <w:ind w:firstLine="3840" w:firstLineChars="1600"/>
        <w:jc w:val="right"/>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2021</w:t>
      </w:r>
      <w:r>
        <w:rPr>
          <w:rFonts w:hint="eastAsia" w:ascii="微软雅黑" w:hAnsi="微软雅黑" w:eastAsia="微软雅黑" w:cs="微软雅黑"/>
          <w:color w:val="000000"/>
          <w:sz w:val="24"/>
          <w:szCs w:val="24"/>
        </w:rPr>
        <w:t>年</w:t>
      </w:r>
      <w:r>
        <w:rPr>
          <w:rFonts w:hint="eastAsia" w:ascii="微软雅黑" w:hAnsi="微软雅黑" w:eastAsia="微软雅黑" w:cs="微软雅黑"/>
          <w:color w:val="000000"/>
          <w:sz w:val="24"/>
          <w:szCs w:val="24"/>
        </w:rPr>
        <w:t>6</w:t>
      </w:r>
      <w:r>
        <w:rPr>
          <w:rFonts w:hint="eastAsia" w:ascii="微软雅黑" w:hAnsi="微软雅黑" w:eastAsia="微软雅黑" w:cs="微软雅黑"/>
          <w:color w:val="000000"/>
          <w:sz w:val="24"/>
          <w:szCs w:val="24"/>
        </w:rPr>
        <w:t>月</w:t>
      </w:r>
      <w:r>
        <w:rPr>
          <w:rFonts w:hint="eastAsia" w:ascii="微软雅黑" w:hAnsi="微软雅黑" w:eastAsia="微软雅黑" w:cs="微软雅黑"/>
          <w:color w:val="000000"/>
          <w:sz w:val="24"/>
          <w:szCs w:val="24"/>
        </w:rPr>
        <w:t>11</w:t>
      </w:r>
      <w:r>
        <w:rPr>
          <w:rFonts w:hint="eastAsia" w:ascii="微软雅黑" w:hAnsi="微软雅黑" w:eastAsia="微软雅黑" w:cs="微软雅黑"/>
          <w:color w:val="000000"/>
          <w:sz w:val="24"/>
          <w:szCs w:val="24"/>
        </w:rPr>
        <w:t>日</w:t>
      </w:r>
    </w:p>
    <w:p>
      <w:pPr>
        <w:pageBreakBefore w:val="0"/>
        <w:widowControl w:val="0"/>
        <w:kinsoku/>
        <w:wordWrap/>
        <w:overflowPunct/>
        <w:topLinePunct w:val="0"/>
        <w:bidi w:val="0"/>
        <w:adjustRightInd w:val="0"/>
        <w:snapToGrid w:val="0"/>
        <w:spacing w:line="420" w:lineRule="auto"/>
        <w:ind w:firstLine="64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（此件公开发布）</w:t>
      </w:r>
    </w:p>
    <w:p>
      <w:pPr>
        <w:pStyle w:val="2"/>
        <w:pageBreakBefore w:val="0"/>
        <w:widowControl w:val="0"/>
        <w:kinsoku/>
        <w:wordWrap/>
        <w:overflowPunct/>
        <w:topLinePunct w:val="0"/>
        <w:bidi w:val="0"/>
        <w:spacing w:line="420" w:lineRule="auto"/>
        <w:textAlignment w:val="auto"/>
        <w:rPr>
          <w:rFonts w:hint="eastAsia"/>
        </w:rPr>
      </w:pPr>
    </w:p>
    <w:p>
      <w:pPr>
        <w:pageBreakBefore w:val="0"/>
        <w:widowControl w:val="0"/>
        <w:kinsoku/>
        <w:wordWrap/>
        <w:overflowPunct/>
        <w:topLinePunct w:val="0"/>
        <w:bidi w:val="0"/>
        <w:adjustRightInd w:val="0"/>
        <w:snapToGrid w:val="0"/>
        <w:spacing w:line="420" w:lineRule="auto"/>
        <w:jc w:val="center"/>
        <w:textAlignment w:val="auto"/>
        <w:rPr>
          <w:rFonts w:hint="eastAsia" w:ascii="微软雅黑" w:hAnsi="微软雅黑" w:eastAsia="微软雅黑" w:cs="微软雅黑"/>
          <w:b/>
          <w:bCs/>
          <w:color w:val="000000"/>
          <w:sz w:val="24"/>
          <w:szCs w:val="24"/>
        </w:rPr>
      </w:pPr>
      <w:r>
        <w:rPr>
          <w:rFonts w:hint="eastAsia" w:ascii="微软雅黑" w:hAnsi="微软雅黑" w:eastAsia="微软雅黑" w:cs="微软雅黑"/>
          <w:b/>
          <w:bCs/>
          <w:color w:val="000000"/>
          <w:sz w:val="24"/>
          <w:szCs w:val="24"/>
        </w:rPr>
        <w:t>乳山市中小微企业增信基金管理办法</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afterLines="50" w:line="420" w:lineRule="auto"/>
        <w:jc w:val="center"/>
        <w:textAlignment w:val="auto"/>
        <w:rPr>
          <w:rFonts w:hint="eastAsia" w:ascii="微软雅黑" w:hAnsi="微软雅黑" w:eastAsia="微软雅黑" w:cs="微软雅黑"/>
          <w:b/>
          <w:bCs/>
          <w:color w:val="000000"/>
          <w:sz w:val="24"/>
          <w:szCs w:val="24"/>
        </w:rPr>
      </w:pPr>
      <w:r>
        <w:rPr>
          <w:rFonts w:hint="eastAsia" w:ascii="微软雅黑" w:hAnsi="微软雅黑" w:eastAsia="微软雅黑" w:cs="微软雅黑"/>
          <w:b/>
          <w:bCs/>
          <w:color w:val="000000"/>
          <w:sz w:val="24"/>
          <w:szCs w:val="24"/>
        </w:rPr>
        <w:t>第一章  总  则</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第一条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为鼓励金融机构扩大信用贷款的投放力度，支持我市中小微企业健康发展，特制定本办法。</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color w:val="000000"/>
          <w:sz w:val="24"/>
          <w:szCs w:val="24"/>
        </w:rPr>
        <w:t>第二条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本办法所称中小微企业增信基金（下称</w:t>
      </w:r>
      <w:r>
        <w:rPr>
          <w:rFonts w:hint="eastAsia" w:ascii="微软雅黑" w:hAnsi="微软雅黑" w:eastAsia="微软雅黑" w:cs="微软雅黑"/>
          <w:color w:val="000000"/>
          <w:sz w:val="24"/>
          <w:szCs w:val="24"/>
        </w:rPr>
        <w:t>“</w:t>
      </w:r>
      <w:r>
        <w:rPr>
          <w:rFonts w:hint="eastAsia" w:ascii="微软雅黑" w:hAnsi="微软雅黑" w:eastAsia="微软雅黑" w:cs="微软雅黑"/>
          <w:color w:val="000000"/>
          <w:sz w:val="24"/>
          <w:szCs w:val="24"/>
        </w:rPr>
        <w:t>增信基金</w:t>
      </w:r>
      <w:r>
        <w:rPr>
          <w:rFonts w:hint="eastAsia" w:ascii="微软雅黑" w:hAnsi="微软雅黑" w:eastAsia="微软雅黑" w:cs="微软雅黑"/>
          <w:color w:val="000000"/>
          <w:sz w:val="24"/>
          <w:szCs w:val="24"/>
        </w:rPr>
        <w:t>”</w:t>
      </w:r>
      <w:r>
        <w:rPr>
          <w:rFonts w:hint="eastAsia" w:ascii="微软雅黑" w:hAnsi="微软雅黑" w:eastAsia="微软雅黑" w:cs="微软雅黑"/>
          <w:sz w:val="24"/>
          <w:szCs w:val="24"/>
        </w:rPr>
        <w:t>），是指由政府出资作为增信基金，合作银行给予放大，用于对我市中小微企业信用贷款的投放。市政府委托乳山市发展和改革局下属事业单位（乳山市地方金融服务中心）在合作银行</w:t>
      </w:r>
      <w:r>
        <w:rPr>
          <w:rFonts w:hint="eastAsia" w:ascii="微软雅黑" w:hAnsi="微软雅黑" w:eastAsia="微软雅黑" w:cs="微软雅黑"/>
          <w:snapToGrid w:val="0"/>
          <w:kern w:val="0"/>
          <w:sz w:val="24"/>
          <w:szCs w:val="24"/>
        </w:rPr>
        <w:t>开立专门账户，存入</w:t>
      </w:r>
      <w:r>
        <w:rPr>
          <w:rFonts w:hint="eastAsia" w:ascii="微软雅黑" w:hAnsi="微软雅黑" w:eastAsia="微软雅黑" w:cs="微软雅黑"/>
          <w:sz w:val="24"/>
          <w:szCs w:val="24"/>
        </w:rPr>
        <w:t>增信基金</w:t>
      </w:r>
      <w:r>
        <w:rPr>
          <w:rFonts w:hint="eastAsia" w:ascii="微软雅黑" w:hAnsi="微软雅黑" w:eastAsia="微软雅黑" w:cs="微软雅黑"/>
          <w:snapToGrid w:val="0"/>
          <w:kern w:val="0"/>
          <w:sz w:val="24"/>
          <w:szCs w:val="24"/>
        </w:rPr>
        <w:t>并实行封闭管理、独立运行，该基金的拨付及使用属于财政专项资金</w:t>
      </w:r>
      <w:bookmarkStart w:id="0" w:name="_GoBack"/>
      <w:bookmarkEnd w:id="0"/>
      <w:r>
        <w:rPr>
          <w:rFonts w:hint="eastAsia" w:ascii="微软雅黑" w:hAnsi="微软雅黑" w:eastAsia="微软雅黑" w:cs="微软雅黑"/>
          <w:snapToGrid w:val="0"/>
          <w:kern w:val="0"/>
          <w:sz w:val="24"/>
          <w:szCs w:val="24"/>
        </w:rPr>
        <w:t>，用于出现贷款损失的风险补偿</w:t>
      </w:r>
      <w:r>
        <w:rPr>
          <w:rFonts w:hint="eastAsia" w:ascii="微软雅黑" w:hAnsi="微软雅黑" w:eastAsia="微软雅黑" w:cs="微软雅黑"/>
          <w:sz w:val="24"/>
          <w:szCs w:val="24"/>
        </w:rPr>
        <w:t>。</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napToGrid w:val="0"/>
          <w:kern w:val="0"/>
          <w:sz w:val="24"/>
          <w:szCs w:val="24"/>
        </w:rPr>
      </w:pPr>
      <w:r>
        <w:rPr>
          <w:rFonts w:hint="eastAsia" w:ascii="微软雅黑" w:hAnsi="微软雅黑" w:eastAsia="微软雅黑" w:cs="微软雅黑"/>
          <w:sz w:val="24"/>
          <w:szCs w:val="24"/>
        </w:rPr>
        <w:t>第三条</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增信基金信用借款原则上由乳山市中小微企业自主向合作银行申请，</w:t>
      </w:r>
      <w:r>
        <w:rPr>
          <w:rFonts w:hint="eastAsia" w:ascii="微软雅黑" w:hAnsi="微软雅黑" w:eastAsia="微软雅黑" w:cs="微软雅黑"/>
          <w:snapToGrid w:val="0"/>
          <w:kern w:val="0"/>
          <w:sz w:val="24"/>
          <w:szCs w:val="24"/>
        </w:rPr>
        <w:t>合作银行对申请企业进行初审，增信基金联席会议成员单位对通过初审的企业进行审核，一致通过后，合作银行方可发放信用贷款。</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napToGrid w:val="0"/>
          <w:kern w:val="0"/>
          <w:sz w:val="24"/>
          <w:szCs w:val="24"/>
        </w:rPr>
      </w:pPr>
      <w:r>
        <w:rPr>
          <w:rFonts w:hint="eastAsia" w:ascii="微软雅黑" w:hAnsi="微软雅黑" w:eastAsia="微软雅黑" w:cs="微软雅黑"/>
          <w:snapToGrid w:val="0"/>
          <w:kern w:val="0"/>
          <w:sz w:val="24"/>
          <w:szCs w:val="24"/>
        </w:rPr>
        <w:t>第四条</w:t>
      </w:r>
      <w:r>
        <w:rPr>
          <w:rFonts w:hint="eastAsia" w:ascii="微软雅黑" w:hAnsi="微软雅黑" w:eastAsia="微软雅黑" w:cs="微软雅黑"/>
          <w:snapToGrid w:val="0"/>
          <w:kern w:val="0"/>
          <w:sz w:val="24"/>
          <w:szCs w:val="24"/>
        </w:rPr>
        <w:t xml:space="preserve">  </w:t>
      </w:r>
      <w:r>
        <w:rPr>
          <w:rFonts w:hint="eastAsia" w:ascii="微软雅黑" w:hAnsi="微软雅黑" w:eastAsia="微软雅黑" w:cs="微软雅黑"/>
          <w:snapToGrid w:val="0"/>
          <w:kern w:val="0"/>
          <w:sz w:val="24"/>
          <w:szCs w:val="24"/>
        </w:rPr>
        <w:t>合作银行对符合条件的全部企业，累计年授信额度最高为增信基金的</w:t>
      </w:r>
      <w:r>
        <w:rPr>
          <w:rFonts w:hint="eastAsia" w:ascii="微软雅黑" w:hAnsi="微软雅黑" w:eastAsia="微软雅黑" w:cs="微软雅黑"/>
          <w:snapToGrid w:val="0"/>
          <w:kern w:val="0"/>
          <w:sz w:val="24"/>
          <w:szCs w:val="24"/>
        </w:rPr>
        <w:t>10</w:t>
      </w:r>
      <w:r>
        <w:rPr>
          <w:rFonts w:hint="eastAsia" w:ascii="微软雅黑" w:hAnsi="微软雅黑" w:eastAsia="微软雅黑" w:cs="微软雅黑"/>
          <w:snapToGrid w:val="0"/>
          <w:kern w:val="0"/>
          <w:sz w:val="24"/>
          <w:szCs w:val="24"/>
        </w:rPr>
        <w:t>倍。其中，新三板挂牌企业每家贷款额度最高不超过</w:t>
      </w:r>
      <w:r>
        <w:rPr>
          <w:rFonts w:hint="eastAsia" w:ascii="微软雅黑" w:hAnsi="微软雅黑" w:eastAsia="微软雅黑" w:cs="微软雅黑"/>
          <w:snapToGrid w:val="0"/>
          <w:kern w:val="0"/>
          <w:sz w:val="24"/>
          <w:szCs w:val="24"/>
        </w:rPr>
        <w:t>500</w:t>
      </w:r>
      <w:r>
        <w:rPr>
          <w:rFonts w:hint="eastAsia" w:ascii="微软雅黑" w:hAnsi="微软雅黑" w:eastAsia="微软雅黑" w:cs="微软雅黑"/>
          <w:snapToGrid w:val="0"/>
          <w:kern w:val="0"/>
          <w:sz w:val="24"/>
          <w:szCs w:val="24"/>
        </w:rPr>
        <w:t>万元，山东省内区域市场挂牌企业每家贷款额度不超过</w:t>
      </w:r>
      <w:r>
        <w:rPr>
          <w:rFonts w:hint="eastAsia" w:ascii="微软雅黑" w:hAnsi="微软雅黑" w:eastAsia="微软雅黑" w:cs="微软雅黑"/>
          <w:snapToGrid w:val="0"/>
          <w:kern w:val="0"/>
          <w:sz w:val="24"/>
          <w:szCs w:val="24"/>
        </w:rPr>
        <w:t>300</w:t>
      </w:r>
      <w:r>
        <w:rPr>
          <w:rFonts w:hint="eastAsia" w:ascii="微软雅黑" w:hAnsi="微软雅黑" w:eastAsia="微软雅黑" w:cs="微软雅黑"/>
          <w:snapToGrid w:val="0"/>
          <w:kern w:val="0"/>
          <w:sz w:val="24"/>
          <w:szCs w:val="24"/>
        </w:rPr>
        <w:t>万元，其他在我市注册的中小微企业授信额不超过</w:t>
      </w:r>
      <w:r>
        <w:rPr>
          <w:rFonts w:hint="eastAsia" w:ascii="微软雅黑" w:hAnsi="微软雅黑" w:eastAsia="微软雅黑" w:cs="微软雅黑"/>
          <w:snapToGrid w:val="0"/>
          <w:kern w:val="0"/>
          <w:sz w:val="24"/>
          <w:szCs w:val="24"/>
        </w:rPr>
        <w:t>200</w:t>
      </w:r>
      <w:r>
        <w:rPr>
          <w:rFonts w:hint="eastAsia" w:ascii="微软雅黑" w:hAnsi="微软雅黑" w:eastAsia="微软雅黑" w:cs="微软雅黑"/>
          <w:snapToGrid w:val="0"/>
          <w:kern w:val="0"/>
          <w:sz w:val="24"/>
          <w:szCs w:val="24"/>
        </w:rPr>
        <w:t>万元，期限不超过</w:t>
      </w:r>
      <w:r>
        <w:rPr>
          <w:rFonts w:hint="eastAsia" w:ascii="微软雅黑" w:hAnsi="微软雅黑" w:eastAsia="微软雅黑" w:cs="微软雅黑"/>
          <w:snapToGrid w:val="0"/>
          <w:kern w:val="0"/>
          <w:sz w:val="24"/>
          <w:szCs w:val="24"/>
        </w:rPr>
        <w:t>1</w:t>
      </w:r>
      <w:r>
        <w:rPr>
          <w:rFonts w:hint="eastAsia" w:ascii="微软雅黑" w:hAnsi="微软雅黑" w:eastAsia="微软雅黑" w:cs="微软雅黑"/>
          <w:snapToGrid w:val="0"/>
          <w:kern w:val="0"/>
          <w:sz w:val="24"/>
          <w:szCs w:val="24"/>
        </w:rPr>
        <w:t>年，贷款利率不超过</w:t>
      </w:r>
      <w:r>
        <w:rPr>
          <w:rFonts w:hint="eastAsia" w:ascii="微软雅黑" w:hAnsi="微软雅黑" w:eastAsia="微软雅黑" w:cs="微软雅黑"/>
          <w:snapToGrid w:val="0"/>
          <w:kern w:val="0"/>
          <w:sz w:val="24"/>
          <w:szCs w:val="24"/>
        </w:rPr>
        <w:t>6.8%</w:t>
      </w:r>
      <w:r>
        <w:rPr>
          <w:rFonts w:hint="eastAsia" w:ascii="微软雅黑" w:hAnsi="微软雅黑" w:eastAsia="微软雅黑" w:cs="微软雅黑"/>
          <w:snapToGrid w:val="0"/>
          <w:kern w:val="0"/>
          <w:sz w:val="24"/>
          <w:szCs w:val="24"/>
        </w:rPr>
        <w:t>，并随一年期市场报价利率（</w:t>
      </w:r>
      <w:r>
        <w:rPr>
          <w:rFonts w:hint="eastAsia" w:ascii="微软雅黑" w:hAnsi="微软雅黑" w:eastAsia="微软雅黑" w:cs="微软雅黑"/>
          <w:snapToGrid w:val="0"/>
          <w:kern w:val="0"/>
          <w:sz w:val="24"/>
          <w:szCs w:val="24"/>
        </w:rPr>
        <w:t>LPR</w:t>
      </w:r>
      <w:r>
        <w:rPr>
          <w:rFonts w:hint="eastAsia" w:ascii="微软雅黑" w:hAnsi="微软雅黑" w:eastAsia="微软雅黑" w:cs="微软雅黑"/>
          <w:snapToGrid w:val="0"/>
          <w:kern w:val="0"/>
          <w:sz w:val="24"/>
          <w:szCs w:val="24"/>
        </w:rPr>
        <w:t>利率）的变动同比例上下浮动。</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第五条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本办法所称合作银行是指与乳山</w:t>
      </w:r>
      <w:r>
        <w:rPr>
          <w:rFonts w:hint="eastAsia" w:ascii="微软雅黑" w:hAnsi="微软雅黑" w:eastAsia="微软雅黑" w:cs="微软雅黑"/>
          <w:snapToGrid w:val="0"/>
          <w:kern w:val="0"/>
          <w:sz w:val="24"/>
          <w:szCs w:val="24"/>
        </w:rPr>
        <w:t>市地方金</w:t>
      </w:r>
      <w:r>
        <w:rPr>
          <w:rFonts w:hint="eastAsia" w:ascii="微软雅黑" w:hAnsi="微软雅黑" w:eastAsia="微软雅黑" w:cs="微软雅黑"/>
          <w:color w:val="000000"/>
          <w:sz w:val="24"/>
          <w:szCs w:val="24"/>
        </w:rPr>
        <w:t>融服务中心签订</w:t>
      </w:r>
      <w:r>
        <w:rPr>
          <w:rFonts w:hint="eastAsia" w:ascii="微软雅黑" w:hAnsi="微软雅黑" w:eastAsia="微软雅黑" w:cs="微软雅黑"/>
          <w:snapToGrid w:val="0"/>
          <w:kern w:val="0"/>
          <w:sz w:val="24"/>
          <w:szCs w:val="24"/>
        </w:rPr>
        <w:t>信用贷款业务</w:t>
      </w:r>
      <w:r>
        <w:rPr>
          <w:rFonts w:hint="eastAsia" w:ascii="微软雅黑" w:hAnsi="微软雅黑" w:eastAsia="微软雅黑" w:cs="微软雅黑"/>
          <w:color w:val="000000"/>
          <w:sz w:val="24"/>
          <w:szCs w:val="24"/>
        </w:rPr>
        <w:t>合作协议的银行机构。</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rPr>
      </w:pPr>
      <w:r>
        <w:rPr>
          <w:rFonts w:hint="eastAsia" w:ascii="微软雅黑" w:hAnsi="微软雅黑" w:eastAsia="微软雅黑" w:cs="微软雅黑"/>
          <w:color w:val="000000"/>
          <w:sz w:val="24"/>
          <w:szCs w:val="24"/>
        </w:rPr>
        <w:t>第六条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增信基金由市财政预算安排</w:t>
      </w:r>
      <w:r>
        <w:rPr>
          <w:rFonts w:hint="eastAsia" w:ascii="微软雅黑" w:hAnsi="微软雅黑" w:eastAsia="微软雅黑" w:cs="微软雅黑"/>
          <w:sz w:val="24"/>
          <w:szCs w:val="24"/>
        </w:rPr>
        <w:t>，并按运作流程及时拨入乳山市地方金融服务中心在合作银行开设的专用账户，实行专</w:t>
      </w:r>
      <w:r>
        <w:rPr>
          <w:rFonts w:hint="eastAsia" w:ascii="微软雅黑" w:hAnsi="微软雅黑" w:eastAsia="微软雅黑" w:cs="微软雅黑"/>
          <w:color w:val="000000"/>
          <w:sz w:val="24"/>
          <w:szCs w:val="24"/>
        </w:rPr>
        <w:t>款专用。</w:t>
      </w:r>
    </w:p>
    <w:p>
      <w:pPr>
        <w:pageBreakBefore w:val="0"/>
        <w:widowControl w:val="0"/>
        <w:numPr>
          <w:numId w:val="0"/>
        </w:numPr>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lang w:eastAsia="zh-CN"/>
        </w:rPr>
      </w:pPr>
    </w:p>
    <w:p>
      <w:pPr>
        <w:pageBreakBefore w:val="0"/>
        <w:widowControl w:val="0"/>
        <w:numPr>
          <w:numId w:val="0"/>
        </w:numPr>
        <w:kinsoku/>
        <w:wordWrap/>
        <w:overflowPunct/>
        <w:topLinePunct w:val="0"/>
        <w:bidi w:val="0"/>
        <w:adjustRightInd w:val="0"/>
        <w:snapToGrid w:val="0"/>
        <w:spacing w:beforeLines="50" w:afterLines="50" w:line="420" w:lineRule="auto"/>
        <w:jc w:val="center"/>
        <w:textAlignment w:val="auto"/>
        <w:rPr>
          <w:rFonts w:hint="eastAsia"/>
        </w:rPr>
      </w:pPr>
      <w:r>
        <w:rPr>
          <w:rFonts w:hint="eastAsia" w:ascii="微软雅黑" w:hAnsi="微软雅黑" w:eastAsia="微软雅黑" w:cs="微软雅黑"/>
          <w:b/>
          <w:bCs/>
          <w:color w:val="000000"/>
          <w:sz w:val="24"/>
          <w:szCs w:val="24"/>
          <w:lang w:eastAsia="zh-CN"/>
        </w:rPr>
        <w:t>第二章</w:t>
      </w:r>
      <w:r>
        <w:rPr>
          <w:rFonts w:hint="eastAsia" w:ascii="微软雅黑" w:hAnsi="微软雅黑" w:eastAsia="微软雅黑" w:cs="微软雅黑"/>
          <w:b/>
          <w:bCs/>
          <w:color w:val="000000"/>
          <w:sz w:val="24"/>
          <w:szCs w:val="24"/>
          <w:lang w:val="en-US" w:eastAsia="zh-CN"/>
        </w:rPr>
        <w:t xml:space="preserve"> </w:t>
      </w:r>
      <w:r>
        <w:rPr>
          <w:rFonts w:hint="eastAsia" w:ascii="微软雅黑" w:hAnsi="微软雅黑" w:eastAsia="微软雅黑" w:cs="微软雅黑"/>
          <w:b/>
          <w:bCs/>
          <w:color w:val="000000"/>
          <w:sz w:val="24"/>
          <w:szCs w:val="24"/>
        </w:rPr>
        <w:t>管理机构及职责</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FF0000"/>
          <w:sz w:val="24"/>
          <w:szCs w:val="24"/>
        </w:rPr>
      </w:pPr>
      <w:r>
        <w:rPr>
          <w:rFonts w:hint="eastAsia" w:ascii="微软雅黑" w:hAnsi="微软雅黑" w:eastAsia="微软雅黑" w:cs="微软雅黑"/>
          <w:color w:val="000000"/>
          <w:sz w:val="24"/>
          <w:szCs w:val="24"/>
        </w:rPr>
        <w:t>第七条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建立乳山市增信基金管理联席会议制度，负责审查</w:t>
      </w:r>
      <w:r>
        <w:rPr>
          <w:rFonts w:hint="eastAsia" w:ascii="微软雅黑" w:hAnsi="微软雅黑" w:eastAsia="微软雅黑" w:cs="微软雅黑"/>
          <w:sz w:val="24"/>
          <w:szCs w:val="24"/>
        </w:rPr>
        <w:t>申请企业是否有违法、违规及失信等行为，协调解决与合作银行开展中小微企业信用贷款业务发展遇到的重大问题。召集人由市发展和改革局主要负责人担任，市财政局、税务局负责人为成员。其中，市发展和改革局负责通过市公共信用平台进行信用审核；市财政局负责审查企业是否存在政府债务等情况；市税务局负责审查是否有涉税违法行为及社保金缴纳情况。联席会议办公室设在市发展和改革局。</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第八条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sz w:val="24"/>
          <w:szCs w:val="24"/>
        </w:rPr>
        <w:t>乳山市发展和改革局作为增信基金的管理机构，承担政府增信基金运作和风险补偿金管理职能，协调市政府与合作银行签订合作协议，开展绩效考核。</w:t>
      </w: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r>
        <w:rPr>
          <w:rFonts w:hint="eastAsia" w:ascii="微软雅黑" w:hAnsi="微软雅黑" w:eastAsia="微软雅黑" w:cs="微软雅黑"/>
          <w:b/>
          <w:bCs/>
          <w:color w:val="000000"/>
          <w:sz w:val="24"/>
          <w:szCs w:val="24"/>
        </w:rPr>
        <w:t>第三章</w:t>
      </w:r>
      <w:r>
        <w:rPr>
          <w:rFonts w:hint="eastAsia" w:ascii="微软雅黑" w:hAnsi="微软雅黑" w:eastAsia="微软雅黑" w:cs="微软雅黑"/>
          <w:b/>
          <w:bCs/>
          <w:color w:val="000000"/>
          <w:sz w:val="24"/>
          <w:szCs w:val="24"/>
        </w:rPr>
        <w:tab/>
      </w:r>
      <w:r>
        <w:rPr>
          <w:rFonts w:hint="eastAsia" w:ascii="微软雅黑" w:hAnsi="微软雅黑" w:eastAsia="微软雅黑" w:cs="微软雅黑"/>
          <w:b/>
          <w:bCs/>
          <w:color w:val="000000"/>
          <w:sz w:val="24"/>
          <w:szCs w:val="24"/>
        </w:rPr>
        <w:t>运作程序</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第九条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企业自主申请。在我市注册的中小微企业，可在规定期限内向合作银行提出申请，并按要求提供相关材料。</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合作银行审核。合作银行负责对拟贷款企业按纳税情况、银行业务结算量、出口订单、</w:t>
      </w:r>
      <w:r>
        <w:rPr>
          <w:rFonts w:hint="eastAsia" w:ascii="微软雅黑" w:hAnsi="微软雅黑" w:eastAsia="微软雅黑" w:cs="微软雅黑"/>
          <w:color w:val="000000"/>
          <w:sz w:val="24"/>
          <w:szCs w:val="24"/>
        </w:rPr>
        <w:t>POS</w:t>
      </w:r>
      <w:r>
        <w:rPr>
          <w:rFonts w:hint="eastAsia" w:ascii="微软雅黑" w:hAnsi="微软雅黑" w:eastAsia="微软雅黑" w:cs="微软雅黑"/>
          <w:color w:val="000000"/>
          <w:sz w:val="24"/>
          <w:szCs w:val="24"/>
        </w:rPr>
        <w:t>机业务量等进行审核，筛选符合条件企业名单报增信基金联席会议办公室。</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第十一条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联席审核。增信基金联席会议办公室负责将合作银行提报的企业名单及相关资料，提交联席会议或者以会签的方式进行审查。联席会议成员单位审查通过后，需将企业名单反馈给合作银行</w:t>
      </w:r>
      <w:r>
        <w:rPr>
          <w:rFonts w:hint="eastAsia" w:ascii="微软雅黑" w:hAnsi="微软雅黑" w:eastAsia="微软雅黑" w:cs="微软雅黑"/>
          <w:snapToGrid w:val="0"/>
          <w:kern w:val="0"/>
          <w:sz w:val="24"/>
          <w:szCs w:val="24"/>
        </w:rPr>
        <w:t>。</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第十二条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发放贷款。合作银行</w:t>
      </w:r>
      <w:r>
        <w:rPr>
          <w:rFonts w:hint="eastAsia" w:ascii="微软雅黑" w:hAnsi="微软雅黑" w:eastAsia="微软雅黑" w:cs="微软雅黑"/>
          <w:snapToGrid w:val="0"/>
          <w:kern w:val="0"/>
          <w:sz w:val="24"/>
          <w:szCs w:val="24"/>
        </w:rPr>
        <w:t>按照授信业务审批规程及信贷审批授权权限进行业务审批并</w:t>
      </w:r>
      <w:r>
        <w:rPr>
          <w:rFonts w:hint="eastAsia" w:ascii="微软雅黑" w:hAnsi="微软雅黑" w:eastAsia="微软雅黑" w:cs="微软雅黑"/>
          <w:color w:val="000000"/>
          <w:sz w:val="24"/>
          <w:szCs w:val="24"/>
        </w:rPr>
        <w:t>向企业发放贷款。合作银行向企业发放贷款后，及时将贷款合同及相关资料报送联席会议办公室备案。</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第十三条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风险监控。合作银行建立信息通报机制，每月向联席会议办公室报送贷后管理情况；出现风险要及时报送贷款风险评估情况及处置建议。联席会议办公室定期向成员单位通报情况，对出现风险的</w:t>
      </w:r>
      <w:r>
        <w:rPr>
          <w:rFonts w:hint="eastAsia" w:ascii="微软雅黑" w:hAnsi="微软雅黑" w:eastAsia="微软雅黑" w:cs="微软雅黑"/>
          <w:sz w:val="24"/>
          <w:szCs w:val="24"/>
        </w:rPr>
        <w:t>贷款企业</w:t>
      </w:r>
      <w:r>
        <w:rPr>
          <w:rFonts w:hint="eastAsia" w:ascii="微软雅黑" w:hAnsi="微软雅黑" w:eastAsia="微软雅黑" w:cs="微软雅黑"/>
          <w:color w:val="000000"/>
          <w:sz w:val="24"/>
          <w:szCs w:val="24"/>
        </w:rPr>
        <w:t>提出处置方案集体研究决定。联席会议成员单位可根据自身掌握情况提出风险预警。</w:t>
      </w: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r>
        <w:rPr>
          <w:rFonts w:hint="eastAsia" w:ascii="微软雅黑" w:hAnsi="微软雅黑" w:eastAsia="微软雅黑" w:cs="微软雅黑"/>
          <w:b/>
          <w:bCs/>
          <w:color w:val="000000"/>
          <w:sz w:val="24"/>
          <w:szCs w:val="24"/>
        </w:rPr>
        <w:t>第四章  风险补偿</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color w:val="000000"/>
          <w:sz w:val="24"/>
          <w:szCs w:val="24"/>
        </w:rPr>
        <w:t>第十四条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中小微企业信用贷款逾期</w:t>
      </w:r>
      <w:r>
        <w:rPr>
          <w:rFonts w:hint="eastAsia" w:ascii="微软雅黑" w:hAnsi="微软雅黑" w:eastAsia="微软雅黑" w:cs="微软雅黑"/>
          <w:color w:val="000000"/>
          <w:sz w:val="24"/>
          <w:szCs w:val="24"/>
        </w:rPr>
        <w:t>30</w:t>
      </w:r>
      <w:r>
        <w:rPr>
          <w:rFonts w:hint="eastAsia" w:ascii="微软雅黑" w:hAnsi="微软雅黑" w:eastAsia="微软雅黑" w:cs="微软雅黑"/>
          <w:color w:val="000000"/>
          <w:sz w:val="24"/>
          <w:szCs w:val="24"/>
        </w:rPr>
        <w:t>天</w:t>
      </w:r>
      <w:r>
        <w:rPr>
          <w:rFonts w:hint="eastAsia" w:ascii="微软雅黑" w:hAnsi="微软雅黑" w:eastAsia="微软雅黑" w:cs="微软雅黑"/>
          <w:sz w:val="24"/>
          <w:szCs w:val="24"/>
        </w:rPr>
        <w:t>以上的，合作银行需报告联席会议办公室，同时启动债务追索程序。联席会议办公室接到报告后，及时协调相关部门配合合作银行进行债务追索。</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第十五条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合作银行债务追索司法程序结束后，仍不能弥补其本金损失的，向联席会提出补偿申请，联席会议成员单位审查通过后由增信基金与合作银行按各自</w:t>
      </w:r>
      <w:r>
        <w:rPr>
          <w:rFonts w:hint="eastAsia" w:ascii="微软雅黑" w:hAnsi="微软雅黑" w:eastAsia="微软雅黑" w:cs="微软雅黑"/>
          <w:color w:val="000000"/>
          <w:sz w:val="24"/>
          <w:szCs w:val="24"/>
        </w:rPr>
        <w:t>50%</w:t>
      </w:r>
      <w:r>
        <w:rPr>
          <w:rFonts w:hint="eastAsia" w:ascii="微软雅黑" w:hAnsi="微软雅黑" w:eastAsia="微软雅黑" w:cs="微软雅黑"/>
          <w:color w:val="000000"/>
          <w:sz w:val="24"/>
          <w:szCs w:val="24"/>
        </w:rPr>
        <w:t>的比例分摊，</w:t>
      </w:r>
      <w:r>
        <w:rPr>
          <w:rFonts w:hint="eastAsia" w:ascii="微软雅黑" w:hAnsi="微软雅黑" w:eastAsia="微软雅黑" w:cs="微软雅黑"/>
          <w:sz w:val="24"/>
          <w:szCs w:val="24"/>
        </w:rPr>
        <w:t>其中，政府风险补偿部分以存入合作银行的增信基金余额为限。</w:t>
      </w: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第十六条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政府风险补偿的范围仅限于合作银行对联席会议审查通过的中小微企业信用贷款。合作银行发放的其他贷款、票据融资和</w:t>
      </w:r>
      <w:r>
        <w:rPr>
          <w:rFonts w:hint="eastAsia" w:ascii="微软雅黑" w:hAnsi="微软雅黑" w:eastAsia="微软雅黑" w:cs="微软雅黑"/>
          <w:sz w:val="24"/>
          <w:szCs w:val="24"/>
        </w:rPr>
        <w:t>逾期贷款利息、复利、</w:t>
      </w:r>
      <w:r>
        <w:rPr>
          <w:rFonts w:hint="eastAsia" w:ascii="微软雅黑" w:hAnsi="微软雅黑" w:eastAsia="微软雅黑" w:cs="微软雅黑"/>
          <w:color w:val="000000"/>
          <w:sz w:val="24"/>
          <w:szCs w:val="24"/>
        </w:rPr>
        <w:t>罚息及</w:t>
      </w:r>
      <w:r>
        <w:rPr>
          <w:rFonts w:hint="eastAsia" w:ascii="微软雅黑" w:hAnsi="微软雅黑" w:eastAsia="微软雅黑" w:cs="微软雅黑"/>
          <w:snapToGrid w:val="0"/>
          <w:kern w:val="0"/>
          <w:sz w:val="24"/>
          <w:szCs w:val="24"/>
        </w:rPr>
        <w:t>合作银行对联席会议未审核通过的企业进行放款，风险由合作银行自行承担，</w:t>
      </w:r>
      <w:r>
        <w:rPr>
          <w:rFonts w:hint="eastAsia" w:ascii="微软雅黑" w:hAnsi="微软雅黑" w:eastAsia="微软雅黑" w:cs="微软雅黑"/>
          <w:sz w:val="24"/>
          <w:szCs w:val="24"/>
        </w:rPr>
        <w:t>不在政府风险补偿范围。</w:t>
      </w: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p>
    <w:p>
      <w:pPr>
        <w:pageBreakBefore w:val="0"/>
        <w:widowControl w:val="0"/>
        <w:kinsoku/>
        <w:wordWrap/>
        <w:overflowPunct/>
        <w:topLinePunct w:val="0"/>
        <w:bidi w:val="0"/>
        <w:adjustRightInd w:val="0"/>
        <w:snapToGrid w:val="0"/>
        <w:spacing w:beforeLines="50" w:afterLines="50" w:line="420" w:lineRule="auto"/>
        <w:jc w:val="center"/>
        <w:textAlignment w:val="auto"/>
        <w:rPr>
          <w:rFonts w:hint="eastAsia" w:ascii="微软雅黑" w:hAnsi="微软雅黑" w:eastAsia="微软雅黑" w:cs="微软雅黑"/>
          <w:b/>
          <w:bCs/>
          <w:color w:val="000000"/>
          <w:sz w:val="24"/>
          <w:szCs w:val="24"/>
        </w:rPr>
      </w:pPr>
      <w:r>
        <w:rPr>
          <w:rFonts w:hint="eastAsia" w:ascii="微软雅黑" w:hAnsi="微软雅黑" w:eastAsia="微软雅黑" w:cs="微软雅黑"/>
          <w:b/>
          <w:bCs/>
          <w:color w:val="000000"/>
          <w:sz w:val="24"/>
          <w:szCs w:val="24"/>
        </w:rPr>
        <w:t>第五章  附  则</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第十七条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中小微企业信用贷款申报、审核以及增信基金的申请、审核、拨付程序等有关操作规程另行制定。</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第十八条</w:t>
      </w:r>
      <w:r>
        <w:rPr>
          <w:rFonts w:hint="eastAsia" w:ascii="微软雅黑" w:hAnsi="微软雅黑" w:eastAsia="微软雅黑" w:cs="微软雅黑"/>
          <w:color w:val="000000"/>
          <w:sz w:val="24"/>
          <w:szCs w:val="24"/>
        </w:rPr>
        <w:t xml:space="preserve">  </w:t>
      </w:r>
      <w:r>
        <w:rPr>
          <w:rFonts w:hint="eastAsia" w:ascii="微软雅黑" w:hAnsi="微软雅黑" w:eastAsia="微软雅黑" w:cs="微软雅黑"/>
          <w:color w:val="000000"/>
          <w:sz w:val="24"/>
          <w:szCs w:val="24"/>
        </w:rPr>
        <w:t>本办法自</w:t>
      </w:r>
      <w:r>
        <w:rPr>
          <w:rFonts w:hint="eastAsia" w:ascii="微软雅黑" w:hAnsi="微软雅黑" w:eastAsia="微软雅黑" w:cs="微软雅黑"/>
          <w:color w:val="000000"/>
          <w:sz w:val="24"/>
          <w:szCs w:val="24"/>
        </w:rPr>
        <w:t>2021</w:t>
      </w:r>
      <w:r>
        <w:rPr>
          <w:rFonts w:hint="eastAsia" w:ascii="微软雅黑" w:hAnsi="微软雅黑" w:eastAsia="微软雅黑" w:cs="微软雅黑"/>
          <w:color w:val="000000"/>
          <w:sz w:val="24"/>
          <w:szCs w:val="24"/>
        </w:rPr>
        <w:t>年</w:t>
      </w:r>
      <w:r>
        <w:rPr>
          <w:rFonts w:hint="eastAsia" w:ascii="微软雅黑" w:hAnsi="微软雅黑" w:eastAsia="微软雅黑" w:cs="微软雅黑"/>
          <w:color w:val="000000"/>
          <w:sz w:val="24"/>
          <w:szCs w:val="24"/>
        </w:rPr>
        <w:t>6</w:t>
      </w:r>
      <w:r>
        <w:rPr>
          <w:rFonts w:hint="eastAsia" w:ascii="微软雅黑" w:hAnsi="微软雅黑" w:eastAsia="微软雅黑" w:cs="微软雅黑"/>
          <w:color w:val="000000"/>
          <w:sz w:val="24"/>
          <w:szCs w:val="24"/>
        </w:rPr>
        <w:t>月</w:t>
      </w:r>
      <w:r>
        <w:rPr>
          <w:rFonts w:hint="eastAsia" w:ascii="微软雅黑" w:hAnsi="微软雅黑" w:eastAsia="微软雅黑" w:cs="微软雅黑"/>
          <w:color w:val="000000"/>
          <w:sz w:val="24"/>
          <w:szCs w:val="24"/>
        </w:rPr>
        <w:t>11</w:t>
      </w:r>
      <w:r>
        <w:rPr>
          <w:rFonts w:hint="eastAsia" w:ascii="微软雅黑" w:hAnsi="微软雅黑" w:eastAsia="微软雅黑" w:cs="微软雅黑"/>
          <w:color w:val="000000"/>
          <w:sz w:val="24"/>
          <w:szCs w:val="24"/>
        </w:rPr>
        <w:t>日起施行，有效期至</w:t>
      </w:r>
      <w:r>
        <w:rPr>
          <w:rFonts w:hint="eastAsia" w:ascii="微软雅黑" w:hAnsi="微软雅黑" w:eastAsia="微软雅黑" w:cs="微软雅黑"/>
          <w:color w:val="000000"/>
          <w:sz w:val="24"/>
          <w:szCs w:val="24"/>
        </w:rPr>
        <w:t>2025</w:t>
      </w:r>
      <w:r>
        <w:rPr>
          <w:rFonts w:hint="eastAsia" w:ascii="微软雅黑" w:hAnsi="微软雅黑" w:eastAsia="微软雅黑" w:cs="微软雅黑"/>
          <w:color w:val="000000"/>
          <w:sz w:val="24"/>
          <w:szCs w:val="24"/>
        </w:rPr>
        <w:t>年</w:t>
      </w:r>
      <w:r>
        <w:rPr>
          <w:rFonts w:hint="eastAsia" w:ascii="微软雅黑" w:hAnsi="微软雅黑" w:eastAsia="微软雅黑" w:cs="微软雅黑"/>
          <w:color w:val="000000"/>
          <w:sz w:val="24"/>
          <w:szCs w:val="24"/>
        </w:rPr>
        <w:t>12</w:t>
      </w:r>
      <w:r>
        <w:rPr>
          <w:rFonts w:hint="eastAsia" w:ascii="微软雅黑" w:hAnsi="微软雅黑" w:eastAsia="微软雅黑" w:cs="微软雅黑"/>
          <w:color w:val="000000"/>
          <w:sz w:val="24"/>
          <w:szCs w:val="24"/>
        </w:rPr>
        <w:t>月</w:t>
      </w:r>
      <w:r>
        <w:rPr>
          <w:rFonts w:hint="eastAsia" w:ascii="微软雅黑" w:hAnsi="微软雅黑" w:eastAsia="微软雅黑" w:cs="微软雅黑"/>
          <w:color w:val="000000"/>
          <w:sz w:val="24"/>
          <w:szCs w:val="24"/>
        </w:rPr>
        <w:t>31</w:t>
      </w:r>
      <w:r>
        <w:rPr>
          <w:rFonts w:hint="eastAsia" w:ascii="微软雅黑" w:hAnsi="微软雅黑" w:eastAsia="微软雅黑" w:cs="微软雅黑"/>
          <w:color w:val="000000"/>
          <w:sz w:val="24"/>
          <w:szCs w:val="24"/>
        </w:rPr>
        <w:t>日，《乳山市小微企业增信基金管理办法》（乳政办发〔</w:t>
      </w:r>
      <w:r>
        <w:rPr>
          <w:rFonts w:hint="eastAsia" w:ascii="微软雅黑" w:hAnsi="微软雅黑" w:eastAsia="微软雅黑" w:cs="微软雅黑"/>
          <w:color w:val="000000"/>
          <w:sz w:val="24"/>
          <w:szCs w:val="24"/>
        </w:rPr>
        <w:t>2018</w:t>
      </w:r>
      <w:r>
        <w:rPr>
          <w:rFonts w:hint="eastAsia" w:ascii="微软雅黑" w:hAnsi="微软雅黑" w:eastAsia="微软雅黑" w:cs="微软雅黑"/>
          <w:color w:val="000000"/>
          <w:sz w:val="24"/>
          <w:szCs w:val="24"/>
        </w:rPr>
        <w:t>〕</w:t>
      </w:r>
      <w:r>
        <w:rPr>
          <w:rFonts w:hint="eastAsia" w:ascii="微软雅黑" w:hAnsi="微软雅黑" w:eastAsia="微软雅黑" w:cs="微软雅黑"/>
          <w:color w:val="000000"/>
          <w:sz w:val="24"/>
          <w:szCs w:val="24"/>
        </w:rPr>
        <w:t>16</w:t>
      </w:r>
      <w:r>
        <w:rPr>
          <w:rFonts w:hint="eastAsia" w:ascii="微软雅黑" w:hAnsi="微软雅黑" w:eastAsia="微软雅黑" w:cs="微软雅黑"/>
          <w:color w:val="000000"/>
          <w:sz w:val="24"/>
          <w:szCs w:val="24"/>
        </w:rPr>
        <w:t>号）和《乳山市资本市场缓释基金管理办法》（乳政办发〔</w:t>
      </w:r>
      <w:r>
        <w:rPr>
          <w:rFonts w:hint="eastAsia" w:ascii="微软雅黑" w:hAnsi="微软雅黑" w:eastAsia="微软雅黑" w:cs="微软雅黑"/>
          <w:color w:val="000000"/>
          <w:sz w:val="24"/>
          <w:szCs w:val="24"/>
        </w:rPr>
        <w:t>2019</w:t>
      </w:r>
      <w:r>
        <w:rPr>
          <w:rFonts w:hint="eastAsia" w:ascii="微软雅黑" w:hAnsi="微软雅黑" w:eastAsia="微软雅黑" w:cs="微软雅黑"/>
          <w:color w:val="000000"/>
          <w:sz w:val="24"/>
          <w:szCs w:val="24"/>
        </w:rPr>
        <w:t>〕</w:t>
      </w:r>
      <w:r>
        <w:rPr>
          <w:rFonts w:hint="eastAsia" w:ascii="微软雅黑" w:hAnsi="微软雅黑" w:eastAsia="微软雅黑" w:cs="微软雅黑"/>
          <w:color w:val="000000"/>
          <w:sz w:val="24"/>
          <w:szCs w:val="24"/>
        </w:rPr>
        <w:t>5</w:t>
      </w:r>
      <w:r>
        <w:rPr>
          <w:rFonts w:hint="eastAsia" w:ascii="微软雅黑" w:hAnsi="微软雅黑" w:eastAsia="微软雅黑" w:cs="微软雅黑"/>
          <w:color w:val="000000"/>
          <w:sz w:val="24"/>
          <w:szCs w:val="24"/>
        </w:rPr>
        <w:t>号）同时废止。</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color w:val="000000"/>
          <w:sz w:val="24"/>
          <w:szCs w:val="24"/>
        </w:rPr>
        <w:t>附件：</w:t>
      </w:r>
      <w:r>
        <w:rPr>
          <w:rFonts w:hint="eastAsia" w:ascii="微软雅黑" w:hAnsi="微软雅黑" w:eastAsia="微软雅黑" w:cs="微软雅黑"/>
          <w:color w:val="000000"/>
          <w:sz w:val="24"/>
          <w:szCs w:val="24"/>
        </w:rPr>
        <w:t>1.</w:t>
      </w:r>
      <w:r>
        <w:rPr>
          <w:rFonts w:hint="eastAsia" w:ascii="微软雅黑" w:hAnsi="微软雅黑" w:eastAsia="微软雅黑" w:cs="微软雅黑"/>
          <w:color w:val="000000"/>
          <w:sz w:val="24"/>
          <w:szCs w:val="24"/>
        </w:rPr>
        <w:t>乳山市中小微企业增信基金联席会议制度</w:t>
      </w:r>
    </w:p>
    <w:p>
      <w:pPr>
        <w:pageBreakBefore w:val="0"/>
        <w:widowControl w:val="0"/>
        <w:kinsoku/>
        <w:wordWrap/>
        <w:overflowPunct/>
        <w:topLinePunct w:val="0"/>
        <w:bidi w:val="0"/>
        <w:adjustRightInd w:val="0"/>
        <w:snapToGrid w:val="0"/>
        <w:spacing w:line="420" w:lineRule="auto"/>
        <w:ind w:firstLine="1200" w:firstLineChars="500"/>
        <w:textAlignment w:val="auto"/>
        <w:rPr>
          <w:rFonts w:hint="eastAsia"/>
        </w:rPr>
      </w:pPr>
      <w:r>
        <w:rPr>
          <w:rFonts w:hint="eastAsia" w:ascii="微软雅黑" w:hAnsi="微软雅黑" w:eastAsia="微软雅黑" w:cs="微软雅黑"/>
          <w:color w:val="000000"/>
          <w:sz w:val="24"/>
          <w:szCs w:val="24"/>
        </w:rPr>
        <w:t>2.</w:t>
      </w:r>
      <w:r>
        <w:rPr>
          <w:rFonts w:hint="eastAsia" w:ascii="微软雅黑" w:hAnsi="微软雅黑" w:eastAsia="微软雅黑" w:cs="微软雅黑"/>
          <w:color w:val="000000"/>
          <w:spacing w:val="-2"/>
          <w:sz w:val="24"/>
          <w:szCs w:val="24"/>
        </w:rPr>
        <w:t>乳山市中小微企业增信基金联席会议组成人员名单</w:t>
      </w: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w:t>
      </w:r>
      <w:r>
        <w:rPr>
          <w:rFonts w:hint="eastAsia" w:ascii="微软雅黑" w:hAnsi="微软雅黑" w:eastAsia="微软雅黑" w:cs="微软雅黑"/>
          <w:sz w:val="24"/>
          <w:szCs w:val="24"/>
        </w:rPr>
        <w:t>1</w:t>
      </w: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adjustRightInd w:val="0"/>
        <w:snapToGrid w:val="0"/>
        <w:spacing w:line="420" w:lineRule="auto"/>
        <w:jc w:val="center"/>
        <w:textAlignment w:val="auto"/>
        <w:rPr>
          <w:rFonts w:hint="eastAsia" w:ascii="微软雅黑" w:hAnsi="微软雅黑" w:eastAsia="微软雅黑" w:cs="微软雅黑"/>
          <w:b/>
          <w:bCs/>
          <w:kern w:val="0"/>
          <w:sz w:val="24"/>
          <w:szCs w:val="24"/>
        </w:rPr>
      </w:pPr>
      <w:r>
        <w:rPr>
          <w:rFonts w:hint="eastAsia" w:ascii="微软雅黑" w:hAnsi="微软雅黑" w:eastAsia="微软雅黑" w:cs="微软雅黑"/>
          <w:b/>
          <w:bCs/>
          <w:sz w:val="24"/>
          <w:szCs w:val="24"/>
        </w:rPr>
        <w:t>乳山市中小微企业增信基金联席</w:t>
      </w:r>
      <w:r>
        <w:rPr>
          <w:rFonts w:hint="eastAsia" w:ascii="微软雅黑" w:hAnsi="微软雅黑" w:eastAsia="微软雅黑" w:cs="微软雅黑"/>
          <w:b/>
          <w:bCs/>
          <w:kern w:val="0"/>
          <w:sz w:val="24"/>
          <w:szCs w:val="24"/>
        </w:rPr>
        <w:t>会议制度</w:t>
      </w:r>
    </w:p>
    <w:p>
      <w:pPr>
        <w:pageBreakBefore w:val="0"/>
        <w:widowControl w:val="0"/>
        <w:kinsoku/>
        <w:wordWrap/>
        <w:overflowPunct/>
        <w:topLinePunct w:val="0"/>
        <w:autoSpaceDE w:val="0"/>
        <w:autoSpaceDN w:val="0"/>
        <w:bidi w:val="0"/>
        <w:adjustRightInd w:val="0"/>
        <w:snapToGrid w:val="0"/>
        <w:spacing w:line="420" w:lineRule="auto"/>
        <w:textAlignment w:val="auto"/>
        <w:rPr>
          <w:rFonts w:hint="eastAsia" w:ascii="微软雅黑" w:hAnsi="微软雅黑" w:eastAsia="微软雅黑" w:cs="微软雅黑"/>
          <w:kern w:val="0"/>
          <w:sz w:val="24"/>
          <w:szCs w:val="24"/>
        </w:rPr>
      </w:pP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第一条</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为规</w:t>
      </w:r>
      <w:r>
        <w:rPr>
          <w:rFonts w:hint="eastAsia" w:ascii="微软雅黑" w:hAnsi="微软雅黑" w:eastAsia="微软雅黑" w:cs="微软雅黑"/>
          <w:kern w:val="0"/>
          <w:sz w:val="24"/>
          <w:szCs w:val="24"/>
        </w:rPr>
        <w:t>避中小微企业增信基金信用贷款业务风险，掌握</w:t>
      </w:r>
      <w:r>
        <w:rPr>
          <w:rFonts w:hint="eastAsia" w:ascii="微软雅黑" w:hAnsi="微软雅黑" w:eastAsia="微软雅黑" w:cs="微软雅黑"/>
          <w:color w:val="000000"/>
          <w:kern w:val="0"/>
          <w:sz w:val="24"/>
          <w:szCs w:val="24"/>
        </w:rPr>
        <w:t>拟贷款企业行政信息，根据</w:t>
      </w:r>
      <w:r>
        <w:rPr>
          <w:rFonts w:hint="eastAsia" w:ascii="微软雅黑" w:hAnsi="微软雅黑" w:eastAsia="微软雅黑" w:cs="微软雅黑"/>
          <w:kern w:val="0"/>
          <w:sz w:val="24"/>
          <w:szCs w:val="24"/>
        </w:rPr>
        <w:t>《乳山市中小微企业增信基金管理暂行办法》规定，制定</w:t>
      </w:r>
      <w:r>
        <w:rPr>
          <w:rFonts w:hint="eastAsia" w:ascii="微软雅黑" w:hAnsi="微软雅黑" w:eastAsia="微软雅黑" w:cs="微软雅黑"/>
          <w:sz w:val="24"/>
          <w:szCs w:val="24"/>
        </w:rPr>
        <w:t>乳山市中小微企业增信基金联席会议</w:t>
      </w:r>
      <w:r>
        <w:rPr>
          <w:rFonts w:hint="eastAsia" w:ascii="微软雅黑" w:hAnsi="微软雅黑" w:eastAsia="微软雅黑" w:cs="微软雅黑"/>
          <w:kern w:val="0"/>
          <w:sz w:val="24"/>
          <w:szCs w:val="24"/>
        </w:rPr>
        <w:t>制度。</w:t>
      </w:r>
      <w:r>
        <w:rPr>
          <w:rFonts w:hint="eastAsia" w:ascii="微软雅黑" w:hAnsi="微软雅黑" w:eastAsia="微软雅黑" w:cs="微软雅黑"/>
          <w:sz w:val="24"/>
          <w:szCs w:val="24"/>
        </w:rPr>
        <w:t>乳山市中小微企业增信基金联席会议</w:t>
      </w:r>
      <w:r>
        <w:rPr>
          <w:rFonts w:hint="eastAsia" w:ascii="微软雅黑" w:hAnsi="微软雅黑" w:eastAsia="微软雅黑" w:cs="微软雅黑"/>
          <w:kern w:val="0"/>
          <w:sz w:val="24"/>
          <w:szCs w:val="24"/>
        </w:rPr>
        <w:t>（下称</w:t>
      </w:r>
      <w:r>
        <w:rPr>
          <w:rFonts w:hint="eastAsia" w:ascii="微软雅黑" w:hAnsi="微软雅黑" w:eastAsia="微软雅黑" w:cs="微软雅黑"/>
          <w:kern w:val="0"/>
          <w:sz w:val="24"/>
          <w:szCs w:val="24"/>
        </w:rPr>
        <w:t>“</w:t>
      </w:r>
      <w:r>
        <w:rPr>
          <w:rFonts w:hint="eastAsia" w:ascii="微软雅黑" w:hAnsi="微软雅黑" w:eastAsia="微软雅黑" w:cs="微软雅黑"/>
          <w:kern w:val="0"/>
          <w:sz w:val="24"/>
          <w:szCs w:val="24"/>
        </w:rPr>
        <w:t>联席会议</w:t>
      </w:r>
      <w:r>
        <w:rPr>
          <w:rFonts w:hint="eastAsia" w:ascii="微软雅黑" w:hAnsi="微软雅黑" w:eastAsia="微软雅黑" w:cs="微软雅黑"/>
          <w:kern w:val="0"/>
          <w:sz w:val="24"/>
          <w:szCs w:val="24"/>
        </w:rPr>
        <w:t>”</w:t>
      </w:r>
      <w:r>
        <w:rPr>
          <w:rFonts w:hint="eastAsia" w:ascii="微软雅黑" w:hAnsi="微软雅黑" w:eastAsia="微软雅黑" w:cs="微软雅黑"/>
          <w:kern w:val="0"/>
          <w:sz w:val="24"/>
          <w:szCs w:val="24"/>
        </w:rPr>
        <w:t>）</w:t>
      </w:r>
      <w:r>
        <w:rPr>
          <w:rFonts w:hint="eastAsia" w:ascii="微软雅黑" w:hAnsi="微软雅黑" w:eastAsia="微软雅黑" w:cs="微软雅黑"/>
          <w:color w:val="000000"/>
          <w:sz w:val="24"/>
          <w:szCs w:val="24"/>
        </w:rPr>
        <w:t>负责对申请贷款企业是否有违法、违规及行业失信等行为进行审查，对中小微企业增信基金运行情况进行监督，确保增信基金规范运行。</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第二条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联席会议主要职责</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（一）加强各成员单位之间的协调配合，审查在合作银行拟申请信用贷款的中小微企业是否有违法、违规及失信行为，并</w:t>
      </w:r>
      <w:r>
        <w:rPr>
          <w:rFonts w:hint="eastAsia" w:ascii="微软雅黑" w:hAnsi="微软雅黑" w:eastAsia="微软雅黑" w:cs="微软雅黑"/>
          <w:sz w:val="24"/>
          <w:szCs w:val="24"/>
        </w:rPr>
        <w:t>根据各自职责分工，制定具体政策措施和工作方案，为合作银行开展信用贷款提供重要参考依据。</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（二）持续跟进各类贷款企业的风险预判工作，对于贷后出现违法、行业违规及失信的企业要第一时间告知联席会议办公室和合作银行，做到风险早发现、早处置，将贷后风险控制在最小范围内。</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（三）</w:t>
      </w:r>
      <w:r>
        <w:rPr>
          <w:rFonts w:hint="eastAsia" w:ascii="微软雅黑" w:hAnsi="微软雅黑" w:eastAsia="微软雅黑" w:cs="微软雅黑"/>
          <w:sz w:val="24"/>
          <w:szCs w:val="24"/>
        </w:rPr>
        <w:t>为加快信用贷款的顺利推进，支持合作银行对我市中小微企业信用贷款的投放，各成员单位要依托各自系统内的数据，为合作银行对拟贷款企业的查询工作开通</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rPr>
        <w:t>绿色通道</w:t>
      </w:r>
      <w:r>
        <w:rPr>
          <w:rFonts w:hint="eastAsia" w:ascii="微软雅黑" w:hAnsi="微软雅黑" w:eastAsia="微软雅黑" w:cs="微软雅黑"/>
          <w:sz w:val="24"/>
          <w:szCs w:val="24"/>
        </w:rPr>
        <w:t>”</w:t>
      </w:r>
      <w:r>
        <w:rPr>
          <w:rFonts w:hint="eastAsia" w:ascii="微软雅黑" w:hAnsi="微软雅黑" w:eastAsia="微软雅黑" w:cs="微软雅黑"/>
          <w:sz w:val="24"/>
          <w:szCs w:val="24"/>
        </w:rPr>
        <w:t>。</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第三条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联席会议成员单位职责</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一）市发展和改革局：加强与全市银行机构的对接，筛选有开展业务能力的合作银行，推进信用贷款工作的组织、指导、协调、督查、评价；负责受理和初审合作银行提供的拟贷款企业名单和资料，通过市公共信用平台进行信用审核；召集其他成员单位对企业进行违法、违规及失信的审查和会签；定期对信用贷款情况进行通报。</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（二）市财政局：负责审查企业是否存在政府债务等情况。</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color w:val="000000"/>
          <w:sz w:val="24"/>
          <w:szCs w:val="24"/>
        </w:rPr>
      </w:pPr>
      <w:r>
        <w:rPr>
          <w:rFonts w:hint="eastAsia" w:ascii="微软雅黑" w:hAnsi="微软雅黑" w:eastAsia="微软雅黑" w:cs="微软雅黑"/>
          <w:kern w:val="0"/>
          <w:sz w:val="24"/>
          <w:szCs w:val="24"/>
        </w:rPr>
        <w:t>（三）市税务局：负责审查是否有涉</w:t>
      </w:r>
      <w:r>
        <w:rPr>
          <w:rFonts w:hint="eastAsia" w:ascii="微软雅黑" w:hAnsi="微软雅黑" w:eastAsia="微软雅黑" w:cs="微软雅黑"/>
          <w:color w:val="000000"/>
          <w:sz w:val="24"/>
          <w:szCs w:val="24"/>
        </w:rPr>
        <w:t>税违法行为及社保金缴纳情况。</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第四条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联席会议由市发展和改革局主要负责人召集，召集人因事不能召集时，可委托其他人员召集。</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第五条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联席会议原则上每季度召开一次，主要是通报前一季度的工作进展情况，协调解决工作推进中遇到的困难，如有重大事项变动等特殊情况时，可随时召开。</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第六条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联席会议组成人员因事不能到会时，可委托本单位其他负责人参加，需提前报联席会议办公室。</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第七条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联席会议各成员单位应在本单位指定一个内设科室作为联席会议联络部门，并指定一位科室负责人担任联席会议联络员。</w:t>
      </w:r>
    </w:p>
    <w:p>
      <w:pPr>
        <w:pageBreakBefore w:val="0"/>
        <w:widowControl w:val="0"/>
        <w:kinsoku/>
        <w:wordWrap/>
        <w:overflowPunct/>
        <w:topLinePunct w:val="0"/>
        <w:autoSpaceDE w:val="0"/>
        <w:autoSpaceDN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第八条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办公室设在市发展和改革局，由市发展和改革局分管负责人担任办公室主任。联席会议办公室负责提出联席会议主要议题、会议议程，组织会务，编写会议纪要，督办落实会议议定事项，协调解决有关问题；负责与联席会议成员单位做好联络工作；完成联席会议交办的其他事项。</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第九条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联席会议结束后，对会议议定事项以会议纪要形式印发，同时报市政府。各成员单位要按照职责分工，认真落实议定事项，有关情况要及时报联席会议办公室。</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第十条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根据会议研究事项的需要，联席会议可邀请各镇、滨海新区、经济开发区、城区街道、市直有关部门和单位、各驻乳机构负责人及有关人员列席。</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sz w:val="24"/>
          <w:szCs w:val="24"/>
        </w:rPr>
        <w:t>第十一条</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联席会议联络员在联席会议办公室统一协调下开展工作，负责承办联席会议议定的由本部门承担的工作，强化联席会议成员单位间的日常沟通，及时收集通报金融重要信息。</w:t>
      </w:r>
    </w:p>
    <w:p>
      <w:pPr>
        <w:pageBreakBefore w:val="0"/>
        <w:widowControl w:val="0"/>
        <w:tabs>
          <w:tab w:val="left" w:pos="6930"/>
        </w:tabs>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第十二条</w:t>
      </w:r>
      <w:r>
        <w:rPr>
          <w:rFonts w:hint="eastAsia" w:ascii="微软雅黑" w:hAnsi="微软雅黑" w:eastAsia="微软雅黑" w:cs="微软雅黑"/>
          <w:sz w:val="24"/>
          <w:szCs w:val="24"/>
        </w:rPr>
        <w:t xml:space="preserve"> </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联席会议实行重大信息报送制度，各成员单位要在影响基金正常运作的</w:t>
      </w:r>
      <w:r>
        <w:rPr>
          <w:rFonts w:hint="eastAsia" w:ascii="微软雅黑" w:hAnsi="微软雅黑" w:eastAsia="微软雅黑" w:cs="微软雅黑"/>
          <w:color w:val="000000"/>
          <w:kern w:val="0"/>
          <w:sz w:val="24"/>
          <w:szCs w:val="24"/>
        </w:rPr>
        <w:t>重大事件发生后</w:t>
      </w:r>
      <w:r>
        <w:rPr>
          <w:rFonts w:hint="eastAsia" w:ascii="微软雅黑" w:hAnsi="微软雅黑" w:eastAsia="微软雅黑" w:cs="微软雅黑"/>
          <w:color w:val="000000"/>
          <w:kern w:val="0"/>
          <w:sz w:val="24"/>
          <w:szCs w:val="24"/>
        </w:rPr>
        <w:t>3</w:t>
      </w:r>
      <w:r>
        <w:rPr>
          <w:rFonts w:hint="eastAsia" w:ascii="微软雅黑" w:hAnsi="微软雅黑" w:eastAsia="微软雅黑" w:cs="微软雅黑"/>
          <w:color w:val="000000"/>
          <w:kern w:val="0"/>
          <w:sz w:val="24"/>
          <w:szCs w:val="24"/>
        </w:rPr>
        <w:t>日内向联席会</w:t>
      </w:r>
      <w:r>
        <w:rPr>
          <w:rFonts w:hint="eastAsia" w:ascii="微软雅黑" w:hAnsi="微软雅黑" w:eastAsia="微软雅黑" w:cs="微软雅黑"/>
          <w:kern w:val="0"/>
          <w:sz w:val="24"/>
          <w:szCs w:val="24"/>
        </w:rPr>
        <w:t>议办公室报送情况，由联席会议办公室负责组织分析研判。</w:t>
      </w:r>
    </w:p>
    <w:p>
      <w:pPr>
        <w:pageBreakBefore w:val="0"/>
        <w:widowControl w:val="0"/>
        <w:tabs>
          <w:tab w:val="left" w:pos="0"/>
        </w:tabs>
        <w:kinsoku/>
        <w:wordWrap/>
        <w:overflowPunct/>
        <w:topLinePunct w:val="0"/>
        <w:bidi w:val="0"/>
        <w:adjustRightInd w:val="0"/>
        <w:snapToGrid w:val="0"/>
        <w:spacing w:line="420" w:lineRule="auto"/>
        <w:ind w:right="25" w:rightChars="12"/>
        <w:textAlignment w:val="auto"/>
        <w:rPr>
          <w:rFonts w:hint="eastAsia" w:ascii="微软雅黑" w:hAnsi="微软雅黑" w:eastAsia="微软雅黑" w:cs="微软雅黑"/>
          <w:sz w:val="24"/>
          <w:szCs w:val="24"/>
        </w:rPr>
      </w:pPr>
    </w:p>
    <w:p>
      <w:pPr>
        <w:pageBreakBefore w:val="0"/>
        <w:widowControl w:val="0"/>
        <w:tabs>
          <w:tab w:val="left" w:pos="0"/>
        </w:tabs>
        <w:kinsoku/>
        <w:wordWrap/>
        <w:overflowPunct/>
        <w:topLinePunct w:val="0"/>
        <w:bidi w:val="0"/>
        <w:adjustRightInd w:val="0"/>
        <w:snapToGrid w:val="0"/>
        <w:spacing w:line="420" w:lineRule="auto"/>
        <w:ind w:right="25" w:rightChars="12"/>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附件</w:t>
      </w:r>
      <w:r>
        <w:rPr>
          <w:rFonts w:hint="eastAsia" w:ascii="微软雅黑" w:hAnsi="微软雅黑" w:eastAsia="微软雅黑" w:cs="微软雅黑"/>
          <w:sz w:val="24"/>
          <w:szCs w:val="24"/>
        </w:rPr>
        <w:t>2</w:t>
      </w:r>
    </w:p>
    <w:p>
      <w:pPr>
        <w:pageBreakBefore w:val="0"/>
        <w:widowControl w:val="0"/>
        <w:tabs>
          <w:tab w:val="left" w:pos="0"/>
        </w:tabs>
        <w:kinsoku/>
        <w:wordWrap/>
        <w:overflowPunct/>
        <w:topLinePunct w:val="0"/>
        <w:bidi w:val="0"/>
        <w:adjustRightInd w:val="0"/>
        <w:snapToGrid w:val="0"/>
        <w:spacing w:line="420" w:lineRule="auto"/>
        <w:ind w:right="25" w:rightChars="12"/>
        <w:textAlignment w:val="auto"/>
        <w:rPr>
          <w:rFonts w:hint="eastAsia" w:ascii="微软雅黑" w:hAnsi="微软雅黑" w:eastAsia="微软雅黑" w:cs="微软雅黑"/>
          <w:sz w:val="24"/>
          <w:szCs w:val="24"/>
        </w:rPr>
      </w:pPr>
    </w:p>
    <w:p>
      <w:pPr>
        <w:pageBreakBefore w:val="0"/>
        <w:widowControl w:val="0"/>
        <w:tabs>
          <w:tab w:val="left" w:pos="0"/>
        </w:tabs>
        <w:kinsoku/>
        <w:wordWrap/>
        <w:overflowPunct/>
        <w:topLinePunct w:val="0"/>
        <w:bidi w:val="0"/>
        <w:adjustRightInd w:val="0"/>
        <w:snapToGrid w:val="0"/>
        <w:spacing w:line="420" w:lineRule="auto"/>
        <w:ind w:right="25" w:rightChars="12"/>
        <w:jc w:val="center"/>
        <w:textAlignment w:val="auto"/>
        <w:rPr>
          <w:rFonts w:hint="eastAsia" w:ascii="微软雅黑" w:hAnsi="微软雅黑" w:eastAsia="微软雅黑" w:cs="微软雅黑"/>
          <w:b/>
          <w:bCs/>
          <w:sz w:val="24"/>
          <w:szCs w:val="24"/>
        </w:rPr>
      </w:pPr>
      <w:r>
        <w:rPr>
          <w:rFonts w:hint="eastAsia" w:ascii="微软雅黑" w:hAnsi="微软雅黑" w:eastAsia="微软雅黑" w:cs="微软雅黑"/>
          <w:b/>
          <w:bCs/>
          <w:sz w:val="24"/>
          <w:szCs w:val="24"/>
        </w:rPr>
        <w:t>乳山市中小微企业增信基金联席会议组成人员名单</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召</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集</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人</w:t>
      </w:r>
      <w:r>
        <w:rPr>
          <w:rFonts w:hint="eastAsia" w:ascii="微软雅黑" w:hAnsi="微软雅黑" w:eastAsia="微软雅黑" w:cs="微软雅黑"/>
          <w:sz w:val="24"/>
          <w:szCs w:val="24"/>
        </w:rPr>
        <w:t>：徐忠波（市发展和改革局局长）</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成</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员</w:t>
      </w:r>
      <w:r>
        <w:rPr>
          <w:rFonts w:hint="eastAsia" w:ascii="微软雅黑" w:hAnsi="微软雅黑" w:eastAsia="微软雅黑" w:cs="微软雅黑"/>
          <w:sz w:val="24"/>
          <w:szCs w:val="24"/>
        </w:rPr>
        <w:t>：王龙峰（市财政局局长）</w:t>
      </w:r>
      <w:r>
        <w:rPr>
          <w:rFonts w:hint="eastAsia" w:ascii="微软雅黑" w:hAnsi="微软雅黑" w:eastAsia="微软雅黑" w:cs="微软雅黑"/>
          <w:sz w:val="24"/>
          <w:szCs w:val="24"/>
        </w:rPr>
        <w:t xml:space="preserve">        </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邵</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雷（市税务局局长）</w:t>
      </w:r>
      <w:r>
        <w:rPr>
          <w:rFonts w:hint="eastAsia" w:ascii="微软雅黑" w:hAnsi="微软雅黑" w:eastAsia="微软雅黑" w:cs="微软雅黑"/>
          <w:sz w:val="24"/>
          <w:szCs w:val="24"/>
        </w:rPr>
        <w:t xml:space="preserve">      </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lang w:val="en-US" w:eastAsia="zh-CN"/>
        </w:rPr>
        <w:t xml:space="preserve">  </w:t>
      </w:r>
      <w:r>
        <w:rPr>
          <w:rFonts w:hint="eastAsia" w:ascii="微软雅黑" w:hAnsi="微软雅黑" w:eastAsia="微软雅黑" w:cs="微软雅黑"/>
          <w:sz w:val="24"/>
          <w:szCs w:val="24"/>
        </w:rPr>
        <w:t>宋</w:t>
      </w:r>
      <w:r>
        <w:rPr>
          <w:rFonts w:hint="eastAsia" w:ascii="微软雅黑" w:hAnsi="微软雅黑" w:eastAsia="微软雅黑" w:cs="微软雅黑"/>
          <w:sz w:val="24"/>
          <w:szCs w:val="24"/>
        </w:rPr>
        <w:t xml:space="preserve">  </w:t>
      </w:r>
      <w:r>
        <w:rPr>
          <w:rFonts w:hint="eastAsia" w:ascii="微软雅黑" w:hAnsi="微软雅黑" w:eastAsia="微软雅黑" w:cs="微软雅黑"/>
          <w:sz w:val="24"/>
          <w:szCs w:val="24"/>
        </w:rPr>
        <w:t>晓（市发展和改革局党组成员、地方金融服务中心副主任）</w:t>
      </w:r>
      <w:r>
        <w:rPr>
          <w:rFonts w:hint="eastAsia" w:ascii="微软雅黑" w:hAnsi="微软雅黑" w:eastAsia="微软雅黑" w:cs="微软雅黑"/>
          <w:sz w:val="24"/>
          <w:szCs w:val="24"/>
        </w:rPr>
        <w:t xml:space="preserve">      </w:t>
      </w:r>
    </w:p>
    <w:p>
      <w:pPr>
        <w:pageBreakBefore w:val="0"/>
        <w:widowControl w:val="0"/>
        <w:kinsoku/>
        <w:wordWrap/>
        <w:overflowPunct/>
        <w:topLinePunct w:val="0"/>
        <w:bidi w:val="0"/>
        <w:adjustRightInd w:val="0"/>
        <w:snapToGrid w:val="0"/>
        <w:spacing w:line="420" w:lineRule="auto"/>
        <w:ind w:firstLine="480" w:firstLineChars="200"/>
        <w:textAlignment w:val="auto"/>
        <w:rPr>
          <w:rFonts w:hint="eastAsia" w:ascii="微软雅黑" w:hAnsi="微软雅黑" w:eastAsia="微软雅黑" w:cs="微软雅黑"/>
          <w:sz w:val="24"/>
          <w:szCs w:val="24"/>
        </w:rPr>
      </w:pPr>
      <w:r>
        <w:rPr>
          <w:rFonts w:hint="eastAsia" w:ascii="微软雅黑" w:hAnsi="微软雅黑" w:eastAsia="微软雅黑" w:cs="微软雅黑"/>
          <w:kern w:val="0"/>
          <w:sz w:val="24"/>
          <w:szCs w:val="24"/>
        </w:rPr>
        <w:t>联席会议办公室设在市</w:t>
      </w:r>
      <w:r>
        <w:rPr>
          <w:rFonts w:hint="eastAsia" w:ascii="微软雅黑" w:hAnsi="微软雅黑" w:eastAsia="微软雅黑" w:cs="微软雅黑"/>
          <w:sz w:val="24"/>
          <w:szCs w:val="24"/>
        </w:rPr>
        <w:t>发展和改革局</w:t>
      </w:r>
      <w:r>
        <w:rPr>
          <w:rFonts w:hint="eastAsia" w:ascii="微软雅黑" w:hAnsi="微软雅黑" w:eastAsia="微软雅黑" w:cs="微软雅黑"/>
          <w:kern w:val="0"/>
          <w:sz w:val="24"/>
          <w:szCs w:val="24"/>
        </w:rPr>
        <w:t>，宋晓同志担任办公室主任。</w:t>
      </w: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adjustRightInd w:val="0"/>
        <w:snapToGrid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Style w:val="2"/>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sz w:val="24"/>
          <w:szCs w:val="24"/>
        </w:rPr>
      </w:pPr>
    </w:p>
    <w:p>
      <w:pPr>
        <w:pageBreakBefore w:val="0"/>
        <w:widowControl w:val="0"/>
        <w:kinsoku/>
        <w:wordWrap/>
        <w:overflowPunct/>
        <w:topLinePunct w:val="0"/>
        <w:bidi w:val="0"/>
        <w:spacing w:line="420" w:lineRule="auto"/>
        <w:textAlignment w:val="auto"/>
        <w:rPr>
          <w:rFonts w:hint="eastAsia" w:ascii="微软雅黑" w:hAnsi="微软雅黑" w:eastAsia="微软雅黑" w:cs="微软雅黑"/>
          <w:color w:val="FF0000"/>
          <w:sz w:val="24"/>
          <w:szCs w:val="24"/>
        </w:rPr>
      </w:pPr>
    </w:p>
    <w:tbl>
      <w:tblPr>
        <w:tblStyle w:val="8"/>
        <w:tblW w:w="0" w:type="auto"/>
        <w:tblInd w:w="108" w:type="dxa"/>
        <w:tblBorders>
          <w:top w:val="single" w:color="auto" w:sz="8" w:space="0"/>
          <w:left w:val="none" w:color="auto" w:sz="0" w:space="0"/>
          <w:bottom w:val="single" w:color="auto" w:sz="8" w:space="0"/>
          <w:right w:val="none" w:color="auto" w:sz="0" w:space="0"/>
          <w:insideH w:val="single" w:color="auto" w:sz="4" w:space="0"/>
          <w:insideV w:val="single" w:color="auto" w:sz="4" w:space="0"/>
        </w:tblBorders>
        <w:tblLayout w:type="autofit"/>
        <w:tblCellMar>
          <w:top w:w="0" w:type="dxa"/>
          <w:left w:w="108" w:type="dxa"/>
          <w:bottom w:w="0" w:type="dxa"/>
          <w:right w:w="108" w:type="dxa"/>
        </w:tblCellMar>
      </w:tblPr>
      <w:tblGrid>
        <w:gridCol w:w="8952"/>
      </w:tblGrid>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52" w:type="dxa"/>
            <w:tcBorders>
              <w:top w:val="single" w:color="auto" w:sz="8" w:space="0"/>
            </w:tcBorders>
          </w:tcPr>
          <w:p>
            <w:pPr>
              <w:pageBreakBefore w:val="0"/>
              <w:widowControl w:val="0"/>
              <w:tabs>
                <w:tab w:val="left" w:pos="0"/>
              </w:tabs>
              <w:kinsoku/>
              <w:wordWrap/>
              <w:overflowPunct/>
              <w:topLinePunct w:val="0"/>
              <w:bidi w:val="0"/>
              <w:adjustRightInd w:val="0"/>
              <w:snapToGrid w:val="0"/>
              <w:spacing w:line="420" w:lineRule="auto"/>
              <w:ind w:right="25" w:rightChars="12" w:firstLine="120" w:firstLineChars="5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抄送：市委各部门，市人大常委会办公室，市政协办公室，市法院，</w:t>
            </w:r>
            <w:r>
              <w:rPr>
                <w:rFonts w:hint="eastAsia" w:ascii="微软雅黑" w:hAnsi="微软雅黑" w:eastAsia="微软雅黑" w:cs="微软雅黑"/>
                <w:kern w:val="0"/>
                <w:sz w:val="24"/>
                <w:szCs w:val="24"/>
              </w:rPr>
              <w:t xml:space="preserve"> </w:t>
            </w:r>
          </w:p>
          <w:p>
            <w:pPr>
              <w:pageBreakBefore w:val="0"/>
              <w:widowControl w:val="0"/>
              <w:kinsoku/>
              <w:wordWrap/>
              <w:overflowPunct/>
              <w:topLinePunct w:val="0"/>
              <w:bidi w:val="0"/>
              <w:adjustRightInd w:val="0"/>
              <w:snapToGrid w:val="0"/>
              <w:spacing w:afterLines="30" w:line="420" w:lineRule="auto"/>
              <w:ind w:right="28"/>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　　</w:t>
            </w:r>
            <w:r>
              <w:rPr>
                <w:rFonts w:hint="eastAsia" w:ascii="微软雅黑" w:hAnsi="微软雅黑" w:eastAsia="微软雅黑" w:cs="微软雅黑"/>
                <w:kern w:val="0"/>
                <w:sz w:val="24"/>
                <w:szCs w:val="24"/>
              </w:rPr>
              <w:t xml:space="preserve"> </w:t>
            </w:r>
            <w:r>
              <w:rPr>
                <w:rFonts w:hint="eastAsia" w:ascii="微软雅黑" w:hAnsi="微软雅黑" w:eastAsia="微软雅黑" w:cs="微软雅黑"/>
                <w:kern w:val="0"/>
                <w:sz w:val="24"/>
                <w:szCs w:val="24"/>
              </w:rPr>
              <w:t>市检察院，市人武部，威海市以上驻乳单位。</w:t>
            </w:r>
          </w:p>
        </w:tc>
      </w:tr>
      <w:tr>
        <w:tblPrEx>
          <w:tblBorders>
            <w:top w:val="single" w:color="auto" w:sz="8" w:space="0"/>
            <w:left w:val="none" w:color="auto" w:sz="0" w:space="0"/>
            <w:bottom w:val="single" w:color="auto" w:sz="8" w:space="0"/>
            <w:right w:val="none" w:color="auto" w:sz="0" w:space="0"/>
            <w:insideH w:val="single" w:color="auto" w:sz="4" w:space="0"/>
            <w:insideV w:val="single" w:color="auto" w:sz="4" w:space="0"/>
          </w:tblBorders>
          <w:tblCellMar>
            <w:top w:w="0" w:type="dxa"/>
            <w:left w:w="108" w:type="dxa"/>
            <w:bottom w:w="0" w:type="dxa"/>
            <w:right w:w="108" w:type="dxa"/>
          </w:tblCellMar>
        </w:tblPrEx>
        <w:tc>
          <w:tcPr>
            <w:tcW w:w="8952" w:type="dxa"/>
            <w:tcBorders>
              <w:bottom w:val="single" w:color="auto" w:sz="8" w:space="0"/>
            </w:tcBorders>
          </w:tcPr>
          <w:p>
            <w:pPr>
              <w:pageBreakBefore w:val="0"/>
              <w:widowControl w:val="0"/>
              <w:kinsoku/>
              <w:wordWrap/>
              <w:overflowPunct/>
              <w:topLinePunct w:val="0"/>
              <w:bidi w:val="0"/>
              <w:adjustRightInd w:val="0"/>
              <w:snapToGrid w:val="0"/>
              <w:spacing w:afterLines="30" w:line="420" w:lineRule="auto"/>
              <w:ind w:right="28" w:firstLine="120" w:firstLineChars="50"/>
              <w:textAlignment w:val="auto"/>
              <w:rPr>
                <w:rFonts w:hint="eastAsia" w:ascii="微软雅黑" w:hAnsi="微软雅黑" w:eastAsia="微软雅黑" w:cs="微软雅黑"/>
                <w:kern w:val="0"/>
                <w:sz w:val="24"/>
                <w:szCs w:val="24"/>
              </w:rPr>
            </w:pPr>
            <w:r>
              <w:rPr>
                <w:rFonts w:hint="eastAsia" w:ascii="微软雅黑" w:hAnsi="微软雅黑" w:eastAsia="微软雅黑" w:cs="微软雅黑"/>
                <w:kern w:val="0"/>
                <w:sz w:val="24"/>
                <w:szCs w:val="24"/>
              </w:rPr>
              <w:t>乳山市人民政府办公室</w:t>
            </w:r>
            <w:r>
              <w:rPr>
                <w:rFonts w:hint="eastAsia" w:ascii="微软雅黑" w:hAnsi="微软雅黑" w:eastAsia="微软雅黑" w:cs="微软雅黑"/>
                <w:kern w:val="0"/>
                <w:sz w:val="24"/>
                <w:szCs w:val="24"/>
              </w:rPr>
              <w:t xml:space="preserve">                      2021</w:t>
            </w:r>
            <w:r>
              <w:rPr>
                <w:rFonts w:hint="eastAsia" w:ascii="微软雅黑" w:hAnsi="微软雅黑" w:eastAsia="微软雅黑" w:cs="微软雅黑"/>
                <w:kern w:val="0"/>
                <w:sz w:val="24"/>
                <w:szCs w:val="24"/>
              </w:rPr>
              <w:t>年</w:t>
            </w:r>
            <w:r>
              <w:rPr>
                <w:rFonts w:hint="eastAsia" w:ascii="微软雅黑" w:hAnsi="微软雅黑" w:eastAsia="微软雅黑" w:cs="微软雅黑"/>
                <w:kern w:val="0"/>
                <w:sz w:val="24"/>
                <w:szCs w:val="24"/>
              </w:rPr>
              <w:t>6</w:t>
            </w:r>
            <w:r>
              <w:rPr>
                <w:rFonts w:hint="eastAsia" w:ascii="微软雅黑" w:hAnsi="微软雅黑" w:eastAsia="微软雅黑" w:cs="微软雅黑"/>
                <w:kern w:val="0"/>
                <w:sz w:val="24"/>
                <w:szCs w:val="24"/>
              </w:rPr>
              <w:t>月</w:t>
            </w:r>
            <w:r>
              <w:rPr>
                <w:rFonts w:hint="eastAsia" w:ascii="微软雅黑" w:hAnsi="微软雅黑" w:eastAsia="微软雅黑" w:cs="微软雅黑"/>
                <w:color w:val="000000"/>
                <w:kern w:val="0"/>
                <w:sz w:val="24"/>
                <w:szCs w:val="24"/>
              </w:rPr>
              <w:t>11</w:t>
            </w:r>
            <w:r>
              <w:rPr>
                <w:rFonts w:hint="eastAsia" w:ascii="微软雅黑" w:hAnsi="微软雅黑" w:eastAsia="微软雅黑" w:cs="微软雅黑"/>
                <w:kern w:val="0"/>
                <w:sz w:val="24"/>
                <w:szCs w:val="24"/>
              </w:rPr>
              <w:t>日印发</w:t>
            </w:r>
          </w:p>
        </w:tc>
      </w:tr>
    </w:tbl>
    <w:p>
      <w:pPr>
        <w:pageBreakBefore w:val="0"/>
        <w:widowControl w:val="0"/>
        <w:kinsoku/>
        <w:wordWrap/>
        <w:overflowPunct/>
        <w:topLinePunct w:val="0"/>
        <w:bidi w:val="0"/>
        <w:spacing w:line="420" w:lineRule="auto"/>
        <w:textAlignment w:val="auto"/>
        <w:rPr>
          <w:rFonts w:hint="eastAsia" w:ascii="微软雅黑" w:hAnsi="微软雅黑" w:eastAsia="微软雅黑" w:cs="微软雅黑"/>
          <w:color w:val="FF0000"/>
          <w:sz w:val="24"/>
          <w:szCs w:val="24"/>
        </w:rPr>
      </w:pPr>
    </w:p>
    <w:sectPr>
      <w:headerReference r:id="rId5" w:type="first"/>
      <w:headerReference r:id="rId3" w:type="default"/>
      <w:footerReference r:id="rId6" w:type="default"/>
      <w:headerReference r:id="rId4" w:type="even"/>
      <w:footerReference r:id="rId7" w:type="even"/>
      <w:pgSz w:w="11906" w:h="16838"/>
      <w:pgMar w:top="2098" w:right="1531" w:bottom="1985" w:left="1531" w:header="851" w:footer="1531" w:gutter="0"/>
      <w:cols w:space="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Standard Symbols P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Standard Symbols PS"/>
    <w:panose1 w:val="05050102010706020507"/>
    <w:charset w:val="02"/>
    <w:family w:val="roman"/>
    <w:pitch w:val="default"/>
    <w:sig w:usb0="00000000" w:usb1="00000000" w:usb2="00000000" w:usb3="00000000" w:csb0="80000000" w:csb1="00000000"/>
  </w:font>
  <w:font w:name="Calibri">
    <w:altName w:val="DejaVu Sans"/>
    <w:panose1 w:val="020F0502020204030204"/>
    <w:charset w:val="00"/>
    <w:family w:val="swiss"/>
    <w:pitch w:val="default"/>
    <w:sig w:usb0="00000000" w:usb1="00000000" w:usb2="00000001" w:usb3="00000000" w:csb0="0000019F" w:csb1="00000000"/>
  </w:font>
  <w:font w:name="仿宋_GB2312">
    <w:altName w:val="方正仿宋_GBK"/>
    <w:panose1 w:val="02010609030101010101"/>
    <w:charset w:val="86"/>
    <w:family w:val="modern"/>
    <w:pitch w:val="default"/>
    <w:sig w:usb0="00000000" w:usb1="00000000" w:usb2="00000010" w:usb3="00000000" w:csb0="00040000" w:csb1="00000000"/>
  </w:font>
  <w:font w:name="Courier">
    <w:altName w:val="Liberation Mono"/>
    <w:panose1 w:val="02070409020205020404"/>
    <w:charset w:val="00"/>
    <w:family w:val="modern"/>
    <w:pitch w:val="default"/>
    <w:sig w:usb0="00000000" w:usb1="00000000" w:usb2="00000000" w:usb3="00000000" w:csb0="00000001" w:csb1="00000000"/>
  </w:font>
  <w:font w:name="Verdana">
    <w:altName w:val="Ubuntu"/>
    <w:panose1 w:val="020B0604030504040204"/>
    <w:charset w:val="00"/>
    <w:family w:val="swiss"/>
    <w:pitch w:val="default"/>
    <w:sig w:usb0="00000000" w:usb1="00000000" w:usb2="00000010" w:usb3="00000000" w:csb0="0000019F" w:csb1="00000000"/>
  </w:font>
  <w:font w:name="方正小标宋简体">
    <w:panose1 w:val="02000000000000000000"/>
    <w:charset w:val="86"/>
    <w:family w:val="script"/>
    <w:pitch w:val="default"/>
    <w:sig w:usb0="A00002BF" w:usb1="184F6CFA" w:usb2="00000012" w:usb3="00000000" w:csb0="00040001" w:csb1="00000000"/>
  </w:font>
  <w:font w:name="楷体_GB2312">
    <w:altName w:val="方正楷体_GBK"/>
    <w:panose1 w:val="02010609030101010101"/>
    <w:charset w:val="86"/>
    <w:family w:val="modern"/>
    <w:pitch w:val="default"/>
    <w:sig w:usb0="00000000" w:usb1="00000000" w:usb2="00000010" w:usb3="00000000" w:csb0="00040000" w:csb1="00000000"/>
  </w:font>
  <w:font w:name="方正书宋_GBK">
    <w:panose1 w:val="02000000000000000000"/>
    <w:charset w:val="86"/>
    <w:family w:val="auto"/>
    <w:pitch w:val="default"/>
    <w:sig w:usb0="A00002BF" w:usb1="38CF7CFA" w:usb2="00082016" w:usb3="00000000" w:csb0="00040001" w:csb1="00000000"/>
  </w:font>
  <w:font w:name="DejaVu Sans">
    <w:panose1 w:val="020B0603030804020204"/>
    <w:charset w:val="00"/>
    <w:family w:val="auto"/>
    <w:pitch w:val="default"/>
    <w:sig w:usb0="E7006EFF" w:usb1="D200FDFF" w:usb2="0A246029" w:usb3="0400200C" w:csb0="600001FF" w:csb1="DFFF0000"/>
  </w:font>
  <w:font w:name="方正仿宋_GBK">
    <w:panose1 w:val="02000000000000000000"/>
    <w:charset w:val="86"/>
    <w:family w:val="auto"/>
    <w:pitch w:val="default"/>
    <w:sig w:usb0="A00002BF" w:usb1="38CF7CFA" w:usb2="00082016" w:usb3="00000000" w:csb0="00040001" w:csb1="00000000"/>
  </w:font>
  <w:font w:name="方正黑体_GBK">
    <w:panose1 w:val="02000000000000000000"/>
    <w:charset w:val="86"/>
    <w:family w:val="auto"/>
    <w:pitch w:val="default"/>
    <w:sig w:usb0="A00002BF" w:usb1="38CF7CFA" w:usb2="00082016" w:usb3="00000000" w:csb0="00040001" w:csb1="00000000"/>
  </w:font>
  <w:font w:name="Ubuntu">
    <w:panose1 w:val="020B0604030602030204"/>
    <w:charset w:val="00"/>
    <w:family w:val="auto"/>
    <w:pitch w:val="default"/>
    <w:sig w:usb0="E00002FF" w:usb1="5000205B" w:usb2="00000000" w:usb3="00000000" w:csb0="2000009F" w:csb1="56010000"/>
  </w:font>
  <w:font w:name="Standard Symbols PS">
    <w:panose1 w:val="05050102010706020507"/>
    <w:charset w:val="00"/>
    <w:family w:val="auto"/>
    <w:pitch w:val="default"/>
    <w:sig w:usb0="00000003" w:usb1="00000000" w:usb2="00000000" w:usb3="00000000" w:csb0="00000001" w:csb1="00000000"/>
  </w:font>
  <w:font w:name="Liberation Mono">
    <w:panose1 w:val="02070409020205020404"/>
    <w:charset w:val="00"/>
    <w:family w:val="auto"/>
    <w:pitch w:val="default"/>
    <w:sig w:usb0="A00002AF" w:usb1="400078FB" w:usb2="00000000" w:usb3="00000000" w:csb0="6000009F" w:csb1="DFD70000"/>
  </w:font>
  <w:font w:name="方正楷体_GBK">
    <w:panose1 w:val="02000000000000000000"/>
    <w:charset w:val="86"/>
    <w:family w:val="auto"/>
    <w:pitch w:val="default"/>
    <w:sig w:usb0="A00002BF" w:usb1="38CF7CFA" w:usb2="00082016" w:usb3="00000000" w:csb0="00040001" w:csb1="00000000"/>
  </w:font>
  <w:font w:name="微软雅黑">
    <w:altName w:val="方正黑体_GBK"/>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ind w:left="315" w:leftChars="150" w:right="315" w:rightChars="150"/>
      <w:rPr>
        <w:rStyle w:val="11"/>
        <w:rFonts w:ascii="宋体"/>
        <w:sz w:val="28"/>
        <w:szCs w:val="28"/>
      </w:rPr>
    </w:pPr>
    <w:r>
      <w:rPr>
        <w:rStyle w:val="11"/>
        <w:rFonts w:ascii="宋体" w:hAnsi="宋体"/>
        <w:sz w:val="28"/>
        <w:szCs w:val="28"/>
      </w:rPr>
      <w:t xml:space="preserve">— </w:t>
    </w:r>
    <w:r>
      <w:rPr>
        <w:rStyle w:val="11"/>
        <w:rFonts w:ascii="宋体" w:hAnsi="宋体"/>
        <w:sz w:val="28"/>
        <w:szCs w:val="28"/>
      </w:rPr>
      <w:fldChar w:fldCharType="begin"/>
    </w:r>
    <w:r>
      <w:rPr>
        <w:rStyle w:val="11"/>
        <w:rFonts w:ascii="宋体" w:hAnsi="宋体"/>
        <w:sz w:val="28"/>
        <w:szCs w:val="28"/>
      </w:rPr>
      <w:instrText xml:space="preserve">PAGE  </w:instrText>
    </w:r>
    <w:r>
      <w:rPr>
        <w:rStyle w:val="11"/>
        <w:rFonts w:ascii="宋体" w:hAnsi="宋体"/>
        <w:sz w:val="28"/>
        <w:szCs w:val="28"/>
      </w:rPr>
      <w:fldChar w:fldCharType="separate"/>
    </w:r>
    <w:r>
      <w:rPr>
        <w:rStyle w:val="11"/>
        <w:rFonts w:ascii="宋体" w:hAnsi="宋体"/>
        <w:sz w:val="28"/>
        <w:szCs w:val="28"/>
      </w:rPr>
      <w:t>1</w:t>
    </w:r>
    <w:r>
      <w:rPr>
        <w:rStyle w:val="11"/>
        <w:rFonts w:ascii="宋体" w:hAnsi="宋体"/>
        <w:sz w:val="28"/>
        <w:szCs w:val="28"/>
      </w:rPr>
      <w:fldChar w:fldCharType="end"/>
    </w:r>
    <w:r>
      <w:rPr>
        <w:rStyle w:val="11"/>
        <w:rFonts w:ascii="宋体" w:hAnsi="宋体"/>
        <w:sz w:val="28"/>
        <w:szCs w:val="28"/>
      </w:rPr>
      <w:t xml:space="preserve"> —</w:t>
    </w:r>
  </w:p>
  <w:p>
    <w:pPr>
      <w:pStyle w:val="5"/>
      <w:ind w:right="360" w:firstLine="360"/>
      <w:rPr>
        <w:rFonts w:cs="Times New Roman"/>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framePr w:wrap="around" w:vAnchor="text" w:hAnchor="margin" w:xAlign="outside" w:y="1"/>
      <w:rPr>
        <w:rStyle w:val="11"/>
      </w:rPr>
    </w:pPr>
    <w:r>
      <w:rPr>
        <w:rStyle w:val="11"/>
      </w:rPr>
      <w:fldChar w:fldCharType="begin"/>
    </w:r>
    <w:r>
      <w:rPr>
        <w:rStyle w:val="11"/>
      </w:rPr>
      <w:instrText xml:space="preserve">PAGE  </w:instrText>
    </w:r>
    <w:r>
      <w:rPr>
        <w:rStyle w:val="11"/>
      </w:rPr>
      <w:fldChar w:fldCharType="end"/>
    </w:r>
  </w:p>
  <w:p>
    <w:pPr>
      <w:pStyle w:val="5"/>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Bdr>
        <w:top w:val="none" w:color="auto" w:sz="0" w:space="0"/>
        <w:left w:val="none" w:color="auto" w:sz="0" w:space="0"/>
        <w:bottom w:val="none" w:color="auto" w:sz="0" w:space="0"/>
        <w:right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true"/>
  <w:bordersDoNotSurroundFooter w:val="true"/>
  <w:documentProtection w:enforcement="0"/>
  <w:defaultTabStop w:val="420"/>
  <w:doNotHyphenateCaps/>
  <w:drawingGridVerticalSpacing w:val="156"/>
  <w:noPunctuationKerning w:val="true"/>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AltKinsokuLineBreakRules/>
    <w:underlineTabInNumLis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145102AE"/>
    <w:rsid w:val="00032079"/>
    <w:rsid w:val="00046C97"/>
    <w:rsid w:val="0007443A"/>
    <w:rsid w:val="000B6860"/>
    <w:rsid w:val="000D3DE0"/>
    <w:rsid w:val="00130E73"/>
    <w:rsid w:val="001555A2"/>
    <w:rsid w:val="0027442E"/>
    <w:rsid w:val="00277627"/>
    <w:rsid w:val="00286658"/>
    <w:rsid w:val="00292BAF"/>
    <w:rsid w:val="0030670A"/>
    <w:rsid w:val="0032282A"/>
    <w:rsid w:val="003407BC"/>
    <w:rsid w:val="00384CEE"/>
    <w:rsid w:val="00393DDD"/>
    <w:rsid w:val="00394785"/>
    <w:rsid w:val="003E07E4"/>
    <w:rsid w:val="00403F62"/>
    <w:rsid w:val="00432432"/>
    <w:rsid w:val="00456862"/>
    <w:rsid w:val="004722D2"/>
    <w:rsid w:val="004A178C"/>
    <w:rsid w:val="004A64E7"/>
    <w:rsid w:val="0051565F"/>
    <w:rsid w:val="005345A4"/>
    <w:rsid w:val="00551D7C"/>
    <w:rsid w:val="00580DE6"/>
    <w:rsid w:val="005A7DBF"/>
    <w:rsid w:val="005D3C6B"/>
    <w:rsid w:val="005E0555"/>
    <w:rsid w:val="005E5165"/>
    <w:rsid w:val="00633FDD"/>
    <w:rsid w:val="00650036"/>
    <w:rsid w:val="00715A6F"/>
    <w:rsid w:val="007349B4"/>
    <w:rsid w:val="007565D3"/>
    <w:rsid w:val="00797148"/>
    <w:rsid w:val="007E1B73"/>
    <w:rsid w:val="007E5613"/>
    <w:rsid w:val="008236DA"/>
    <w:rsid w:val="00872779"/>
    <w:rsid w:val="00887E09"/>
    <w:rsid w:val="00932FE4"/>
    <w:rsid w:val="00984EE5"/>
    <w:rsid w:val="009C38B3"/>
    <w:rsid w:val="009D104A"/>
    <w:rsid w:val="009D6180"/>
    <w:rsid w:val="00A0752E"/>
    <w:rsid w:val="00A51FD5"/>
    <w:rsid w:val="00AC4C5F"/>
    <w:rsid w:val="00AC614E"/>
    <w:rsid w:val="00AD4C37"/>
    <w:rsid w:val="00B461F1"/>
    <w:rsid w:val="00B70DE5"/>
    <w:rsid w:val="00B86921"/>
    <w:rsid w:val="00C0305F"/>
    <w:rsid w:val="00C03CF4"/>
    <w:rsid w:val="00C63208"/>
    <w:rsid w:val="00CC2AEE"/>
    <w:rsid w:val="00D76436"/>
    <w:rsid w:val="00DD683A"/>
    <w:rsid w:val="00DE5129"/>
    <w:rsid w:val="00E34DD3"/>
    <w:rsid w:val="00E86634"/>
    <w:rsid w:val="00ED3901"/>
    <w:rsid w:val="00F83BAE"/>
    <w:rsid w:val="00FB59FF"/>
    <w:rsid w:val="00FD2A71"/>
    <w:rsid w:val="00FD60FC"/>
    <w:rsid w:val="00FF1EF4"/>
    <w:rsid w:val="00FF579F"/>
    <w:rsid w:val="0171486D"/>
    <w:rsid w:val="026B5499"/>
    <w:rsid w:val="03232577"/>
    <w:rsid w:val="03782EF4"/>
    <w:rsid w:val="03AB4AE1"/>
    <w:rsid w:val="04E539A0"/>
    <w:rsid w:val="04FA2F58"/>
    <w:rsid w:val="051E3A3C"/>
    <w:rsid w:val="061A15E0"/>
    <w:rsid w:val="079B78FF"/>
    <w:rsid w:val="09F33915"/>
    <w:rsid w:val="0A161D6B"/>
    <w:rsid w:val="0A384C5F"/>
    <w:rsid w:val="0AB073BE"/>
    <w:rsid w:val="0C632FE7"/>
    <w:rsid w:val="0D14685B"/>
    <w:rsid w:val="0D154634"/>
    <w:rsid w:val="0DBD2383"/>
    <w:rsid w:val="0E927BCD"/>
    <w:rsid w:val="0EF02776"/>
    <w:rsid w:val="0F147868"/>
    <w:rsid w:val="11583DA4"/>
    <w:rsid w:val="11CB6B19"/>
    <w:rsid w:val="12962192"/>
    <w:rsid w:val="13C721BB"/>
    <w:rsid w:val="13CF4090"/>
    <w:rsid w:val="145102AE"/>
    <w:rsid w:val="146B45FA"/>
    <w:rsid w:val="1646709B"/>
    <w:rsid w:val="16480FB7"/>
    <w:rsid w:val="17B507F9"/>
    <w:rsid w:val="1826753C"/>
    <w:rsid w:val="1BF91FDF"/>
    <w:rsid w:val="1EC3494D"/>
    <w:rsid w:val="1F4B21D5"/>
    <w:rsid w:val="1F7101D0"/>
    <w:rsid w:val="22B15E6B"/>
    <w:rsid w:val="22DD4A43"/>
    <w:rsid w:val="245A7F37"/>
    <w:rsid w:val="25540588"/>
    <w:rsid w:val="276C66A4"/>
    <w:rsid w:val="286A4712"/>
    <w:rsid w:val="296326F7"/>
    <w:rsid w:val="29AC4B15"/>
    <w:rsid w:val="29AF690C"/>
    <w:rsid w:val="2C9D3E2F"/>
    <w:rsid w:val="2CDF4A3C"/>
    <w:rsid w:val="2D48610C"/>
    <w:rsid w:val="2E6577B7"/>
    <w:rsid w:val="2F055B86"/>
    <w:rsid w:val="2F766CF8"/>
    <w:rsid w:val="31710688"/>
    <w:rsid w:val="31BC4E23"/>
    <w:rsid w:val="31DB292B"/>
    <w:rsid w:val="32B00222"/>
    <w:rsid w:val="34311A2B"/>
    <w:rsid w:val="343C7FEB"/>
    <w:rsid w:val="34935E86"/>
    <w:rsid w:val="35D37350"/>
    <w:rsid w:val="35F72B10"/>
    <w:rsid w:val="365B3795"/>
    <w:rsid w:val="36635643"/>
    <w:rsid w:val="370D3A75"/>
    <w:rsid w:val="38DA1D70"/>
    <w:rsid w:val="38DE5E2D"/>
    <w:rsid w:val="394E7B8D"/>
    <w:rsid w:val="39903B87"/>
    <w:rsid w:val="39B6668E"/>
    <w:rsid w:val="3D517F40"/>
    <w:rsid w:val="3DDD07E6"/>
    <w:rsid w:val="3E824677"/>
    <w:rsid w:val="3EBA5142"/>
    <w:rsid w:val="40993864"/>
    <w:rsid w:val="40E859E8"/>
    <w:rsid w:val="415C17E9"/>
    <w:rsid w:val="4253339B"/>
    <w:rsid w:val="44BA1452"/>
    <w:rsid w:val="44C64FF5"/>
    <w:rsid w:val="452E15D5"/>
    <w:rsid w:val="46B277CE"/>
    <w:rsid w:val="47BF595D"/>
    <w:rsid w:val="47BF5BEE"/>
    <w:rsid w:val="4AB11AB4"/>
    <w:rsid w:val="4C7823A0"/>
    <w:rsid w:val="4CBA0519"/>
    <w:rsid w:val="4CC63CA0"/>
    <w:rsid w:val="4D0C6767"/>
    <w:rsid w:val="4E37535E"/>
    <w:rsid w:val="4F333A3B"/>
    <w:rsid w:val="4FBA6B9A"/>
    <w:rsid w:val="503D41F5"/>
    <w:rsid w:val="50ED013A"/>
    <w:rsid w:val="518B0C47"/>
    <w:rsid w:val="53201BD8"/>
    <w:rsid w:val="53584073"/>
    <w:rsid w:val="54C92AB2"/>
    <w:rsid w:val="550E4AFA"/>
    <w:rsid w:val="578454A7"/>
    <w:rsid w:val="58700C56"/>
    <w:rsid w:val="58F81E99"/>
    <w:rsid w:val="59526504"/>
    <w:rsid w:val="59F20E24"/>
    <w:rsid w:val="5A491469"/>
    <w:rsid w:val="5A72066F"/>
    <w:rsid w:val="5BB22EBE"/>
    <w:rsid w:val="5BB663A0"/>
    <w:rsid w:val="5C766C3B"/>
    <w:rsid w:val="5CEA749F"/>
    <w:rsid w:val="5E7FA4D9"/>
    <w:rsid w:val="5F504F12"/>
    <w:rsid w:val="5FD546E2"/>
    <w:rsid w:val="5FF1305E"/>
    <w:rsid w:val="604F0504"/>
    <w:rsid w:val="610D7BC2"/>
    <w:rsid w:val="62887B93"/>
    <w:rsid w:val="6302054B"/>
    <w:rsid w:val="63B62E0A"/>
    <w:rsid w:val="63CD1391"/>
    <w:rsid w:val="65C761C8"/>
    <w:rsid w:val="65DB2BC9"/>
    <w:rsid w:val="65EC172C"/>
    <w:rsid w:val="66B939B3"/>
    <w:rsid w:val="68013F74"/>
    <w:rsid w:val="6837721A"/>
    <w:rsid w:val="68776701"/>
    <w:rsid w:val="68DE2694"/>
    <w:rsid w:val="69710600"/>
    <w:rsid w:val="6BBD2991"/>
    <w:rsid w:val="6BC268E0"/>
    <w:rsid w:val="6BCF0096"/>
    <w:rsid w:val="6D18110D"/>
    <w:rsid w:val="6DB05FB3"/>
    <w:rsid w:val="6DEF92AA"/>
    <w:rsid w:val="6FDE1C55"/>
    <w:rsid w:val="71B44B4F"/>
    <w:rsid w:val="72421EED"/>
    <w:rsid w:val="72DC0297"/>
    <w:rsid w:val="73263AA2"/>
    <w:rsid w:val="746B0AFA"/>
    <w:rsid w:val="748E13B6"/>
    <w:rsid w:val="74D15B2C"/>
    <w:rsid w:val="75CE2E79"/>
    <w:rsid w:val="75D919E5"/>
    <w:rsid w:val="769E0CF2"/>
    <w:rsid w:val="77B03A8A"/>
    <w:rsid w:val="77C91E3B"/>
    <w:rsid w:val="789D0CB5"/>
    <w:rsid w:val="78A3523B"/>
    <w:rsid w:val="79725597"/>
    <w:rsid w:val="7A0D4DD6"/>
    <w:rsid w:val="7A141175"/>
    <w:rsid w:val="7B1C36FE"/>
    <w:rsid w:val="7B40293D"/>
    <w:rsid w:val="7BAA7C74"/>
    <w:rsid w:val="7BC0654C"/>
    <w:rsid w:val="7C5C4460"/>
    <w:rsid w:val="7C8A30AB"/>
    <w:rsid w:val="7EF863C5"/>
    <w:rsid w:val="7FF80F3C"/>
    <w:rsid w:val="B5D76CFB"/>
    <w:rsid w:val="FF86743D"/>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nhideWhenUsed="0" w:uiPriority="0" w:semiHidden="0" w:name="toc 1" w:locked="1"/>
    <w:lsdException w:unhideWhenUsed="0" w:uiPriority="0" w:semiHidden="0" w:name="toc 2" w:locked="1"/>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uiPriority="99" w:name="footnote text"/>
    <w:lsdException w:uiPriority="99" w:name="annotation text"/>
    <w:lsdException w:qFormat="1" w:unhideWhenUsed="0" w:uiPriority="99"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qFormat="1" w:unhideWhenUsed="0" w:uiPriority="99" w:name="Default Paragraph Font"/>
    <w:lsdException w:qFormat="1" w:unhideWhenUsed="0" w:uiPriority="99" w:semiHidden="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qFormat="1" w:unhideWhenUsed="0" w:uiPriority="99" w:semiHidden="0" w:name="Block Text"/>
    <w:lsdException w:uiPriority="99" w:name="Hyperlink"/>
    <w:lsdException w:uiPriority="99" w:name="FollowedHyperlink"/>
    <w:lsdException w:qFormat="1" w:unhideWhenUsed="0" w:uiPriority="99" w:semiHidden="0" w:name="Strong" w:locked="1"/>
    <w:lsdException w:qFormat="1" w:unhideWhenUsed="0" w:uiPriority="0" w:semiHidden="0" w:name="Emphasis" w:locked="1"/>
    <w:lsdException w:uiPriority="99" w:name="Document Map"/>
    <w:lsdException w:uiPriority="99"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Calibri"/>
      <w:kern w:val="2"/>
      <w:sz w:val="21"/>
      <w:szCs w:val="21"/>
      <w:lang w:val="en-US" w:eastAsia="zh-CN" w:bidi="ar-SA"/>
    </w:rPr>
  </w:style>
  <w:style w:type="paragraph" w:styleId="2">
    <w:name w:val="heading 1"/>
    <w:basedOn w:val="1"/>
    <w:next w:val="1"/>
    <w:link w:val="12"/>
    <w:qFormat/>
    <w:locked/>
    <w:uiPriority w:val="99"/>
    <w:pPr>
      <w:keepNext/>
      <w:keepLines/>
      <w:spacing w:before="340" w:after="330" w:line="578" w:lineRule="auto"/>
      <w:outlineLvl w:val="0"/>
    </w:pPr>
    <w:rPr>
      <w:rFonts w:cs="Times New Roman"/>
      <w:b/>
      <w:bCs/>
      <w:kern w:val="44"/>
      <w:sz w:val="44"/>
      <w:szCs w:val="44"/>
    </w:rPr>
  </w:style>
  <w:style w:type="character" w:default="1" w:styleId="9">
    <w:name w:val="Default Paragraph Font"/>
    <w:semiHidden/>
    <w:qFormat/>
    <w:uiPriority w:val="99"/>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3">
    <w:name w:val="Body Text"/>
    <w:basedOn w:val="1"/>
    <w:link w:val="13"/>
    <w:qFormat/>
    <w:uiPriority w:val="99"/>
    <w:pPr>
      <w:adjustRightInd w:val="0"/>
      <w:snapToGrid w:val="0"/>
      <w:spacing w:line="560" w:lineRule="exact"/>
      <w:ind w:firstLine="872" w:firstLineChars="200"/>
    </w:pPr>
    <w:rPr>
      <w:rFonts w:ascii="Times New Roman" w:hAnsi="Times New Roman"/>
    </w:rPr>
  </w:style>
  <w:style w:type="paragraph" w:styleId="4">
    <w:name w:val="Block Text"/>
    <w:basedOn w:val="1"/>
    <w:qFormat/>
    <w:uiPriority w:val="99"/>
    <w:pPr>
      <w:ind w:left="1289" w:leftChars="101" w:right="320" w:rightChars="100" w:hanging="966" w:hangingChars="483"/>
    </w:pPr>
    <w:rPr>
      <w:rFonts w:ascii="Times New Roman" w:hAnsi="Times New Roman" w:eastAsia="仿宋_GB2312" w:cs="Courier"/>
      <w:sz w:val="32"/>
      <w:szCs w:val="24"/>
    </w:rPr>
  </w:style>
  <w:style w:type="paragraph" w:styleId="5">
    <w:name w:val="footer"/>
    <w:basedOn w:val="1"/>
    <w:link w:val="14"/>
    <w:qFormat/>
    <w:uiPriority w:val="99"/>
    <w:pPr>
      <w:tabs>
        <w:tab w:val="center" w:pos="4153"/>
        <w:tab w:val="right" w:pos="8306"/>
      </w:tabs>
      <w:snapToGrid w:val="0"/>
      <w:jc w:val="left"/>
    </w:pPr>
    <w:rPr>
      <w:sz w:val="18"/>
      <w:szCs w:val="18"/>
    </w:rPr>
  </w:style>
  <w:style w:type="paragraph" w:styleId="6">
    <w:name w:val="header"/>
    <w:basedOn w:val="1"/>
    <w:link w:val="15"/>
    <w:semiHidden/>
    <w:qFormat/>
    <w:uiPriority w:val="99"/>
    <w:pPr>
      <w:pBdr>
        <w:top w:val="none" w:color="auto" w:sz="0" w:space="1"/>
        <w:left w:val="none" w:color="auto" w:sz="0" w:space="4"/>
        <w:bottom w:val="none" w:color="auto" w:sz="0" w:space="1"/>
        <w:right w:val="none" w:color="auto" w:sz="0" w:space="4"/>
      </w:pBdr>
      <w:tabs>
        <w:tab w:val="center" w:pos="4153"/>
        <w:tab w:val="right" w:pos="8306"/>
      </w:tabs>
      <w:snapToGrid w:val="0"/>
    </w:pPr>
    <w:rPr>
      <w:sz w:val="18"/>
    </w:rPr>
  </w:style>
  <w:style w:type="paragraph" w:styleId="7">
    <w:name w:val="Normal (Web)"/>
    <w:basedOn w:val="1"/>
    <w:qFormat/>
    <w:uiPriority w:val="99"/>
    <w:pPr>
      <w:spacing w:before="100" w:beforeAutospacing="1" w:after="100" w:afterAutospacing="1"/>
      <w:jc w:val="left"/>
    </w:pPr>
    <w:rPr>
      <w:rFonts w:cs="Times New Roman"/>
      <w:kern w:val="0"/>
      <w:sz w:val="24"/>
      <w:szCs w:val="24"/>
    </w:rPr>
  </w:style>
  <w:style w:type="character" w:styleId="10">
    <w:name w:val="Strong"/>
    <w:basedOn w:val="9"/>
    <w:qFormat/>
    <w:locked/>
    <w:uiPriority w:val="99"/>
    <w:rPr>
      <w:rFonts w:cs="Times New Roman"/>
      <w:b/>
    </w:rPr>
  </w:style>
  <w:style w:type="character" w:styleId="11">
    <w:name w:val="page number"/>
    <w:basedOn w:val="9"/>
    <w:qFormat/>
    <w:uiPriority w:val="99"/>
    <w:rPr>
      <w:rFonts w:cs="Times New Roman"/>
    </w:rPr>
  </w:style>
  <w:style w:type="character" w:customStyle="1" w:styleId="12">
    <w:name w:val="Heading 1 Char"/>
    <w:basedOn w:val="9"/>
    <w:link w:val="2"/>
    <w:qFormat/>
    <w:locked/>
    <w:uiPriority w:val="99"/>
    <w:rPr>
      <w:rFonts w:ascii="Calibri" w:hAnsi="Calibri" w:cs="Calibri"/>
      <w:b/>
      <w:bCs/>
      <w:kern w:val="44"/>
      <w:sz w:val="44"/>
      <w:szCs w:val="44"/>
    </w:rPr>
  </w:style>
  <w:style w:type="character" w:customStyle="1" w:styleId="13">
    <w:name w:val="Body Text Char"/>
    <w:basedOn w:val="9"/>
    <w:link w:val="3"/>
    <w:semiHidden/>
    <w:qFormat/>
    <w:locked/>
    <w:uiPriority w:val="99"/>
    <w:rPr>
      <w:rFonts w:ascii="Calibri" w:hAnsi="Calibri" w:cs="Calibri"/>
      <w:sz w:val="21"/>
      <w:szCs w:val="21"/>
    </w:rPr>
  </w:style>
  <w:style w:type="character" w:customStyle="1" w:styleId="14">
    <w:name w:val="Footer Char"/>
    <w:basedOn w:val="9"/>
    <w:link w:val="5"/>
    <w:semiHidden/>
    <w:qFormat/>
    <w:locked/>
    <w:uiPriority w:val="99"/>
    <w:rPr>
      <w:rFonts w:cs="Calibri"/>
      <w:sz w:val="18"/>
      <w:szCs w:val="18"/>
    </w:rPr>
  </w:style>
  <w:style w:type="character" w:customStyle="1" w:styleId="15">
    <w:name w:val="Header Char"/>
    <w:basedOn w:val="9"/>
    <w:link w:val="6"/>
    <w:semiHidden/>
    <w:qFormat/>
    <w:locked/>
    <w:uiPriority w:val="99"/>
    <w:rPr>
      <w:rFonts w:ascii="Calibri" w:hAnsi="Calibri" w:cs="Calibri"/>
      <w:sz w:val="18"/>
      <w:szCs w:val="18"/>
    </w:rPr>
  </w:style>
  <w:style w:type="paragraph" w:customStyle="1" w:styleId="16">
    <w:name w:val="Char Char Char Char"/>
    <w:basedOn w:val="1"/>
    <w:qFormat/>
    <w:uiPriority w:val="99"/>
    <w:pPr>
      <w:widowControl/>
      <w:spacing w:after="160" w:line="240" w:lineRule="exact"/>
      <w:jc w:val="left"/>
    </w:pPr>
    <w:rPr>
      <w:rFonts w:ascii="Verdana" w:hAnsi="Verdana" w:cs="Times New Roman"/>
      <w:kern w:val="0"/>
      <w:sz w:val="24"/>
      <w:szCs w:val="20"/>
      <w:lang w:eastAsia="en-US"/>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theme" Target="theme/theme1.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true">
          <a:gsLst>
            <a:gs pos="0">
              <a:schemeClr val="phClr">
                <a:tint val="50000"/>
                <a:satMod val="300000"/>
              </a:schemeClr>
            </a:gs>
            <a:gs pos="35000">
              <a:schemeClr val="phClr">
                <a:tint val="37000"/>
                <a:satMod val="300000"/>
              </a:schemeClr>
            </a:gs>
            <a:gs pos="100000">
              <a:schemeClr val="phClr">
                <a:tint val="15000"/>
                <a:satMod val="350000"/>
              </a:schemeClr>
            </a:gs>
          </a:gsLst>
          <a:lin ang="16200000" scaled="true"/>
        </a:gradFill>
        <a:gradFill rotWithShape="true">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false"/>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true">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true">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Template>
  <Company>MC SYSTEM</Company>
  <Pages>10</Pages>
  <Words>567</Words>
  <Characters>3232</Characters>
  <Lines>0</Lines>
  <Paragraphs>0</Paragraphs>
  <TotalTime>26</TotalTime>
  <ScaleCrop>false</ScaleCrop>
  <LinksUpToDate>false</LinksUpToDate>
  <CharactersWithSpaces>0</CharactersWithSpaces>
  <Application>WPS Office_11.8.2.10386_F1E327BC-269C-435d-A152-05C5408002CA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2021-06-11T16:39:00Z</dcterms:created>
  <dc:creator>苍茫的天涯</dc:creator>
  <cp:lastModifiedBy>user</cp:lastModifiedBy>
  <cp:lastPrinted>2021-06-11T13:38:00Z</cp:lastPrinted>
  <dcterms:modified xsi:type="dcterms:W3CDTF">2022-11-22T09:43:57Z</dcterms:modified>
  <dc:title>乳山市人民政府办公室文件</dc:title>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2052-11.8.2.10386</vt:lpwstr>
  </property>
</Properties>
</file>