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C7231D">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山东省第</w:t>
      </w:r>
      <w:r>
        <w:rPr>
          <w:rFonts w:hint="eastAsia" w:ascii="方正小标宋简体" w:hAnsi="方正小标宋简体" w:eastAsia="方正小标宋简体" w:cs="方正小标宋简体"/>
          <w:sz w:val="44"/>
          <w:szCs w:val="44"/>
          <w:lang w:eastAsia="zh-CN"/>
        </w:rPr>
        <w:t>三</w:t>
      </w:r>
      <w:r>
        <w:rPr>
          <w:rFonts w:hint="eastAsia" w:ascii="方正小标宋简体" w:hAnsi="方正小标宋简体" w:eastAsia="方正小标宋简体" w:cs="方正小标宋简体"/>
          <w:sz w:val="44"/>
          <w:szCs w:val="44"/>
        </w:rPr>
        <w:t>生态环境保护督察组交办信访件整改销号公示表</w:t>
      </w:r>
    </w:p>
    <w:p w14:paraId="71222DBE">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default" w:ascii="方正小标宋简体" w:hAnsi="方正小标宋简体" w:eastAsia="方正小标宋简体" w:cs="方正小标宋简体"/>
          <w:sz w:val="44"/>
          <w:szCs w:val="44"/>
          <w:lang w:val="en-US"/>
        </w:rPr>
        <w:t>5</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月）</w:t>
      </w:r>
      <w:bookmarkStart w:id="0" w:name="_GoBack"/>
      <w:bookmarkEnd w:id="0"/>
    </w:p>
    <w:p w14:paraId="51505337">
      <w:pPr>
        <w:rPr>
          <w:rFonts w:hint="eastAsia"/>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1245"/>
        <w:gridCol w:w="3645"/>
        <w:gridCol w:w="4140"/>
        <w:gridCol w:w="2535"/>
        <w:gridCol w:w="1589"/>
      </w:tblGrid>
      <w:tr w14:paraId="0CCD8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1020" w:type="dxa"/>
            <w:vAlign w:val="center"/>
          </w:tcPr>
          <w:p w14:paraId="5D8B6420">
            <w:pPr>
              <w:keepNext w:val="0"/>
              <w:keepLines w:val="0"/>
              <w:widowControl/>
              <w:suppressLineNumbers w:val="0"/>
              <w:jc w:val="center"/>
              <w:textAlignment w:val="center"/>
              <w:rPr>
                <w:rFonts w:hint="eastAsia"/>
                <w:sz w:val="32"/>
                <w:szCs w:val="32"/>
                <w:vertAlign w:val="baseline"/>
              </w:rPr>
            </w:pPr>
            <w:r>
              <w:rPr>
                <w:rFonts w:hint="eastAsia" w:ascii="黑体" w:hAnsi="宋体" w:eastAsia="黑体" w:cs="黑体"/>
                <w:i w:val="0"/>
                <w:color w:val="000000"/>
                <w:kern w:val="0"/>
                <w:sz w:val="32"/>
                <w:szCs w:val="32"/>
                <w:u w:val="none"/>
                <w:lang w:val="en-US" w:eastAsia="zh-CN" w:bidi="ar"/>
              </w:rPr>
              <w:t>序号</w:t>
            </w:r>
          </w:p>
        </w:tc>
        <w:tc>
          <w:tcPr>
            <w:tcW w:w="1245" w:type="dxa"/>
            <w:vAlign w:val="center"/>
          </w:tcPr>
          <w:p w14:paraId="5F25C733">
            <w:pPr>
              <w:keepNext w:val="0"/>
              <w:keepLines w:val="0"/>
              <w:widowControl/>
              <w:suppressLineNumbers w:val="0"/>
              <w:jc w:val="center"/>
              <w:textAlignment w:val="center"/>
              <w:rPr>
                <w:rFonts w:hint="eastAsia"/>
                <w:sz w:val="32"/>
                <w:szCs w:val="32"/>
                <w:vertAlign w:val="baseline"/>
              </w:rPr>
            </w:pPr>
            <w:r>
              <w:rPr>
                <w:rFonts w:hint="eastAsia" w:ascii="黑体" w:hAnsi="宋体" w:eastAsia="黑体" w:cs="黑体"/>
                <w:i w:val="0"/>
                <w:color w:val="000000"/>
                <w:kern w:val="0"/>
                <w:sz w:val="32"/>
                <w:szCs w:val="32"/>
                <w:u w:val="none"/>
                <w:lang w:val="en-US" w:eastAsia="zh-CN" w:bidi="ar"/>
              </w:rPr>
              <w:t>批次</w:t>
            </w:r>
          </w:p>
        </w:tc>
        <w:tc>
          <w:tcPr>
            <w:tcW w:w="3645" w:type="dxa"/>
            <w:vAlign w:val="center"/>
          </w:tcPr>
          <w:p w14:paraId="16891AD8">
            <w:pPr>
              <w:keepNext w:val="0"/>
              <w:keepLines w:val="0"/>
              <w:widowControl/>
              <w:suppressLineNumbers w:val="0"/>
              <w:jc w:val="center"/>
              <w:textAlignment w:val="center"/>
              <w:rPr>
                <w:rFonts w:hint="eastAsia"/>
                <w:sz w:val="32"/>
                <w:szCs w:val="32"/>
                <w:vertAlign w:val="baseline"/>
              </w:rPr>
            </w:pPr>
            <w:r>
              <w:rPr>
                <w:rFonts w:hint="eastAsia" w:ascii="黑体" w:hAnsi="宋体" w:eastAsia="黑体" w:cs="黑体"/>
                <w:i w:val="0"/>
                <w:color w:val="000000"/>
                <w:kern w:val="0"/>
                <w:sz w:val="32"/>
                <w:szCs w:val="32"/>
                <w:u w:val="none"/>
                <w:lang w:val="en-US" w:eastAsia="zh-CN" w:bidi="ar"/>
              </w:rPr>
              <w:t>举报内容</w:t>
            </w:r>
          </w:p>
        </w:tc>
        <w:tc>
          <w:tcPr>
            <w:tcW w:w="4140" w:type="dxa"/>
            <w:vAlign w:val="center"/>
          </w:tcPr>
          <w:p w14:paraId="5D24FC09">
            <w:pPr>
              <w:keepNext w:val="0"/>
              <w:keepLines w:val="0"/>
              <w:widowControl/>
              <w:suppressLineNumbers w:val="0"/>
              <w:jc w:val="center"/>
              <w:textAlignment w:val="center"/>
              <w:rPr>
                <w:rFonts w:hint="eastAsia"/>
                <w:sz w:val="32"/>
                <w:szCs w:val="32"/>
                <w:vertAlign w:val="baseline"/>
              </w:rPr>
            </w:pPr>
            <w:r>
              <w:rPr>
                <w:rFonts w:hint="eastAsia" w:ascii="黑体" w:hAnsi="宋体" w:eastAsia="黑体" w:cs="黑体"/>
                <w:i w:val="0"/>
                <w:color w:val="000000"/>
                <w:kern w:val="0"/>
                <w:sz w:val="32"/>
                <w:szCs w:val="32"/>
                <w:u w:val="none"/>
                <w:lang w:val="en-US" w:eastAsia="zh-CN" w:bidi="ar"/>
              </w:rPr>
              <w:t>办理过程</w:t>
            </w:r>
          </w:p>
        </w:tc>
        <w:tc>
          <w:tcPr>
            <w:tcW w:w="2535" w:type="dxa"/>
            <w:vAlign w:val="center"/>
          </w:tcPr>
          <w:p w14:paraId="6E3B648B">
            <w:pPr>
              <w:keepNext w:val="0"/>
              <w:keepLines w:val="0"/>
              <w:widowControl/>
              <w:suppressLineNumbers w:val="0"/>
              <w:jc w:val="center"/>
              <w:textAlignment w:val="center"/>
              <w:rPr>
                <w:rFonts w:hint="eastAsia"/>
                <w:sz w:val="32"/>
                <w:szCs w:val="32"/>
                <w:vertAlign w:val="baseline"/>
              </w:rPr>
            </w:pPr>
            <w:r>
              <w:rPr>
                <w:rFonts w:hint="eastAsia" w:ascii="黑体" w:hAnsi="宋体" w:eastAsia="黑体" w:cs="黑体"/>
                <w:i w:val="0"/>
                <w:color w:val="000000"/>
                <w:kern w:val="0"/>
                <w:sz w:val="32"/>
                <w:szCs w:val="32"/>
                <w:u w:val="none"/>
                <w:lang w:val="en-US" w:eastAsia="zh-CN" w:bidi="ar"/>
              </w:rPr>
              <w:t>整改措施</w:t>
            </w:r>
          </w:p>
        </w:tc>
        <w:tc>
          <w:tcPr>
            <w:tcW w:w="1589" w:type="dxa"/>
            <w:vAlign w:val="center"/>
          </w:tcPr>
          <w:p w14:paraId="7778CD71">
            <w:pPr>
              <w:keepNext w:val="0"/>
              <w:keepLines w:val="0"/>
              <w:widowControl/>
              <w:suppressLineNumbers w:val="0"/>
              <w:jc w:val="center"/>
              <w:textAlignment w:val="center"/>
              <w:rPr>
                <w:rFonts w:hint="eastAsia"/>
                <w:sz w:val="32"/>
                <w:szCs w:val="32"/>
                <w:vertAlign w:val="baseline"/>
              </w:rPr>
            </w:pPr>
            <w:r>
              <w:rPr>
                <w:rFonts w:hint="eastAsia" w:ascii="黑体" w:hAnsi="宋体" w:eastAsia="黑体" w:cs="黑体"/>
                <w:i w:val="0"/>
                <w:color w:val="000000"/>
                <w:kern w:val="0"/>
                <w:sz w:val="32"/>
                <w:szCs w:val="32"/>
                <w:u w:val="none"/>
                <w:lang w:val="en-US" w:eastAsia="zh-CN" w:bidi="ar"/>
              </w:rPr>
              <w:t>整改进展</w:t>
            </w:r>
          </w:p>
        </w:tc>
      </w:tr>
      <w:tr w14:paraId="061B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1020" w:type="dxa"/>
            <w:vAlign w:val="center"/>
          </w:tcPr>
          <w:p w14:paraId="19F7A4F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color w:val="000000"/>
                <w:kern w:val="0"/>
                <w:sz w:val="24"/>
                <w:szCs w:val="24"/>
                <w:u w:val="none"/>
                <w:lang w:val="en-US" w:eastAsia="zh-CN" w:bidi="ar"/>
              </w:rPr>
              <w:t>1</w:t>
            </w:r>
          </w:p>
        </w:tc>
        <w:tc>
          <w:tcPr>
            <w:tcW w:w="1245" w:type="dxa"/>
            <w:vAlign w:val="center"/>
          </w:tcPr>
          <w:p w14:paraId="7AD4F9F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D3WH20240428011</w:t>
            </w:r>
          </w:p>
        </w:tc>
        <w:tc>
          <w:tcPr>
            <w:tcW w:w="3645" w:type="dxa"/>
            <w:vAlign w:val="center"/>
          </w:tcPr>
          <w:p w14:paraId="6897AC3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乳山市乳山口镇康家村后面上游的云星生物公司向外排污，污染河水，导致河水有异味。</w:t>
            </w:r>
          </w:p>
        </w:tc>
        <w:tc>
          <w:tcPr>
            <w:tcW w:w="4140" w:type="dxa"/>
            <w:vAlign w:val="center"/>
          </w:tcPr>
          <w:p w14:paraId="05C9194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一）关于反映乳山口镇康家村后面上游的云星生物公司向外排污，污染河水问题。经查，反映问题部分属实。反映的云星生物公司实为威海云星生物科技有限公司，位于乳山市城区惠州路2-1号，从事保健食品生产，主要产品为液体钙软胶囊、VE软胶囊等保健品，生产工艺为配料、搅拌、压丸、湿法制粒、加热烘干、压片和胶囊填充等。在设备清洗时产生少量清洗废水，清洗废水经过隔油池处理后通过市政污水管网排入污水处理厂，厂区员工生活污水经过化粪池处理后通过市政污水管网排入污水处理厂。2023年5月26日，企业委托第三方检测机构对污水总排口进行检测，检测结果显示pH值、化学需氧量、氨氮分别为7.0（标准限值为6.5-9.5）、406mg/L（标准限值为500mg/L）、43.6mg/L（标准限值为45mg/L），所测项目检测结果符合《污水排入城镇下水道水质标准》（GB/T31962-2015）表1B标准要求。2024年4月29日现场勘查时，发现厂区北侧厂界外地面部分区域有少量水外渗，排查为企业与市政污水管网之间的排水管道出现渗漏。现场对渗水进行了取样检测，pH值、化学需氧量、氨氮分别为7.8、206mg/L、8.45mg/L。因该处外渗的水量很小且距康家村河较远（直线距离最近约1.89公里），不具备流入康家村河的条件。</w:t>
            </w:r>
          </w:p>
          <w:p w14:paraId="4E5059D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二）关于反映云星生物公司向外排污导致河水有异味问题。经查，反映问题部分属实。反映的河流位于康家村北侧，经现场了解，相关部门反映前期惠州路与广州路交叉口处出现污水管溢流口破损连通到雨水管情况，导致部分污水经雨水管进入康家村河，非云星生物公司导致。乳山市住建局已于4月11日完成管道维修封堵。经乳山市住建局取样监测，河水化学需氧量、氨氮、pH分别为681mg/L、6.3mg/L、7.97，化学需氧量、氨氮浓度均超过《地表水环境质量标准（GB3838-2002）》V类标准限值（标准值分别为40mg/L、2.0mg/L），pH值达标。乳山市住建局已对污水进行拦截，安排罐车将河道污水转运至污水处理厂处置，并对河道进行处置，已于4月29日完成，转运水量约1312.1方。</w:t>
            </w:r>
          </w:p>
        </w:tc>
        <w:tc>
          <w:tcPr>
            <w:tcW w:w="2535" w:type="dxa"/>
            <w:vAlign w:val="center"/>
          </w:tcPr>
          <w:p w14:paraId="189234F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1.责成经济开发区负责，督导企业对老旧水泥质排水管道进行更换，于5月10日前完成整改。</w:t>
            </w:r>
          </w:p>
          <w:p w14:paraId="21B057E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2.责成威海市生态环境局乳山分局、经济开发区负责，进一步加强对该公司日常监管，督促企业落实环境保护主体责任，加强管理，做到规范生产。</w:t>
            </w:r>
          </w:p>
          <w:p w14:paraId="163CE466">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3.责成市住建局、威海市生态环境局负责，常态化做好雨污管网及沿线企业排污情况的巡查检查，避免出现雨污混流情况，一旦发现企业违法排污情况，依法依规严肃处置。</w:t>
            </w:r>
          </w:p>
        </w:tc>
        <w:tc>
          <w:tcPr>
            <w:tcW w:w="1589" w:type="dxa"/>
            <w:vAlign w:val="center"/>
          </w:tcPr>
          <w:p w14:paraId="045C8786">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已完成</w:t>
            </w:r>
          </w:p>
        </w:tc>
      </w:tr>
    </w:tbl>
    <w:p w14:paraId="0CC9B626">
      <w:pPr>
        <w:rPr>
          <w:rFonts w:hint="eastAsia"/>
        </w:rPr>
      </w:pPr>
    </w:p>
    <w:sectPr>
      <w:pgSz w:w="16838" w:h="11906" w:orient="landscape"/>
      <w:pgMar w:top="1800" w:right="1440" w:bottom="1531"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23298"/>
    <w:rsid w:val="0B7937E8"/>
    <w:rsid w:val="2CE23298"/>
    <w:rsid w:val="6717E3DF"/>
    <w:rsid w:val="7DFE7353"/>
    <w:rsid w:val="BD8E410A"/>
    <w:rsid w:val="D9F742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潮州市直及下属单位</Company>
  <Pages>3</Pages>
  <Words>0</Words>
  <Characters>0</Characters>
  <Lines>0</Lines>
  <Paragraphs>0</Paragraphs>
  <TotalTime>8</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2021-07-23T14:56:00Z</dcterms:created>
  <dc:creator>刺客</dc:creator>
  <cp:lastModifiedBy>user</cp:lastModifiedBy>
  <dcterms:modified xsi:type="dcterms:W3CDTF">2025-05-08T14:45:07Z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A31B2B72243C45D7A5A480FF6C1F1F8B</vt:lpwstr>
  </property>
</Properties>
</file>