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09F6BD">
      <w:pPr>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RSDR-2022-02</w:t>
      </w:r>
      <w:r>
        <w:rPr>
          <w:rFonts w:hint="eastAsia" w:ascii="Times New Roman" w:hAnsi="Times New Roman" w:eastAsia="黑体" w:cs="Times New Roman"/>
          <w:color w:val="auto"/>
          <w:sz w:val="32"/>
          <w:szCs w:val="32"/>
          <w:lang w:val="en-US" w:eastAsia="zh-CN"/>
        </w:rPr>
        <w:t>5</w:t>
      </w:r>
      <w:r>
        <w:rPr>
          <w:rFonts w:hint="default" w:ascii="Times New Roman" w:hAnsi="Times New Roman" w:eastAsia="黑体" w:cs="Times New Roman"/>
          <w:color w:val="auto"/>
          <w:sz w:val="32"/>
          <w:szCs w:val="32"/>
        </w:rPr>
        <w:t>0001</w:t>
      </w:r>
    </w:p>
    <w:p w14:paraId="4D156612">
      <w:pPr>
        <w:spacing w:line="560" w:lineRule="exact"/>
        <w:rPr>
          <w:rFonts w:hint="eastAsia" w:ascii="仿宋_GB2312" w:eastAsia="仿宋_GB2312" w:cs="仿宋_GB2312"/>
          <w:szCs w:val="21"/>
        </w:rPr>
      </w:pPr>
    </w:p>
    <w:p w14:paraId="6C1A6BD8">
      <w:pPr>
        <w:adjustRightInd w:val="0"/>
        <w:snapToGrid w:val="0"/>
        <w:spacing w:line="560" w:lineRule="exact"/>
        <w:jc w:val="center"/>
        <w:rPr>
          <w:rFonts w:hint="eastAsia" w:ascii="方正小标宋简体" w:eastAsia="方正小标宋简体"/>
          <w:color w:val="000000"/>
          <w:kern w:val="0"/>
          <w:sz w:val="44"/>
          <w:szCs w:val="36"/>
        </w:rPr>
      </w:pPr>
      <w:r>
        <w:rPr>
          <w:rFonts w:hint="eastAsia" w:ascii="方正小标宋简体" w:eastAsia="方正小标宋简体"/>
          <w:color w:val="000000"/>
          <w:kern w:val="0"/>
          <w:sz w:val="44"/>
          <w:szCs w:val="36"/>
        </w:rPr>
        <w:t>乳山市市场监督管理局</w:t>
      </w:r>
    </w:p>
    <w:p w14:paraId="08416706">
      <w:pPr>
        <w:spacing w:line="560" w:lineRule="exact"/>
        <w:jc w:val="center"/>
        <w:rPr>
          <w:rFonts w:hint="eastAsia" w:eastAsia="方正小标宋简体"/>
          <w:bCs/>
          <w:kern w:val="0"/>
          <w:sz w:val="44"/>
          <w:szCs w:val="44"/>
        </w:rPr>
      </w:pPr>
      <w:r>
        <w:rPr>
          <w:rFonts w:hint="eastAsia" w:eastAsia="方正小标宋简体"/>
          <w:bCs/>
          <w:kern w:val="0"/>
          <w:sz w:val="44"/>
          <w:szCs w:val="44"/>
        </w:rPr>
        <w:t>关于印发《乳山市地理标志证明商标及专用</w:t>
      </w:r>
    </w:p>
    <w:p w14:paraId="555D947B">
      <w:pPr>
        <w:spacing w:line="560" w:lineRule="exact"/>
        <w:jc w:val="center"/>
        <w:rPr>
          <w:rFonts w:hint="eastAsia" w:eastAsia="方正小标宋简体"/>
          <w:bCs/>
          <w:kern w:val="0"/>
          <w:sz w:val="44"/>
          <w:szCs w:val="44"/>
        </w:rPr>
      </w:pPr>
      <w:r>
        <w:rPr>
          <w:rFonts w:hint="eastAsia" w:eastAsia="方正小标宋简体"/>
          <w:bCs/>
          <w:kern w:val="0"/>
          <w:sz w:val="44"/>
          <w:szCs w:val="44"/>
        </w:rPr>
        <w:t>标志使用管理办法》的通知</w:t>
      </w:r>
    </w:p>
    <w:p w14:paraId="5A9ECCAA">
      <w:pPr>
        <w:pStyle w:val="2"/>
        <w:spacing w:line="560" w:lineRule="exact"/>
        <w:ind w:left="0" w:leftChars="0" w:firstLine="0" w:firstLineChars="0"/>
        <w:jc w:val="center"/>
        <w:rPr>
          <w:rFonts w:hint="eastAsia"/>
        </w:rPr>
      </w:pPr>
      <w:r>
        <w:rPr>
          <w:rFonts w:hint="eastAsia" w:ascii="仿宋_GB2312" w:eastAsia="仿宋_GB2312" w:cs="仿宋_GB2312"/>
          <w:sz w:val="32"/>
          <w:lang w:bidi="ar"/>
        </w:rPr>
        <w:t>乳市监字</w:t>
      </w:r>
      <w:r>
        <w:rPr>
          <w:rFonts w:hint="eastAsia" w:eastAsia="仿宋_GB2312" w:cs="仿宋_GB2312"/>
          <w:sz w:val="32"/>
          <w:lang w:bidi="ar"/>
        </w:rPr>
        <w:t>〔</w:t>
      </w:r>
      <w:r>
        <w:rPr>
          <w:rFonts w:hint="eastAsia" w:eastAsia="仿宋_GB2312"/>
          <w:sz w:val="32"/>
          <w:lang w:bidi="ar"/>
        </w:rPr>
        <w:t>2022</w:t>
      </w:r>
      <w:r>
        <w:rPr>
          <w:rFonts w:hint="eastAsia" w:eastAsia="仿宋_GB2312" w:cs="仿宋_GB2312"/>
          <w:sz w:val="32"/>
          <w:lang w:bidi="ar"/>
        </w:rPr>
        <w:t>〕3</w:t>
      </w:r>
      <w:r>
        <w:rPr>
          <w:rFonts w:hint="eastAsia" w:eastAsia="仿宋_GB2312" w:cs="仿宋_GB2312"/>
          <w:sz w:val="32"/>
          <w:lang w:val="en-US" w:eastAsia="zh-CN" w:bidi="ar"/>
        </w:rPr>
        <w:t>4</w:t>
      </w:r>
      <w:r>
        <w:rPr>
          <w:rFonts w:hint="eastAsia" w:ascii="仿宋_GB2312" w:eastAsia="仿宋_GB2312" w:cs="仿宋_GB2312"/>
          <w:sz w:val="32"/>
          <w:lang w:bidi="ar"/>
        </w:rPr>
        <w:t>号</w:t>
      </w:r>
    </w:p>
    <w:p w14:paraId="5C9397E1">
      <w:pPr>
        <w:spacing w:line="560" w:lineRule="exact"/>
        <w:rPr>
          <w:rFonts w:hint="eastAsia" w:ascii="仿宋_GB2312" w:hAnsi="仿宋_GB2312" w:eastAsia="仿宋_GB2312" w:cs="仿宋_GB2312"/>
          <w:sz w:val="32"/>
          <w:szCs w:val="32"/>
        </w:rPr>
      </w:pPr>
    </w:p>
    <w:p w14:paraId="580BBAC6">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各地标权利人、各相关市场主体：</w:t>
      </w:r>
    </w:p>
    <w:p w14:paraId="2CC801F0">
      <w:pPr>
        <w:pStyle w:val="10"/>
        <w:spacing w:line="560" w:lineRule="exact"/>
        <w:ind w:firstLine="42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rPr>
        <w:t>乳山市市场监督管理局印发《乳山市地理标志证明商标及专用标志使用管理办法》，现发给各单位，请各单位知悉</w:t>
      </w:r>
      <w:r>
        <w:rPr>
          <w:rFonts w:hint="eastAsia" w:ascii="仿宋_GB2312" w:hAnsi="仿宋_GB2312" w:eastAsia="仿宋_GB2312" w:cs="仿宋_GB2312"/>
          <w:sz w:val="32"/>
          <w:szCs w:val="32"/>
        </w:rPr>
        <w:t>。</w:t>
      </w:r>
    </w:p>
    <w:p w14:paraId="5B80EF22">
      <w:pPr>
        <w:pStyle w:val="10"/>
        <w:spacing w:line="560" w:lineRule="exact"/>
        <w:ind w:firstLine="42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附件：乳山市地理标志证明商标及专用标志使用管理办法</w:t>
      </w:r>
    </w:p>
    <w:p w14:paraId="2A2D6605">
      <w:pPr>
        <w:pStyle w:val="10"/>
        <w:spacing w:line="560" w:lineRule="exact"/>
        <w:ind w:firstLine="420"/>
        <w:rPr>
          <w:rFonts w:hint="eastAsia" w:ascii="仿宋_GB2312" w:hAnsi="仿宋_GB2312" w:eastAsia="仿宋_GB2312" w:cs="仿宋_GB2312"/>
          <w:sz w:val="32"/>
          <w:szCs w:val="32"/>
        </w:rPr>
      </w:pPr>
    </w:p>
    <w:p w14:paraId="713A1E80">
      <w:pPr>
        <w:spacing w:line="56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乳山市市场监督管理局            </w:t>
      </w:r>
    </w:p>
    <w:p w14:paraId="05FBB593">
      <w:pPr>
        <w:spacing w:line="560" w:lineRule="exact"/>
        <w:ind w:firstLine="630"/>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kern w:val="0"/>
          <w:sz w:val="32"/>
          <w:szCs w:val="32"/>
        </w:rPr>
        <w:t xml:space="preserve"> 　</w:t>
      </w:r>
      <w:r>
        <w:rPr>
          <w:rFonts w:eastAsia="仿宋_GB2312"/>
          <w:kern w:val="0"/>
          <w:sz w:val="32"/>
          <w:szCs w:val="32"/>
        </w:rPr>
        <w:t>2022</w:t>
      </w:r>
      <w:r>
        <w:rPr>
          <w:rFonts w:hint="eastAsia" w:ascii="仿宋_GB2312" w:hAnsi="仿宋_GB2312" w:eastAsia="仿宋_GB2312" w:cs="仿宋_GB2312"/>
          <w:kern w:val="0"/>
          <w:sz w:val="32"/>
          <w:szCs w:val="32"/>
        </w:rPr>
        <w:t>年</w:t>
      </w:r>
      <w:r>
        <w:rPr>
          <w:rFonts w:eastAsia="仿宋_GB2312"/>
          <w:kern w:val="0"/>
          <w:sz w:val="32"/>
          <w:szCs w:val="32"/>
        </w:rPr>
        <w:t>6</w:t>
      </w:r>
      <w:r>
        <w:rPr>
          <w:rFonts w:hint="eastAsia" w:ascii="仿宋_GB2312" w:hAnsi="仿宋_GB2312" w:eastAsia="仿宋_GB2312" w:cs="仿宋_GB2312"/>
          <w:kern w:val="0"/>
          <w:sz w:val="32"/>
          <w:szCs w:val="32"/>
        </w:rPr>
        <w:t>月</w:t>
      </w:r>
      <w:r>
        <w:rPr>
          <w:rFonts w:eastAsia="仿宋_GB2312"/>
          <w:kern w:val="0"/>
          <w:sz w:val="32"/>
          <w:szCs w:val="32"/>
        </w:rPr>
        <w:t>1</w:t>
      </w:r>
      <w:r>
        <w:rPr>
          <w:rFonts w:hint="eastAsia" w:eastAsia="仿宋_GB2312"/>
          <w:kern w:val="0"/>
          <w:sz w:val="32"/>
          <w:szCs w:val="32"/>
        </w:rPr>
        <w:t>6</w:t>
      </w:r>
      <w:r>
        <w:rPr>
          <w:rFonts w:hint="eastAsia" w:ascii="仿宋_GB2312" w:hAnsi="仿宋_GB2312" w:eastAsia="仿宋_GB2312" w:cs="仿宋_GB2312"/>
          <w:kern w:val="0"/>
          <w:sz w:val="32"/>
          <w:szCs w:val="32"/>
        </w:rPr>
        <w:t>日</w:t>
      </w:r>
    </w:p>
    <w:p w14:paraId="1E24B5E4">
      <w:pPr>
        <w:pStyle w:val="2"/>
        <w:rPr>
          <w:rFonts w:hint="eastAsia" w:ascii="仿宋_GB2312" w:hAnsi="仿宋_GB2312" w:eastAsia="仿宋_GB2312" w:cs="仿宋_GB2312"/>
          <w:kern w:val="0"/>
          <w:sz w:val="32"/>
          <w:szCs w:val="32"/>
        </w:rPr>
      </w:pPr>
    </w:p>
    <w:p w14:paraId="0FFBAFD9">
      <w:pPr>
        <w:pStyle w:val="2"/>
        <w:rPr>
          <w:rFonts w:hint="eastAsia" w:ascii="仿宋_GB2312" w:hAnsi="仿宋_GB2312" w:eastAsia="仿宋_GB2312" w:cs="仿宋_GB2312"/>
          <w:kern w:val="0"/>
          <w:sz w:val="32"/>
          <w:szCs w:val="32"/>
        </w:rPr>
      </w:pPr>
    </w:p>
    <w:p w14:paraId="69C8662E">
      <w:pPr>
        <w:pStyle w:val="2"/>
        <w:rPr>
          <w:rFonts w:hint="eastAsia" w:ascii="仿宋_GB2312" w:hAnsi="仿宋_GB2312" w:eastAsia="仿宋_GB2312" w:cs="仿宋_GB2312"/>
          <w:kern w:val="0"/>
          <w:sz w:val="32"/>
          <w:szCs w:val="32"/>
        </w:rPr>
      </w:pPr>
    </w:p>
    <w:p w14:paraId="4810B206">
      <w:pPr>
        <w:pStyle w:val="2"/>
        <w:rPr>
          <w:rFonts w:hint="eastAsia" w:ascii="仿宋_GB2312" w:hAnsi="仿宋_GB2312" w:eastAsia="仿宋_GB2312" w:cs="仿宋_GB2312"/>
          <w:kern w:val="0"/>
          <w:sz w:val="32"/>
          <w:szCs w:val="32"/>
        </w:rPr>
      </w:pPr>
    </w:p>
    <w:p w14:paraId="7A4B694C">
      <w:pPr>
        <w:pStyle w:val="2"/>
        <w:rPr>
          <w:rFonts w:hint="eastAsia" w:ascii="仿宋_GB2312" w:hAnsi="仿宋_GB2312" w:eastAsia="仿宋_GB2312" w:cs="仿宋_GB2312"/>
          <w:kern w:val="0"/>
          <w:sz w:val="32"/>
          <w:szCs w:val="32"/>
        </w:rPr>
      </w:pPr>
    </w:p>
    <w:p w14:paraId="31D482ED">
      <w:pPr>
        <w:pStyle w:val="2"/>
        <w:ind w:left="0" w:leftChars="0" w:firstLine="0" w:firstLineChars="0"/>
        <w:rPr>
          <w:rFonts w:hint="eastAsia" w:ascii="仿宋_GB2312" w:hAnsi="仿宋_GB2312" w:eastAsia="仿宋_GB2312" w:cs="仿宋_GB2312"/>
          <w:kern w:val="0"/>
          <w:sz w:val="32"/>
          <w:szCs w:val="32"/>
        </w:rPr>
      </w:pPr>
      <w:bookmarkStart w:id="0" w:name="_GoBack"/>
      <w:bookmarkEnd w:id="0"/>
    </w:p>
    <w:p w14:paraId="7A3532CB">
      <w:pPr>
        <w:rPr>
          <w:rFonts w:hint="eastAsia" w:hAnsi="宋体"/>
          <w:sz w:val="32"/>
        </w:rPr>
      </w:pPr>
      <w:r>
        <w:rPr>
          <w:rFonts w:hint="eastAsia" w:hAnsi="宋体"/>
          <w:sz w:val="32"/>
        </w:rPr>
        <w:t>附件：</w:t>
      </w:r>
    </w:p>
    <w:p w14:paraId="61A0D67A">
      <w:pPr>
        <w:pStyle w:val="2"/>
        <w:ind w:left="0" w:leftChars="0" w:firstLine="0" w:firstLineChars="0"/>
        <w:rPr>
          <w:rFonts w:hint="eastAsia" w:ascii="黑体" w:hAnsi="黑体" w:eastAsia="黑体" w:cs="黑体"/>
          <w:sz w:val="32"/>
          <w:szCs w:val="32"/>
        </w:rPr>
      </w:pPr>
    </w:p>
    <w:p w14:paraId="568DD87F">
      <w:pPr>
        <w:spacing w:line="560" w:lineRule="exact"/>
        <w:jc w:val="center"/>
        <w:rPr>
          <w:rFonts w:ascii="方正小标宋简体" w:hAnsi="PMingLiU" w:eastAsia="方正小标宋简体" w:cs="PMingLiU"/>
          <w:sz w:val="44"/>
          <w:szCs w:val="44"/>
        </w:rPr>
      </w:pPr>
      <w:r>
        <w:rPr>
          <w:rFonts w:hint="eastAsia" w:ascii="方正小标宋简体" w:hAnsi="PMingLiU" w:eastAsia="方正小标宋简体" w:cs="PMingLiU"/>
          <w:sz w:val="44"/>
          <w:szCs w:val="44"/>
        </w:rPr>
        <w:t>乳山市地理</w:t>
      </w:r>
      <w:r>
        <w:rPr>
          <w:rFonts w:ascii="方正小标宋简体" w:hAnsi="PMingLiU" w:eastAsia="方正小标宋简体" w:cs="PMingLiU"/>
          <w:sz w:val="44"/>
          <w:szCs w:val="44"/>
        </w:rPr>
        <w:t>标志</w:t>
      </w:r>
      <w:r>
        <w:rPr>
          <w:rFonts w:hint="eastAsia" w:ascii="方正小标宋简体" w:hAnsi="PMingLiU" w:eastAsia="方正小标宋简体" w:cs="PMingLiU"/>
          <w:sz w:val="44"/>
          <w:szCs w:val="44"/>
        </w:rPr>
        <w:t>证明</w:t>
      </w:r>
      <w:r>
        <w:rPr>
          <w:rFonts w:ascii="方正小标宋简体" w:hAnsi="PMingLiU" w:eastAsia="方正小标宋简体" w:cs="PMingLiU"/>
          <w:sz w:val="44"/>
          <w:szCs w:val="44"/>
        </w:rPr>
        <w:t>商标及专用标志</w:t>
      </w:r>
    </w:p>
    <w:p w14:paraId="4186FB86">
      <w:pPr>
        <w:spacing w:line="560" w:lineRule="exact"/>
        <w:jc w:val="center"/>
        <w:rPr>
          <w:rFonts w:ascii="方正小标宋简体" w:hAnsi="PMingLiU" w:eastAsia="方正小标宋简体" w:cs="PMingLiU"/>
          <w:sz w:val="44"/>
          <w:szCs w:val="44"/>
        </w:rPr>
      </w:pPr>
      <w:r>
        <w:rPr>
          <w:rFonts w:hint="eastAsia" w:ascii="方正小标宋简体" w:hAnsi="PMingLiU" w:eastAsia="方正小标宋简体" w:cs="PMingLiU"/>
          <w:sz w:val="44"/>
          <w:szCs w:val="44"/>
        </w:rPr>
        <w:t>使用管理办法</w:t>
      </w:r>
    </w:p>
    <w:p w14:paraId="16150D4F">
      <w:pPr>
        <w:pStyle w:val="6"/>
        <w:shd w:val="clear" w:color="auto" w:fill="FFFFFF"/>
        <w:spacing w:before="0" w:beforeAutospacing="0" w:after="0" w:afterAutospacing="0" w:line="560" w:lineRule="exact"/>
        <w:jc w:val="center"/>
        <w:rPr>
          <w:rFonts w:ascii="黑体" w:hAnsi="黑体" w:eastAsia="黑体"/>
          <w:bCs/>
          <w:sz w:val="32"/>
          <w:szCs w:val="32"/>
        </w:rPr>
      </w:pPr>
    </w:p>
    <w:p w14:paraId="0CE9CB63">
      <w:pPr>
        <w:pStyle w:val="6"/>
        <w:shd w:val="clear" w:color="auto" w:fill="FFFFFF"/>
        <w:spacing w:before="0" w:beforeAutospacing="0" w:after="0" w:afterAutospacing="0" w:line="560" w:lineRule="exact"/>
        <w:jc w:val="center"/>
        <w:rPr>
          <w:rFonts w:ascii="黑体" w:hAnsi="黑体" w:eastAsia="黑体"/>
          <w:bCs/>
          <w:sz w:val="32"/>
          <w:szCs w:val="32"/>
        </w:rPr>
      </w:pPr>
      <w:r>
        <w:rPr>
          <w:rFonts w:hint="eastAsia" w:ascii="黑体" w:hAnsi="黑体" w:eastAsia="黑体"/>
          <w:bCs/>
          <w:sz w:val="32"/>
          <w:szCs w:val="32"/>
        </w:rPr>
        <w:t>第一章 总则</w:t>
      </w:r>
    </w:p>
    <w:p w14:paraId="3D57D8C5">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第一条 为全面加强知识产权保护工作，规范生产经营秩序，强化乳山辖区内地理标志产品质量和特色，保护生产者、经营者和消费者的合法权益，根据《中华人民共和国产品质量法》《中华人民共和国商标法》《中华人民共和国商标法实施条例》《集体商标、证明商标注册和管理办法》《地理标志专用标志使用管理办法（试行）》《地理标志产品保护规定》等有关法律法规，结合乳山实际，制定本办法。</w:t>
      </w:r>
    </w:p>
    <w:p w14:paraId="676D42BB">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第二条 本办法所称地理</w:t>
      </w:r>
      <w:r>
        <w:rPr>
          <w:rFonts w:ascii="仿宋_GB2312" w:eastAsia="仿宋_GB2312"/>
          <w:bCs/>
          <w:color w:val="000000"/>
          <w:sz w:val="32"/>
          <w:szCs w:val="32"/>
        </w:rPr>
        <w:t>标志证明商标</w:t>
      </w:r>
      <w:r>
        <w:rPr>
          <w:rFonts w:hint="eastAsia" w:ascii="仿宋_GB2312" w:eastAsia="仿宋_GB2312"/>
          <w:bCs/>
          <w:color w:val="000000"/>
          <w:sz w:val="32"/>
          <w:szCs w:val="32"/>
        </w:rPr>
        <w:t>是经国家知识产权局商标局核准注册的商标，用于证明产品的原产地域和特定品质。地理标志专用标志，是指适用在按照相关标准、管理规范或者使用管理规则组织生产的地理标志产品上的官方标志。</w:t>
      </w:r>
    </w:p>
    <w:p w14:paraId="6B0BD560">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第三条 地理</w:t>
      </w:r>
      <w:r>
        <w:rPr>
          <w:rFonts w:ascii="仿宋_GB2312" w:eastAsia="仿宋_GB2312"/>
          <w:bCs/>
          <w:color w:val="000000"/>
          <w:sz w:val="32"/>
          <w:szCs w:val="32"/>
        </w:rPr>
        <w:t>标志</w:t>
      </w:r>
      <w:r>
        <w:rPr>
          <w:rFonts w:hint="eastAsia" w:ascii="仿宋_GB2312" w:eastAsia="仿宋_GB2312"/>
          <w:bCs/>
          <w:color w:val="000000"/>
          <w:sz w:val="32"/>
          <w:szCs w:val="32"/>
        </w:rPr>
        <w:t>证明商标权利人负责商标的授权使用及专用标志的初审及管理工作，受理生产者、销售者提出的地理标志证明商标及专用标志使用申请，对地理标志产品生产、销售的各环节严格按照国家相关标准的规定实施管理。</w:t>
      </w:r>
    </w:p>
    <w:p w14:paraId="4445E5A6">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第四条 地理标志证明商标的权利人、合法使用者、</w:t>
      </w:r>
      <w:r>
        <w:rPr>
          <w:rFonts w:ascii="仿宋_GB2312" w:eastAsia="仿宋_GB2312"/>
          <w:bCs/>
          <w:color w:val="000000"/>
          <w:sz w:val="32"/>
          <w:szCs w:val="32"/>
        </w:rPr>
        <w:t>地理标志专用标志的合法使用者</w:t>
      </w:r>
      <w:r>
        <w:rPr>
          <w:rFonts w:hint="eastAsia" w:ascii="仿宋_GB2312" w:eastAsia="仿宋_GB2312"/>
          <w:bCs/>
          <w:color w:val="000000"/>
          <w:sz w:val="32"/>
          <w:szCs w:val="32"/>
        </w:rPr>
        <w:t>及</w:t>
      </w:r>
      <w:r>
        <w:rPr>
          <w:rFonts w:ascii="仿宋_GB2312" w:eastAsia="仿宋_GB2312"/>
          <w:bCs/>
          <w:color w:val="000000"/>
          <w:sz w:val="32"/>
          <w:szCs w:val="32"/>
        </w:rPr>
        <w:t>其他相关生产</w:t>
      </w:r>
      <w:r>
        <w:rPr>
          <w:rFonts w:hint="eastAsia" w:ascii="仿宋_GB2312" w:eastAsia="仿宋_GB2312"/>
          <w:bCs/>
          <w:color w:val="000000"/>
          <w:sz w:val="32"/>
          <w:szCs w:val="32"/>
        </w:rPr>
        <w:t>者</w:t>
      </w:r>
      <w:r>
        <w:rPr>
          <w:rFonts w:ascii="仿宋_GB2312" w:eastAsia="仿宋_GB2312"/>
          <w:bCs/>
          <w:color w:val="000000"/>
          <w:sz w:val="32"/>
          <w:szCs w:val="32"/>
        </w:rPr>
        <w:t>、</w:t>
      </w:r>
      <w:r>
        <w:rPr>
          <w:rFonts w:hint="eastAsia" w:ascii="仿宋_GB2312" w:eastAsia="仿宋_GB2312"/>
          <w:bCs/>
          <w:color w:val="000000"/>
          <w:sz w:val="32"/>
          <w:szCs w:val="32"/>
        </w:rPr>
        <w:t>销售者必须遵守本办法。</w:t>
      </w:r>
    </w:p>
    <w:p w14:paraId="34E79A24">
      <w:pPr>
        <w:pStyle w:val="6"/>
        <w:shd w:val="clear" w:color="auto" w:fill="FFFFFF"/>
        <w:spacing w:before="0" w:beforeAutospacing="0" w:after="0" w:afterAutospacing="0" w:line="560" w:lineRule="exact"/>
        <w:ind w:firstLine="640" w:firstLineChars="200"/>
        <w:jc w:val="center"/>
        <w:rPr>
          <w:rFonts w:ascii="黑体" w:hAnsi="黑体" w:eastAsia="黑体"/>
          <w:bCs/>
          <w:sz w:val="32"/>
          <w:szCs w:val="32"/>
        </w:rPr>
      </w:pPr>
    </w:p>
    <w:p w14:paraId="0CC49741">
      <w:pPr>
        <w:pStyle w:val="6"/>
        <w:shd w:val="clear" w:color="auto" w:fill="FFFFFF"/>
        <w:spacing w:before="0" w:beforeAutospacing="0" w:after="0" w:afterAutospacing="0" w:line="560" w:lineRule="exact"/>
        <w:ind w:firstLine="640" w:firstLineChars="200"/>
        <w:jc w:val="center"/>
        <w:rPr>
          <w:rFonts w:ascii="黑体" w:hAnsi="黑体" w:eastAsia="黑体"/>
          <w:bCs/>
          <w:sz w:val="32"/>
          <w:szCs w:val="32"/>
        </w:rPr>
      </w:pPr>
      <w:r>
        <w:rPr>
          <w:rFonts w:hint="eastAsia" w:ascii="黑体" w:hAnsi="黑体" w:eastAsia="黑体"/>
          <w:bCs/>
          <w:sz w:val="32"/>
          <w:szCs w:val="32"/>
        </w:rPr>
        <w:t>第二章  使用条件及要求</w:t>
      </w:r>
    </w:p>
    <w:p w14:paraId="0C1A3615">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 xml:space="preserve">第五条 使用地理标志证明商标的产品应来自中华人民共和国山东省乳山市地域及海域内，具体地理坐标位置应符合国家知识产权局商标局备案公告的各地理标志证明商标使用管理规则中界定的位置。 </w:t>
      </w:r>
    </w:p>
    <w:p w14:paraId="58967EE7">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第六条 使用地理标志证明商标，须按照各相关地理标志证明商标使用管理规则的要求，向证明商标注册人提出申请，经审核批准后方可使用。获准使用证明商标的，注册人应发给使用人《证明商标使用证》。证明商标注册人准许他人使用其商标的，注册人应当在一年内报商标局备案，由商标局公告。</w:t>
      </w:r>
    </w:p>
    <w:p w14:paraId="10B6C621">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第七条 申请使用地理标志证明商标的单位应向该证明商标权利人递交《证明商标使用申请书》和营业执照复印件、法定代表人身份证复印件、信用记录查询报告等材料。</w:t>
      </w:r>
    </w:p>
    <w:p w14:paraId="62AE9B44">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第八条 地理标志证明商标权利人自收到申请人提交的使用申请书后，应当在三十个工作日内完成下列审核工作：对申请人的产品及产地进行实地考察，包括但不限于申请使用者的基本情况（使用主体、使用范围）、产品基地、加工贮藏设施、产量或销售量、卫生条件等；根据考察情况做出书面审核意见。</w:t>
      </w:r>
    </w:p>
    <w:p w14:paraId="0BAE46BA">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第九条 地理标志证明商标使用许可合同许可期限一般为自许可之日起至地理标志证明商标有效截止日期，最低许可期限不低于两年。到期继续使用者，须在合同有效期满三十个</w:t>
      </w:r>
      <w:r>
        <w:rPr>
          <w:rFonts w:ascii="仿宋_GB2312" w:eastAsia="仿宋_GB2312"/>
          <w:bCs/>
          <w:color w:val="000000"/>
          <w:sz w:val="32"/>
          <w:szCs w:val="32"/>
        </w:rPr>
        <w:t>工作</w:t>
      </w:r>
      <w:r>
        <w:rPr>
          <w:rFonts w:hint="eastAsia" w:ascii="仿宋_GB2312" w:eastAsia="仿宋_GB2312"/>
          <w:bCs/>
          <w:color w:val="000000"/>
          <w:sz w:val="32"/>
          <w:szCs w:val="32"/>
        </w:rPr>
        <w:t>日内向证明商标权利人提交继续使用申请，逾期不申请者，合同有效期届满后不得使用该商标。</w:t>
      </w:r>
    </w:p>
    <w:p w14:paraId="01453993">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第十条 地理标志专用标志的合法使用人包括下列主体</w:t>
      </w:r>
    </w:p>
    <w:p w14:paraId="1CE16336">
      <w:pPr>
        <w:widowControl/>
        <w:shd w:val="clear" w:color="auto" w:fill="FFFFFF"/>
        <w:ind w:firstLine="480"/>
        <w:rPr>
          <w:rFonts w:ascii="仿宋_GB2312" w:eastAsia="仿宋_GB2312"/>
          <w:bCs/>
          <w:color w:val="000000"/>
          <w:sz w:val="32"/>
          <w:szCs w:val="32"/>
        </w:rPr>
      </w:pPr>
      <w:r>
        <w:rPr>
          <w:rFonts w:hint="eastAsia" w:ascii="仿宋_GB2312" w:eastAsia="仿宋_GB2312"/>
          <w:bCs/>
          <w:color w:val="000000"/>
          <w:sz w:val="32"/>
          <w:szCs w:val="32"/>
        </w:rPr>
        <w:t>（一）经公告核准使用地理标志产品专用标志的生产者；</w:t>
      </w:r>
    </w:p>
    <w:p w14:paraId="21C0CEC5">
      <w:pPr>
        <w:widowControl/>
        <w:shd w:val="clear" w:color="auto" w:fill="FFFFFF"/>
        <w:ind w:firstLine="480"/>
        <w:rPr>
          <w:rFonts w:ascii="仿宋_GB2312" w:eastAsia="仿宋_GB2312"/>
          <w:bCs/>
          <w:color w:val="000000"/>
          <w:sz w:val="32"/>
          <w:szCs w:val="32"/>
        </w:rPr>
      </w:pPr>
      <w:r>
        <w:rPr>
          <w:rFonts w:hint="eastAsia" w:ascii="仿宋_GB2312" w:eastAsia="仿宋_GB2312"/>
          <w:bCs/>
          <w:color w:val="000000"/>
          <w:sz w:val="32"/>
          <w:szCs w:val="32"/>
        </w:rPr>
        <w:t>（二）经公告地理标志已作为集体商标注册的注册人的集体成员；</w:t>
      </w:r>
    </w:p>
    <w:p w14:paraId="4373B20D">
      <w:pPr>
        <w:widowControl/>
        <w:shd w:val="clear" w:color="auto" w:fill="FFFFFF"/>
        <w:ind w:firstLine="480"/>
        <w:rPr>
          <w:rFonts w:ascii="仿宋_GB2312" w:eastAsia="仿宋_GB2312"/>
          <w:bCs/>
          <w:color w:val="000000"/>
          <w:sz w:val="32"/>
          <w:szCs w:val="32"/>
        </w:rPr>
      </w:pPr>
      <w:r>
        <w:rPr>
          <w:rFonts w:hint="eastAsia" w:ascii="仿宋_GB2312" w:eastAsia="仿宋_GB2312"/>
          <w:bCs/>
          <w:color w:val="000000"/>
          <w:sz w:val="32"/>
          <w:szCs w:val="32"/>
        </w:rPr>
        <w:t>（三）经公告备案的已作为证明商标注册的地理标志的被许可人；</w:t>
      </w:r>
    </w:p>
    <w:p w14:paraId="60CFDE0A">
      <w:pPr>
        <w:widowControl/>
        <w:shd w:val="clear" w:color="auto" w:fill="FFFFFF"/>
        <w:ind w:firstLine="480"/>
        <w:rPr>
          <w:rFonts w:ascii="仿宋_GB2312" w:eastAsia="仿宋_GB2312"/>
          <w:bCs/>
          <w:color w:val="000000"/>
          <w:sz w:val="32"/>
          <w:szCs w:val="32"/>
        </w:rPr>
      </w:pPr>
      <w:r>
        <w:rPr>
          <w:rFonts w:hint="eastAsia" w:ascii="仿宋_GB2312" w:eastAsia="仿宋_GB2312"/>
          <w:bCs/>
          <w:color w:val="000000"/>
          <w:sz w:val="32"/>
          <w:szCs w:val="32"/>
        </w:rPr>
        <w:t>（四）经国家知识产权局登记备案的其他使用人。</w:t>
      </w:r>
    </w:p>
    <w:p w14:paraId="5DF4D8D9">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第十一条 未经授权，不得擅自使用地理标志证明商标。禁止伪造冒用地理标志产品专用标志，禁止以假充真、以次充好。任何单位和个人不得销售违反前款规定的产品。</w:t>
      </w:r>
    </w:p>
    <w:p w14:paraId="71D2F258">
      <w:pPr>
        <w:pStyle w:val="6"/>
        <w:shd w:val="clear" w:color="auto" w:fill="FFFFFF"/>
        <w:spacing w:before="0" w:beforeAutospacing="0" w:after="0" w:afterAutospacing="0" w:line="560" w:lineRule="exact"/>
        <w:ind w:firstLine="640" w:firstLineChars="200"/>
        <w:jc w:val="center"/>
        <w:rPr>
          <w:rFonts w:ascii="黑体" w:hAnsi="黑体" w:eastAsia="黑体"/>
          <w:bCs/>
          <w:sz w:val="32"/>
          <w:szCs w:val="32"/>
        </w:rPr>
      </w:pPr>
      <w:r>
        <w:rPr>
          <w:rFonts w:hint="eastAsia" w:ascii="黑体" w:hAnsi="黑体" w:eastAsia="黑体"/>
          <w:bCs/>
          <w:sz w:val="32"/>
          <w:szCs w:val="32"/>
        </w:rPr>
        <w:t>第三章 权利与义务</w:t>
      </w:r>
    </w:p>
    <w:p w14:paraId="3C0060C1">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第十二条 地理标志证明商标合法使用者的权利</w:t>
      </w:r>
    </w:p>
    <w:p w14:paraId="50D055E9">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（一）可以在其产品、包装及辅料上使用该地理标志证明商标文字及图案；</w:t>
      </w:r>
    </w:p>
    <w:p w14:paraId="440E0054">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（二）可以使用地理标志证明商标进行产品广告宣传。</w:t>
      </w:r>
    </w:p>
    <w:p w14:paraId="543A456F">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第十三条 地理标志证明商标合法使用者的义务</w:t>
      </w:r>
    </w:p>
    <w:p w14:paraId="2BD89308">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（一）自觉维护地理标志产品的特定品质、质量和品牌声誉，保证产品质量安全；</w:t>
      </w:r>
    </w:p>
    <w:p w14:paraId="5DEB0E8F">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（二）接受地标权利人及行业主管部门对产品的不定期检测，主动配合市场监管部门的监管；</w:t>
      </w:r>
    </w:p>
    <w:p w14:paraId="76D54BED">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（三）严格执行地标产品标准及相关法律法规、制度等；</w:t>
      </w:r>
    </w:p>
    <w:p w14:paraId="2E539B43">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（四）积极参加地标权利人组织的相关会议、培训、宣传及展会等活动；</w:t>
      </w:r>
    </w:p>
    <w:p w14:paraId="59B6A415">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（五）规范使用地理标志证明商标及</w:t>
      </w:r>
      <w:r>
        <w:rPr>
          <w:rFonts w:ascii="仿宋_GB2312" w:hAnsi="Times New Roman" w:eastAsia="仿宋_GB2312"/>
          <w:bCs/>
          <w:sz w:val="32"/>
          <w:szCs w:val="32"/>
        </w:rPr>
        <w:t>专用标志</w:t>
      </w:r>
      <w:r>
        <w:rPr>
          <w:rFonts w:hint="eastAsia" w:ascii="仿宋_GB2312" w:hAnsi="Times New Roman" w:eastAsia="仿宋_GB2312"/>
          <w:bCs/>
          <w:sz w:val="32"/>
          <w:szCs w:val="32"/>
        </w:rPr>
        <w:t>。安排专人负责该地理标志证明商标及专用标志的管理、使用工作，确保地理标志证明商标、专用标志不失控、不挪用、不流失，不得向他人转让、出售、馈赠及许可他人使用地理标志证明商标、专用标志；</w:t>
      </w:r>
    </w:p>
    <w:p w14:paraId="73711349">
      <w:pPr>
        <w:pStyle w:val="6"/>
        <w:shd w:val="clear" w:color="auto" w:fill="FFFFFF"/>
        <w:spacing w:before="0" w:beforeAutospacing="0" w:after="0" w:afterAutospacing="0" w:line="560" w:lineRule="exact"/>
        <w:ind w:firstLine="640" w:firstLineChars="200"/>
        <w:jc w:val="both"/>
        <w:rPr>
          <w:rFonts w:ascii="Calibri" w:hAnsi="Calibri" w:eastAsia="仿宋_GB2312"/>
          <w:bCs/>
          <w:sz w:val="32"/>
          <w:szCs w:val="32"/>
        </w:rPr>
      </w:pPr>
      <w:r>
        <w:rPr>
          <w:rFonts w:hint="eastAsia" w:ascii="仿宋_GB2312" w:hAnsi="Times New Roman" w:eastAsia="仿宋_GB2312"/>
          <w:bCs/>
          <w:sz w:val="32"/>
          <w:szCs w:val="32"/>
        </w:rPr>
        <w:t xml:space="preserve"> (六)严格</w:t>
      </w:r>
      <w:r>
        <w:rPr>
          <w:rFonts w:ascii="仿宋_GB2312" w:hAnsi="Times New Roman" w:eastAsia="仿宋_GB2312"/>
          <w:bCs/>
          <w:sz w:val="32"/>
          <w:szCs w:val="32"/>
        </w:rPr>
        <w:t>遵守</w:t>
      </w:r>
      <w:r>
        <w:rPr>
          <w:rFonts w:hint="eastAsia" w:ascii="仿宋_GB2312" w:hAnsi="Times New Roman" w:eastAsia="仿宋_GB2312"/>
          <w:bCs/>
          <w:sz w:val="32"/>
          <w:szCs w:val="32"/>
        </w:rPr>
        <w:t>《地理标志证明商标使用管理规则》的</w:t>
      </w:r>
      <w:r>
        <w:rPr>
          <w:rFonts w:ascii="仿宋_GB2312" w:hAnsi="Times New Roman" w:eastAsia="仿宋_GB2312"/>
          <w:bCs/>
          <w:sz w:val="32"/>
          <w:szCs w:val="32"/>
        </w:rPr>
        <w:t>相关规定</w:t>
      </w:r>
      <w:r>
        <w:rPr>
          <w:rFonts w:hint="eastAsia" w:ascii="Calibri" w:hAnsi="Calibri" w:eastAsia="仿宋_GB2312"/>
          <w:bCs/>
          <w:sz w:val="32"/>
          <w:szCs w:val="32"/>
        </w:rPr>
        <w:t>。</w:t>
      </w:r>
    </w:p>
    <w:p w14:paraId="607813C5">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 xml:space="preserve"> (七)遵守其他相关</w:t>
      </w:r>
      <w:r>
        <w:rPr>
          <w:rFonts w:ascii="仿宋_GB2312" w:hAnsi="Times New Roman" w:eastAsia="仿宋_GB2312"/>
          <w:bCs/>
          <w:sz w:val="32"/>
          <w:szCs w:val="32"/>
        </w:rPr>
        <w:t>法律法规</w:t>
      </w:r>
      <w:r>
        <w:rPr>
          <w:rFonts w:hint="eastAsia" w:ascii="仿宋_GB2312" w:hAnsi="Times New Roman" w:eastAsia="仿宋_GB2312"/>
          <w:bCs/>
          <w:sz w:val="32"/>
          <w:szCs w:val="32"/>
        </w:rPr>
        <w:t>规定。</w:t>
      </w:r>
    </w:p>
    <w:p w14:paraId="199CFBC2">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第十四条 地理标志专用标志合法使用者的权利</w:t>
      </w:r>
    </w:p>
    <w:p w14:paraId="7401D03A">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（一）可在国家知识产权局官方网站下载基本图案矢量图，地理标志专用标志矢量图可按比例缩放。</w:t>
      </w:r>
    </w:p>
    <w:p w14:paraId="4FC06C25">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（二）可以在其产品、包装及辅料上使用地理标志专用标志；</w:t>
      </w:r>
    </w:p>
    <w:p w14:paraId="2DB78C06">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（三）可以使用地理标志专用标志进行产品广告宣传；</w:t>
      </w:r>
    </w:p>
    <w:p w14:paraId="4EFEB5DE">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第十五条 地理标志专用标志合法使用者的义务</w:t>
      </w:r>
    </w:p>
    <w:p w14:paraId="093262D5">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（一）按照相关标准、管理规范和使用管理规则组织生产地理标志产品;</w:t>
      </w:r>
    </w:p>
    <w:p w14:paraId="48EFF158">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二）规范标示地理标志专用标志。应在标志的指定位置标注统一社会信用代码，且应同时使用对应的地理标志证明商标，并加注商标注册号。标注应清晰可识，不得更改专用标志的图案形状、构成、文字字体、图文比例、色值等；</w:t>
      </w:r>
    </w:p>
    <w:p w14:paraId="14281B78">
      <w:pPr>
        <w:pStyle w:val="6"/>
        <w:shd w:val="clear" w:color="auto" w:fill="FFFFFF"/>
        <w:spacing w:before="0" w:beforeAutospacing="0" w:after="0" w:afterAutospacing="0" w:line="560" w:lineRule="exact"/>
        <w:ind w:firstLine="640" w:firstLineChars="200"/>
        <w:jc w:val="both"/>
        <w:rPr>
          <w:rFonts w:ascii="仿宋_GB2312" w:hAnsi="Times New Roman" w:eastAsia="仿宋_GB2312"/>
          <w:bCs/>
          <w:sz w:val="32"/>
          <w:szCs w:val="32"/>
        </w:rPr>
      </w:pPr>
      <w:r>
        <w:rPr>
          <w:rFonts w:hint="eastAsia" w:ascii="仿宋_GB2312" w:hAnsi="Times New Roman" w:eastAsia="仿宋_GB2312"/>
          <w:bCs/>
          <w:sz w:val="32"/>
          <w:szCs w:val="32"/>
        </w:rPr>
        <w:t>（三）及时向社会公开并定期向所在市场监管部门报送地理标志专用标志使用情况。</w:t>
      </w:r>
    </w:p>
    <w:p w14:paraId="408E4C29">
      <w:pPr>
        <w:pStyle w:val="6"/>
        <w:shd w:val="clear" w:color="auto" w:fill="FFFFFF"/>
        <w:spacing w:before="0" w:beforeAutospacing="0" w:after="0" w:afterAutospacing="0" w:line="560" w:lineRule="exact"/>
        <w:ind w:firstLine="640" w:firstLineChars="200"/>
        <w:jc w:val="center"/>
        <w:rPr>
          <w:rFonts w:ascii="黑体" w:hAnsi="黑体" w:eastAsia="黑体"/>
          <w:bCs/>
          <w:sz w:val="32"/>
          <w:szCs w:val="32"/>
        </w:rPr>
      </w:pPr>
      <w:r>
        <w:rPr>
          <w:rFonts w:hint="eastAsia" w:ascii="黑体" w:hAnsi="黑体" w:eastAsia="黑体"/>
          <w:bCs/>
          <w:sz w:val="32"/>
          <w:szCs w:val="32"/>
        </w:rPr>
        <w:t>第四章 管理机构</w:t>
      </w:r>
      <w:r>
        <w:rPr>
          <w:rFonts w:ascii="黑体" w:hAnsi="黑体" w:eastAsia="黑体"/>
          <w:bCs/>
          <w:sz w:val="32"/>
          <w:szCs w:val="32"/>
        </w:rPr>
        <w:t>及职责</w:t>
      </w:r>
    </w:p>
    <w:p w14:paraId="3A118F85">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第十六条 地理</w:t>
      </w:r>
      <w:r>
        <w:rPr>
          <w:rFonts w:ascii="仿宋_GB2312" w:eastAsia="仿宋_GB2312"/>
          <w:bCs/>
          <w:color w:val="000000"/>
          <w:sz w:val="32"/>
          <w:szCs w:val="32"/>
        </w:rPr>
        <w:t>标志</w:t>
      </w:r>
      <w:r>
        <w:rPr>
          <w:rFonts w:hint="eastAsia" w:ascii="仿宋_GB2312" w:eastAsia="仿宋_GB2312"/>
          <w:bCs/>
          <w:color w:val="000000"/>
          <w:sz w:val="32"/>
          <w:szCs w:val="32"/>
        </w:rPr>
        <w:t>证明商标权利人负责《地理标志证明商标使用管理规则》的制定和实施，《地理标志证明商标使用管理规则》修改后须提报国家知识产权局备案，并告知证明商标</w:t>
      </w:r>
      <w:r>
        <w:rPr>
          <w:rFonts w:ascii="仿宋_GB2312" w:eastAsia="仿宋_GB2312"/>
          <w:bCs/>
          <w:color w:val="000000"/>
          <w:sz w:val="32"/>
          <w:szCs w:val="32"/>
        </w:rPr>
        <w:t>合法使用者</w:t>
      </w:r>
      <w:r>
        <w:rPr>
          <w:rFonts w:hint="eastAsia" w:ascii="仿宋_GB2312" w:eastAsia="仿宋_GB2312"/>
          <w:bCs/>
          <w:color w:val="000000"/>
          <w:sz w:val="32"/>
          <w:szCs w:val="32"/>
        </w:rPr>
        <w:t>。</w:t>
      </w:r>
    </w:p>
    <w:p w14:paraId="109C8090">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第十七条 地理</w:t>
      </w:r>
      <w:r>
        <w:rPr>
          <w:rFonts w:ascii="仿宋_GB2312" w:eastAsia="仿宋_GB2312"/>
          <w:bCs/>
          <w:color w:val="000000"/>
          <w:sz w:val="32"/>
          <w:szCs w:val="32"/>
        </w:rPr>
        <w:t>标志</w:t>
      </w:r>
      <w:r>
        <w:rPr>
          <w:rFonts w:hint="eastAsia" w:ascii="仿宋_GB2312" w:eastAsia="仿宋_GB2312"/>
          <w:bCs/>
          <w:color w:val="000000"/>
          <w:sz w:val="32"/>
          <w:szCs w:val="32"/>
        </w:rPr>
        <w:t>证明商标的注册人不得在自己提供的商品上使用该证明商标。</w:t>
      </w:r>
    </w:p>
    <w:p w14:paraId="6D1C3A23">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第十八条 获准使用地理标志专用标志的生产者，未按相应标准管理、生产的，或在两年内未在受保护的地理标志产品上使用专用标志的，由市场监管部门依据相关程序注销其地理标志产品专用标志使用登记，停止其使用地理标志产品专用标志并予以公告。</w:t>
      </w:r>
    </w:p>
    <w:p w14:paraId="4A2E91CE">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第十九条 地理</w:t>
      </w:r>
      <w:r>
        <w:rPr>
          <w:rFonts w:ascii="仿宋_GB2312" w:eastAsia="仿宋_GB2312"/>
          <w:bCs/>
          <w:color w:val="000000"/>
          <w:sz w:val="32"/>
          <w:szCs w:val="32"/>
        </w:rPr>
        <w:t>标志</w:t>
      </w:r>
      <w:r>
        <w:rPr>
          <w:rFonts w:hint="eastAsia" w:ascii="仿宋_GB2312" w:eastAsia="仿宋_GB2312"/>
          <w:bCs/>
          <w:color w:val="000000"/>
          <w:sz w:val="32"/>
          <w:szCs w:val="32"/>
        </w:rPr>
        <w:t>证明商标注册人应当对该商标的使用进行有效管理或者控制，对没有对该商标的使用进行有效管理或者控制，致使该商标使用的商品达不到其使用管理规则的要求，对消费者造成损害的，由市场</w:t>
      </w:r>
      <w:r>
        <w:rPr>
          <w:rFonts w:ascii="仿宋_GB2312" w:eastAsia="仿宋_GB2312"/>
          <w:bCs/>
          <w:color w:val="000000"/>
          <w:sz w:val="32"/>
          <w:szCs w:val="32"/>
        </w:rPr>
        <w:t>监管部门</w:t>
      </w:r>
      <w:r>
        <w:rPr>
          <w:rFonts w:hint="eastAsia" w:ascii="仿宋_GB2312" w:eastAsia="仿宋_GB2312"/>
          <w:bCs/>
          <w:color w:val="000000"/>
          <w:sz w:val="32"/>
          <w:szCs w:val="32"/>
        </w:rPr>
        <w:t>依据</w:t>
      </w:r>
      <w:r>
        <w:rPr>
          <w:rFonts w:ascii="仿宋_GB2312" w:eastAsia="仿宋_GB2312"/>
          <w:bCs/>
          <w:color w:val="000000"/>
          <w:sz w:val="32"/>
          <w:szCs w:val="32"/>
        </w:rPr>
        <w:t>《</w:t>
      </w:r>
      <w:r>
        <w:rPr>
          <w:rFonts w:hint="eastAsia" w:ascii="仿宋_GB2312" w:eastAsia="仿宋_GB2312"/>
          <w:bCs/>
          <w:color w:val="000000"/>
          <w:sz w:val="32"/>
          <w:szCs w:val="32"/>
        </w:rPr>
        <w:t>集体商标、证明商标注册和管理办法</w:t>
      </w:r>
      <w:r>
        <w:rPr>
          <w:rFonts w:ascii="仿宋_GB2312" w:eastAsia="仿宋_GB2312"/>
          <w:bCs/>
          <w:color w:val="000000"/>
          <w:sz w:val="32"/>
          <w:szCs w:val="32"/>
        </w:rPr>
        <w:t>》</w:t>
      </w:r>
      <w:r>
        <w:rPr>
          <w:rFonts w:hint="eastAsia" w:ascii="仿宋_GB2312" w:eastAsia="仿宋_GB2312"/>
          <w:bCs/>
          <w:color w:val="000000"/>
          <w:sz w:val="32"/>
          <w:szCs w:val="32"/>
        </w:rPr>
        <w:t>相关</w:t>
      </w:r>
      <w:r>
        <w:rPr>
          <w:rFonts w:ascii="仿宋_GB2312" w:eastAsia="仿宋_GB2312"/>
          <w:bCs/>
          <w:color w:val="000000"/>
          <w:sz w:val="32"/>
          <w:szCs w:val="32"/>
        </w:rPr>
        <w:t>规定</w:t>
      </w:r>
      <w:r>
        <w:rPr>
          <w:rFonts w:hint="eastAsia" w:ascii="仿宋_GB2312" w:eastAsia="仿宋_GB2312"/>
          <w:bCs/>
          <w:color w:val="000000"/>
          <w:sz w:val="32"/>
          <w:szCs w:val="32"/>
        </w:rPr>
        <w:t>责令限期改正或处以罚款。</w:t>
      </w:r>
    </w:p>
    <w:p w14:paraId="6836202E">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第二十条 对未经地理标志证明商标权利人许可，擅自在相同或相关产品的包装、辅料、宣传材料及网络宣传上使用与地理标志证明商标相同以及相近、易产生误解的名称、文字、标识、图案的生产或销售单位，经查明构成商标侵权或不正当竞争行为的，由市场</w:t>
      </w:r>
      <w:r>
        <w:rPr>
          <w:rFonts w:ascii="仿宋_GB2312" w:eastAsia="仿宋_GB2312"/>
          <w:bCs/>
          <w:color w:val="000000"/>
          <w:sz w:val="32"/>
          <w:szCs w:val="32"/>
        </w:rPr>
        <w:t>监管部门</w:t>
      </w:r>
      <w:r>
        <w:rPr>
          <w:rFonts w:hint="eastAsia" w:ascii="仿宋_GB2312" w:eastAsia="仿宋_GB2312"/>
          <w:bCs/>
          <w:color w:val="000000"/>
          <w:sz w:val="32"/>
          <w:szCs w:val="32"/>
        </w:rPr>
        <w:t>依照《中华人民共和国商标法》、《中华人民共和国反不正当竞争法》等有关法律法规查处，对情节严重，构成犯罪的，依法追究刑事责任。</w:t>
      </w:r>
    </w:p>
    <w:p w14:paraId="4E6BC00D">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第二十一条 对于未经公告擅自使用或伪造地理标志专用标志的，使用与地理标志专用标志相近、易产生误解的名称或标识及可能误导消费者的文字或图案标志，使消费者将该产品误认为地理标志的行为，将依照相关法律法规查处。</w:t>
      </w:r>
    </w:p>
    <w:p w14:paraId="1A94972D">
      <w:pPr>
        <w:spacing w:line="560" w:lineRule="exact"/>
        <w:ind w:firstLine="640" w:firstLineChars="200"/>
        <w:jc w:val="center"/>
        <w:rPr>
          <w:rFonts w:ascii="黑体" w:eastAsia="黑体" w:cs="黑体"/>
          <w:sz w:val="32"/>
          <w:szCs w:val="32"/>
        </w:rPr>
      </w:pPr>
      <w:r>
        <w:rPr>
          <w:rFonts w:hint="eastAsia" w:ascii="黑体" w:eastAsia="黑体" w:cs="黑体"/>
          <w:sz w:val="32"/>
          <w:szCs w:val="32"/>
        </w:rPr>
        <w:t>第五章 附则</w:t>
      </w:r>
    </w:p>
    <w:p w14:paraId="08ACBA58">
      <w:pPr>
        <w:spacing w:line="560" w:lineRule="exact"/>
        <w:ind w:firstLine="640" w:firstLineChars="200"/>
        <w:rPr>
          <w:rFonts w:ascii="仿宋_GB2312" w:eastAsia="仿宋_GB2312"/>
          <w:bCs/>
          <w:color w:val="000000"/>
          <w:sz w:val="32"/>
          <w:szCs w:val="32"/>
        </w:rPr>
      </w:pPr>
      <w:r>
        <w:rPr>
          <w:rFonts w:hint="eastAsia" w:ascii="仿宋_GB2312" w:eastAsia="仿宋_GB2312"/>
          <w:bCs/>
          <w:color w:val="000000"/>
          <w:sz w:val="32"/>
          <w:szCs w:val="32"/>
        </w:rPr>
        <w:t>第二十二条 本办法自</w:t>
      </w:r>
      <w:r>
        <w:rPr>
          <w:rFonts w:ascii="仿宋_GB2312" w:eastAsia="仿宋_GB2312"/>
          <w:bCs/>
          <w:color w:val="000000"/>
          <w:sz w:val="32"/>
          <w:szCs w:val="32"/>
        </w:rPr>
        <w:t>2022</w:t>
      </w:r>
      <w:r>
        <w:rPr>
          <w:rFonts w:hint="eastAsia" w:ascii="仿宋_GB2312" w:eastAsia="仿宋_GB2312"/>
          <w:bCs/>
          <w:color w:val="000000"/>
          <w:sz w:val="32"/>
          <w:szCs w:val="32"/>
        </w:rPr>
        <w:t>年</w:t>
      </w:r>
      <w:r>
        <w:rPr>
          <w:rFonts w:ascii="仿宋_GB2312" w:eastAsia="仿宋_GB2312"/>
          <w:bCs/>
          <w:color w:val="000000"/>
          <w:sz w:val="32"/>
          <w:szCs w:val="32"/>
        </w:rPr>
        <w:t>6</w:t>
      </w:r>
      <w:r>
        <w:rPr>
          <w:rFonts w:hint="eastAsia" w:ascii="仿宋_GB2312" w:eastAsia="仿宋_GB2312"/>
          <w:bCs/>
          <w:color w:val="000000"/>
          <w:sz w:val="32"/>
          <w:szCs w:val="32"/>
        </w:rPr>
        <w:t>月</w:t>
      </w:r>
      <w:r>
        <w:rPr>
          <w:rFonts w:ascii="仿宋_GB2312" w:eastAsia="仿宋_GB2312"/>
          <w:bCs/>
          <w:color w:val="000000"/>
          <w:sz w:val="32"/>
          <w:szCs w:val="32"/>
        </w:rPr>
        <w:t>16</w:t>
      </w:r>
      <w:r>
        <w:rPr>
          <w:rFonts w:hint="eastAsia" w:ascii="仿宋_GB2312" w:eastAsia="仿宋_GB2312"/>
          <w:bCs/>
          <w:color w:val="000000"/>
          <w:sz w:val="32"/>
          <w:szCs w:val="32"/>
        </w:rPr>
        <w:t>日起施行，</w:t>
      </w:r>
      <w:r>
        <w:rPr>
          <w:rFonts w:ascii="仿宋_GB2312" w:eastAsia="仿宋_GB2312"/>
          <w:bCs/>
          <w:color w:val="000000"/>
          <w:sz w:val="32"/>
          <w:szCs w:val="32"/>
        </w:rPr>
        <w:t>有效期至</w:t>
      </w:r>
      <w:r>
        <w:rPr>
          <w:rFonts w:hint="eastAsia" w:ascii="仿宋_GB2312" w:eastAsia="仿宋_GB2312"/>
          <w:bCs/>
          <w:color w:val="000000"/>
          <w:sz w:val="32"/>
          <w:szCs w:val="32"/>
        </w:rPr>
        <w:t>2026年12月31日</w:t>
      </w:r>
      <w:r>
        <w:rPr>
          <w:rFonts w:ascii="仿宋_GB2312" w:eastAsia="仿宋_GB2312"/>
          <w:bCs/>
          <w:color w:val="000000"/>
          <w:sz w:val="32"/>
          <w:szCs w:val="32"/>
        </w:rPr>
        <w:t>。</w:t>
      </w:r>
    </w:p>
    <w:p w14:paraId="2D07CA8D">
      <w:pPr>
        <w:pStyle w:val="2"/>
        <w:ind w:left="0" w:leftChars="0" w:firstLine="0" w:firstLineChars="0"/>
        <w:rPr>
          <w:rFonts w:hint="eastAsia" w:ascii="黑体" w:hAnsi="黑体" w:eastAsia="黑体" w:cs="黑体"/>
          <w:sz w:val="32"/>
          <w:szCs w:val="32"/>
        </w:rPr>
      </w:pPr>
    </w:p>
    <w:p w14:paraId="0D50D304">
      <w:pPr>
        <w:pStyle w:val="2"/>
        <w:ind w:left="0" w:leftChars="0" w:firstLine="0" w:firstLineChars="0"/>
        <w:rPr>
          <w:rFonts w:ascii="黑体" w:hAnsi="黑体" w:eastAsia="黑体" w:cs="黑体"/>
          <w:sz w:val="32"/>
          <w:szCs w:val="32"/>
        </w:rPr>
      </w:pPr>
    </w:p>
    <w:p w14:paraId="3FE48F7B">
      <w:pPr>
        <w:ind w:firstLine="420"/>
        <w:rPr>
          <w:rFonts w:hint="eastAsia" w:hAnsi="宋体"/>
          <w:sz w:val="32"/>
        </w:rPr>
      </w:pPr>
    </w:p>
    <w:p w14:paraId="7B047C94">
      <w:pPr>
        <w:pStyle w:val="2"/>
        <w:ind w:firstLine="640"/>
        <w:rPr>
          <w:rFonts w:hint="eastAsia" w:ascii="Times New Roman" w:hAnsi="宋体"/>
          <w:sz w:val="32"/>
        </w:rPr>
      </w:pPr>
    </w:p>
    <w:p w14:paraId="678C6E7E">
      <w:pPr>
        <w:pStyle w:val="2"/>
        <w:ind w:firstLine="640"/>
        <w:rPr>
          <w:rFonts w:hint="eastAsia" w:ascii="Times New Roman" w:hAnsi="宋体"/>
          <w:sz w:val="32"/>
        </w:rPr>
      </w:pPr>
    </w:p>
    <w:p w14:paraId="17C425A2">
      <w:pPr>
        <w:pStyle w:val="2"/>
        <w:ind w:firstLine="640"/>
        <w:rPr>
          <w:rFonts w:hint="eastAsia" w:ascii="Times New Roman" w:hAnsi="宋体"/>
          <w:sz w:val="32"/>
        </w:rPr>
      </w:pPr>
    </w:p>
    <w:p w14:paraId="1CB8CC8B">
      <w:pPr>
        <w:pStyle w:val="2"/>
        <w:ind w:firstLine="640"/>
        <w:rPr>
          <w:rFonts w:hint="eastAsia" w:ascii="Times New Roman" w:hAnsi="宋体"/>
          <w:sz w:val="32"/>
        </w:rPr>
      </w:pPr>
    </w:p>
    <w:p w14:paraId="07788234">
      <w:pPr>
        <w:pStyle w:val="2"/>
        <w:ind w:firstLine="640"/>
        <w:rPr>
          <w:rFonts w:hint="eastAsia" w:ascii="Times New Roman" w:hAnsi="宋体"/>
          <w:sz w:val="32"/>
        </w:rPr>
      </w:pPr>
    </w:p>
    <w:p w14:paraId="2AC5B2A0"/>
    <w:sectPr>
      <w:headerReference r:id="rId3" w:type="default"/>
      <w:footerReference r:id="rId4" w:type="default"/>
      <w:footerReference r:id="rId5" w:type="even"/>
      <w:pgSz w:w="11906" w:h="16838"/>
      <w:pgMar w:top="2098" w:right="1531" w:bottom="1985" w:left="1531" w:header="851" w:footer="1701" w:gutter="0"/>
      <w:pgNumType w:fmt="numberInDash" w:start="1"/>
      <w:cols w:space="72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PMingLiU">
    <w:panose1 w:val="02020500000000000000"/>
    <w:charset w:val="88"/>
    <w:family w:val="roman"/>
    <w:pitch w:val="default"/>
    <w:sig w:usb0="A00002FF" w:usb1="28CFFCFA" w:usb2="00000016" w:usb3="00000000" w:csb0="001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648A8">
    <w:pPr>
      <w:pStyle w:val="4"/>
      <w:ind w:right="360" w:firstLine="36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A0E751D">
                          <w:pPr>
                            <w:pStyle w:val="4"/>
                            <w:rPr>
                              <w:rStyle w:val="9"/>
                              <w:rFonts w:ascii="宋体" w:hAnsi="宋体"/>
                              <w:sz w:val="28"/>
                              <w:szCs w:val="28"/>
                            </w:rPr>
                          </w:pPr>
                          <w:r>
                            <w:rPr>
                              <w:rFonts w:ascii="宋体" w:hAnsi="宋体"/>
                              <w:sz w:val="28"/>
                              <w:szCs w:val="28"/>
                            </w:rPr>
                            <w:fldChar w:fldCharType="begin"/>
                          </w:r>
                          <w:r>
                            <w:rPr>
                              <w:rStyle w:val="9"/>
                              <w:rFonts w:ascii="宋体" w:hAnsi="宋体"/>
                              <w:sz w:val="28"/>
                              <w:szCs w:val="28"/>
                            </w:rPr>
                            <w:instrText xml:space="preserve">PAGE  </w:instrText>
                          </w:r>
                          <w:r>
                            <w:rPr>
                              <w:rFonts w:ascii="宋体" w:hAnsi="宋体"/>
                              <w:sz w:val="28"/>
                              <w:szCs w:val="28"/>
                            </w:rPr>
                            <w:fldChar w:fldCharType="separate"/>
                          </w:r>
                          <w:r>
                            <w:rPr>
                              <w:rStyle w:val="9"/>
                              <w:rFonts w:ascii="宋体" w:hAnsi="宋体"/>
                              <w:sz w:val="28"/>
                              <w:szCs w:val="28"/>
                            </w:rPr>
                            <w:t>- 7 -</w:t>
                          </w:r>
                          <w:r>
                            <w:rPr>
                              <w:rFonts w:ascii="宋体" w:hAnsi="宋体"/>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aspectratio="f"/>
              <v:textbox inset="0mm,0mm,0mm,0mm" style="mso-fit-shape-to-text:t;">
                <w:txbxContent>
                  <w:p w14:paraId="5A0E751D">
                    <w:pPr>
                      <w:pStyle w:val="4"/>
                      <w:rPr>
                        <w:rStyle w:val="9"/>
                        <w:rFonts w:ascii="宋体" w:hAnsi="宋体"/>
                        <w:sz w:val="28"/>
                        <w:szCs w:val="28"/>
                      </w:rPr>
                    </w:pPr>
                    <w:r>
                      <w:rPr>
                        <w:rFonts w:ascii="宋体" w:hAnsi="宋体"/>
                        <w:sz w:val="28"/>
                        <w:szCs w:val="28"/>
                      </w:rPr>
                      <w:fldChar w:fldCharType="begin"/>
                    </w:r>
                    <w:r>
                      <w:rPr>
                        <w:rStyle w:val="9"/>
                        <w:rFonts w:ascii="宋体" w:hAnsi="宋体"/>
                        <w:sz w:val="28"/>
                        <w:szCs w:val="28"/>
                      </w:rPr>
                      <w:instrText xml:space="preserve">PAGE  </w:instrText>
                    </w:r>
                    <w:r>
                      <w:rPr>
                        <w:rFonts w:ascii="宋体" w:hAnsi="宋体"/>
                        <w:sz w:val="28"/>
                        <w:szCs w:val="28"/>
                      </w:rPr>
                      <w:fldChar w:fldCharType="separate"/>
                    </w:r>
                    <w:r>
                      <w:rPr>
                        <w:rStyle w:val="9"/>
                        <w:rFonts w:ascii="宋体" w:hAnsi="宋体"/>
                        <w:sz w:val="28"/>
                        <w:szCs w:val="28"/>
                      </w:rPr>
                      <w:t>- 7 -</w:t>
                    </w:r>
                    <w:r>
                      <w:rPr>
                        <w:rFonts w:ascii="宋体" w:hAnsi="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42E4D">
    <w:pPr>
      <w:pStyle w:val="4"/>
      <w:framePr w:wrap="around" w:vAnchor="text" w:hAnchor="margin" w:xAlign="outside" w:y="1"/>
      <w:rPr>
        <w:rStyle w:val="9"/>
      </w:rPr>
    </w:pPr>
    <w:r>
      <w:fldChar w:fldCharType="begin"/>
    </w:r>
    <w:r>
      <w:rPr>
        <w:rStyle w:val="9"/>
      </w:rPr>
      <w:instrText xml:space="preserve">PAGE  </w:instrText>
    </w:r>
    <w:r>
      <w:fldChar w:fldCharType="end"/>
    </w:r>
  </w:p>
  <w:p w14:paraId="4258CCA5">
    <w:pPr>
      <w:pStyle w:val="4"/>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F49CA">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E32E00"/>
    <w:rsid w:val="28E32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customStyle="1" w:styleId="2">
    <w:name w:val="正文首行缩进 21"/>
    <w:basedOn w:val="1"/>
    <w:qFormat/>
    <w:uiPriority w:val="99"/>
    <w:pPr>
      <w:ind w:left="420" w:leftChars="200" w:firstLine="420" w:firstLineChars="200"/>
    </w:pPr>
    <w:rPr>
      <w:rFonts w:ascii="Calibri" w:hAnsi="Calibri" w:eastAsia="宋体" w:cs="宋体"/>
      <w:sz w:val="21"/>
      <w:szCs w:val="24"/>
    </w:rPr>
  </w:style>
  <w:style w:type="paragraph" w:styleId="3">
    <w:name w:val="Plain Text"/>
    <w:basedOn w:val="1"/>
    <w:uiPriority w:val="0"/>
    <w:rPr>
      <w:rFonts w:ascii="宋体" w:hAnsi="Courier New" w:eastAsia="楷体_GB2312"/>
      <w:sz w:val="28"/>
      <w:szCs w:val="20"/>
    </w:rPr>
  </w:style>
  <w:style w:type="paragraph" w:styleId="4">
    <w:name w:val="footer"/>
    <w:basedOn w:val="1"/>
    <w:uiPriority w:val="0"/>
    <w:pPr>
      <w:tabs>
        <w:tab w:val="center" w:pos="4153"/>
        <w:tab w:val="right" w:pos="8306"/>
      </w:tabs>
      <w:snapToGrid w:val="0"/>
      <w:jc w:val="left"/>
    </w:pPr>
    <w:rPr>
      <w:sz w:val="18"/>
      <w:szCs w:val="18"/>
    </w:rPr>
  </w:style>
  <w:style w:type="paragraph" w:styleId="5">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iPriority w:val="0"/>
    <w:pPr>
      <w:widowControl/>
      <w:spacing w:before="100" w:beforeLines="0" w:beforeAutospacing="1" w:after="100" w:afterLines="0" w:afterAutospacing="1"/>
      <w:jc w:val="left"/>
    </w:pPr>
    <w:rPr>
      <w:rFonts w:ascii="宋体" w:hAnsi="宋体" w:cs="宋体"/>
      <w:color w:val="000000"/>
      <w:kern w:val="0"/>
      <w:sz w:val="24"/>
    </w:rPr>
  </w:style>
  <w:style w:type="character" w:styleId="9">
    <w:name w:val="page number"/>
    <w:uiPriority w:val="0"/>
  </w:style>
  <w:style w:type="paragraph" w:customStyle="1" w:styleId="10">
    <w:name w:val="p0"/>
    <w:basedOn w:val="1"/>
    <w:uiPriority w:val="0"/>
    <w:pPr>
      <w:widowControl/>
      <w:spacing w:before="100" w:beforeLines="0" w:beforeAutospacing="1" w:after="100" w:afterLines="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2025-03-27T00:57:00Z</dcterms:created>
  <dc:creator>Z</dc:creator>
  <cp:lastModifiedBy>Z</cp:lastModifiedBy>
  <dcterms:modified xsi:type="dcterms:W3CDTF">2025-03-27T00:58:30Z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628DAC63CC0B4D4C889A80E389872C03_11</vt:lpwstr>
  </property>
  <property fmtid="{D5CDD505-2E9C-101B-9397-08002B2CF9AE}" pid="4" name="KSOTemplateDocerSaveRecord">
    <vt:lpwstr>eyJoZGlkIjoiMGFiZDRkYjYxYWVhMWE0MThhYzJlYzhiOGJhMzViZTAiLCJ1c2VySWQiOiIzNDQzOTMzNDMifQ==</vt:lpwstr>
  </property>
</Properties>
</file>