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F637BF">
      <w:pPr>
        <w:jc w:val="center"/>
        <w:rPr>
          <w:rFonts w:ascii="黑体" w:hAnsi="黑体" w:eastAsia="黑体"/>
          <w:color w:val="000000"/>
          <w:sz w:val="36"/>
          <w:szCs w:val="36"/>
        </w:rPr>
      </w:pPr>
    </w:p>
    <w:p w14:paraId="1D0739A9">
      <w:pPr>
        <w:jc w:val="center"/>
        <w:rPr>
          <w:rFonts w:ascii="黑体" w:hAnsi="黑体" w:eastAsia="黑体"/>
          <w:color w:val="000000"/>
          <w:sz w:val="36"/>
          <w:szCs w:val="36"/>
        </w:rPr>
      </w:pPr>
    </w:p>
    <w:p w14:paraId="46C7642A">
      <w:pPr>
        <w:jc w:val="center"/>
        <w:rPr>
          <w:rFonts w:ascii="黑体" w:hAnsi="黑体" w:eastAsia="黑体"/>
          <w:color w:val="000000"/>
          <w:sz w:val="36"/>
          <w:szCs w:val="36"/>
        </w:rPr>
      </w:pPr>
    </w:p>
    <w:p w14:paraId="1883F587">
      <w:pPr>
        <w:jc w:val="center"/>
        <w:rPr>
          <w:rFonts w:ascii="黑体" w:hAnsi="黑体" w:eastAsia="黑体"/>
          <w:color w:val="000000"/>
          <w:sz w:val="36"/>
          <w:szCs w:val="36"/>
        </w:rPr>
      </w:pPr>
    </w:p>
    <w:p w14:paraId="42F5138C">
      <w:pPr>
        <w:jc w:val="center"/>
        <w:rPr>
          <w:rFonts w:ascii="黑体" w:hAnsi="黑体" w:eastAsia="黑体"/>
          <w:color w:val="000000"/>
          <w:sz w:val="36"/>
          <w:szCs w:val="36"/>
        </w:rPr>
      </w:pPr>
      <w:r>
        <w:rPr>
          <w:rFonts w:hint="eastAsia" w:ascii="黑体" w:hAnsi="黑体" w:eastAsia="黑体"/>
          <w:b/>
          <w:bCs/>
          <w:color w:val="000000"/>
          <w:sz w:val="44"/>
          <w:szCs w:val="44"/>
        </w:rPr>
        <w:t>乳山市综合交通运输“十四五”发展规划</w:t>
      </w:r>
    </w:p>
    <w:p w14:paraId="69520D3D">
      <w:pPr>
        <w:jc w:val="center"/>
        <w:rPr>
          <w:rFonts w:hint="eastAsia" w:ascii="黑体" w:hAnsi="黑体" w:eastAsia="黑体"/>
          <w:color w:val="000000"/>
          <w:sz w:val="36"/>
          <w:szCs w:val="36"/>
          <w:lang w:eastAsia="zh-CN"/>
        </w:rPr>
      </w:pPr>
      <w:r>
        <w:rPr>
          <w:rFonts w:hint="eastAsia" w:ascii="黑体" w:hAnsi="黑体" w:eastAsia="黑体"/>
          <w:color w:val="000000"/>
          <w:sz w:val="36"/>
          <w:szCs w:val="36"/>
          <w:lang w:eastAsia="zh-CN"/>
        </w:rPr>
        <w:t>（征求意见稿）</w:t>
      </w:r>
    </w:p>
    <w:p w14:paraId="51046606">
      <w:pPr>
        <w:jc w:val="center"/>
        <w:rPr>
          <w:rFonts w:ascii="黑体" w:hAnsi="黑体" w:eastAsia="黑体"/>
          <w:color w:val="000000"/>
          <w:sz w:val="36"/>
          <w:szCs w:val="36"/>
        </w:rPr>
      </w:pPr>
    </w:p>
    <w:p w14:paraId="22D95A33">
      <w:pPr>
        <w:jc w:val="center"/>
        <w:rPr>
          <w:rFonts w:ascii="黑体" w:hAnsi="黑体" w:eastAsia="黑体"/>
          <w:color w:val="000000"/>
          <w:sz w:val="36"/>
          <w:szCs w:val="36"/>
        </w:rPr>
      </w:pPr>
    </w:p>
    <w:p w14:paraId="6A8A6241">
      <w:pPr>
        <w:jc w:val="center"/>
        <w:rPr>
          <w:rFonts w:ascii="黑体" w:hAnsi="黑体" w:eastAsia="黑体"/>
          <w:color w:val="000000"/>
          <w:sz w:val="36"/>
          <w:szCs w:val="36"/>
        </w:rPr>
      </w:pPr>
    </w:p>
    <w:p w14:paraId="7BCA2C64">
      <w:pPr>
        <w:jc w:val="center"/>
        <w:rPr>
          <w:rFonts w:ascii="黑体" w:hAnsi="黑体" w:eastAsia="黑体"/>
          <w:color w:val="000000"/>
          <w:sz w:val="36"/>
          <w:szCs w:val="36"/>
        </w:rPr>
      </w:pPr>
    </w:p>
    <w:p w14:paraId="1CEDC239">
      <w:pPr>
        <w:jc w:val="center"/>
        <w:rPr>
          <w:rFonts w:ascii="黑体" w:hAnsi="黑体" w:eastAsia="黑体"/>
          <w:color w:val="000000"/>
          <w:sz w:val="36"/>
          <w:szCs w:val="36"/>
        </w:rPr>
      </w:pPr>
    </w:p>
    <w:p w14:paraId="25233B19">
      <w:pPr>
        <w:jc w:val="center"/>
        <w:rPr>
          <w:rFonts w:ascii="黑体" w:hAnsi="黑体" w:eastAsia="黑体"/>
          <w:color w:val="000000"/>
          <w:sz w:val="36"/>
          <w:szCs w:val="36"/>
        </w:rPr>
      </w:pPr>
    </w:p>
    <w:p w14:paraId="4070F35C">
      <w:pPr>
        <w:jc w:val="center"/>
        <w:rPr>
          <w:rFonts w:ascii="黑体" w:hAnsi="黑体" w:eastAsia="黑体"/>
          <w:color w:val="000000"/>
          <w:sz w:val="36"/>
          <w:szCs w:val="36"/>
        </w:rPr>
      </w:pPr>
    </w:p>
    <w:p w14:paraId="3FE99573">
      <w:pPr>
        <w:adjustRightInd w:val="0"/>
        <w:snapToGrid w:val="0"/>
        <w:spacing w:line="360" w:lineRule="auto"/>
        <w:ind w:firstLine="482" w:firstLineChars="200"/>
        <w:jc w:val="center"/>
        <w:rPr>
          <w:b/>
          <w:bCs/>
          <w:color w:val="000000"/>
          <w:sz w:val="24"/>
        </w:rPr>
      </w:pPr>
    </w:p>
    <w:p w14:paraId="5D9FC1BF">
      <w:pPr>
        <w:adjustRightInd w:val="0"/>
        <w:snapToGrid w:val="0"/>
        <w:spacing w:line="360" w:lineRule="auto"/>
        <w:ind w:firstLine="482" w:firstLineChars="200"/>
        <w:jc w:val="center"/>
        <w:rPr>
          <w:b/>
          <w:bCs/>
          <w:color w:val="000000"/>
          <w:sz w:val="24"/>
        </w:rPr>
      </w:pPr>
    </w:p>
    <w:p w14:paraId="20E97D7F">
      <w:pPr>
        <w:adjustRightInd w:val="0"/>
        <w:snapToGrid w:val="0"/>
        <w:spacing w:line="360" w:lineRule="auto"/>
        <w:ind w:firstLine="482" w:firstLineChars="200"/>
        <w:jc w:val="center"/>
        <w:rPr>
          <w:b/>
          <w:bCs/>
          <w:color w:val="000000"/>
          <w:sz w:val="24"/>
        </w:rPr>
      </w:pPr>
    </w:p>
    <w:p w14:paraId="638A2B3E">
      <w:pPr>
        <w:adjustRightInd w:val="0"/>
        <w:snapToGrid w:val="0"/>
        <w:spacing w:line="360" w:lineRule="auto"/>
        <w:ind w:firstLine="482" w:firstLineChars="200"/>
        <w:jc w:val="center"/>
        <w:rPr>
          <w:b/>
          <w:bCs/>
          <w:color w:val="000000"/>
          <w:sz w:val="24"/>
        </w:rPr>
      </w:pPr>
    </w:p>
    <w:p w14:paraId="4AD812A3">
      <w:pPr>
        <w:adjustRightInd w:val="0"/>
        <w:snapToGrid w:val="0"/>
        <w:spacing w:line="360" w:lineRule="auto"/>
        <w:ind w:firstLine="482" w:firstLineChars="200"/>
        <w:jc w:val="center"/>
        <w:rPr>
          <w:b/>
          <w:bCs/>
          <w:color w:val="000000"/>
          <w:sz w:val="24"/>
        </w:rPr>
      </w:pPr>
    </w:p>
    <w:p w14:paraId="7E9345DB">
      <w:pPr>
        <w:adjustRightInd w:val="0"/>
        <w:snapToGrid w:val="0"/>
        <w:spacing w:line="360" w:lineRule="auto"/>
        <w:jc w:val="center"/>
        <w:rPr>
          <w:b/>
          <w:bCs/>
          <w:color w:val="000000"/>
          <w:sz w:val="28"/>
          <w:szCs w:val="28"/>
        </w:rPr>
      </w:pPr>
      <w:r>
        <w:rPr>
          <w:rFonts w:hint="eastAsia"/>
          <w:b/>
          <w:bCs/>
          <w:color w:val="000000"/>
          <w:sz w:val="28"/>
          <w:szCs w:val="28"/>
        </w:rPr>
        <w:t>乳山</w:t>
      </w:r>
      <w:r>
        <w:rPr>
          <w:b/>
          <w:bCs/>
          <w:color w:val="000000"/>
          <w:sz w:val="28"/>
          <w:szCs w:val="28"/>
        </w:rPr>
        <w:t>市交通运输局</w:t>
      </w:r>
    </w:p>
    <w:p w14:paraId="602E5DCF">
      <w:pPr>
        <w:adjustRightInd w:val="0"/>
        <w:snapToGrid w:val="0"/>
        <w:spacing w:line="360" w:lineRule="auto"/>
        <w:jc w:val="center"/>
        <w:rPr>
          <w:b/>
          <w:bCs/>
          <w:color w:val="000000"/>
          <w:sz w:val="28"/>
          <w:szCs w:val="28"/>
        </w:rPr>
      </w:pPr>
      <w:r>
        <w:rPr>
          <w:rFonts w:hint="eastAsia"/>
          <w:b/>
          <w:bCs/>
          <w:color w:val="000000"/>
          <w:sz w:val="28"/>
          <w:szCs w:val="28"/>
        </w:rPr>
        <w:t>济南毅行交通技术咨询有限公司</w:t>
      </w:r>
    </w:p>
    <w:p w14:paraId="754BDD08">
      <w:pPr>
        <w:adjustRightInd w:val="0"/>
        <w:snapToGrid w:val="0"/>
        <w:spacing w:line="360" w:lineRule="auto"/>
        <w:jc w:val="center"/>
        <w:rPr>
          <w:b/>
          <w:bCs/>
          <w:color w:val="000000"/>
          <w:sz w:val="28"/>
          <w:szCs w:val="28"/>
        </w:rPr>
      </w:pPr>
      <w:r>
        <w:rPr>
          <w:rFonts w:hint="eastAsia"/>
          <w:b/>
          <w:bCs/>
          <w:color w:val="000000"/>
          <w:sz w:val="28"/>
          <w:szCs w:val="28"/>
        </w:rPr>
        <w:t>山东建筑大学交通工程学院</w:t>
      </w:r>
    </w:p>
    <w:p w14:paraId="7AF4EE58">
      <w:pPr>
        <w:adjustRightInd w:val="0"/>
        <w:snapToGrid w:val="0"/>
        <w:spacing w:line="360" w:lineRule="auto"/>
        <w:jc w:val="center"/>
        <w:rPr>
          <w:b/>
          <w:bCs/>
          <w:color w:val="000000"/>
          <w:sz w:val="28"/>
          <w:szCs w:val="28"/>
        </w:rPr>
      </w:pPr>
      <w:r>
        <w:rPr>
          <w:rFonts w:hint="eastAsia"/>
          <w:b/>
          <w:bCs/>
          <w:color w:val="000000"/>
          <w:sz w:val="28"/>
          <w:szCs w:val="28"/>
        </w:rPr>
        <w:t>202</w:t>
      </w:r>
      <w:r>
        <w:rPr>
          <w:b/>
          <w:bCs/>
          <w:color w:val="000000"/>
          <w:sz w:val="28"/>
          <w:szCs w:val="28"/>
        </w:rPr>
        <w:t>1</w:t>
      </w:r>
      <w:r>
        <w:rPr>
          <w:rFonts w:hint="eastAsia"/>
          <w:b/>
          <w:bCs/>
          <w:color w:val="000000"/>
          <w:sz w:val="28"/>
          <w:szCs w:val="28"/>
        </w:rPr>
        <w:t>年</w:t>
      </w:r>
      <w:r>
        <w:rPr>
          <w:b/>
          <w:bCs/>
          <w:color w:val="FF0000"/>
          <w:sz w:val="28"/>
          <w:szCs w:val="28"/>
        </w:rPr>
        <w:t>12</w:t>
      </w:r>
      <w:r>
        <w:rPr>
          <w:rFonts w:hint="eastAsia"/>
          <w:b/>
          <w:bCs/>
          <w:color w:val="000000"/>
          <w:sz w:val="28"/>
          <w:szCs w:val="28"/>
        </w:rPr>
        <w:t>月</w:t>
      </w:r>
    </w:p>
    <w:p w14:paraId="2D2AC241">
      <w:pPr>
        <w:jc w:val="center"/>
        <w:rPr>
          <w:rFonts w:ascii="黑体" w:hAnsi="黑体" w:eastAsia="黑体"/>
          <w:color w:val="000000"/>
          <w:sz w:val="36"/>
          <w:szCs w:val="36"/>
        </w:rPr>
      </w:pPr>
    </w:p>
    <w:p w14:paraId="056E5D79">
      <w:pPr>
        <w:pageBreakBefore/>
        <w:jc w:val="center"/>
        <w:rPr>
          <w:rFonts w:ascii="黑体" w:hAnsi="黑体" w:eastAsia="黑体"/>
          <w:color w:val="000000"/>
          <w:sz w:val="36"/>
          <w:szCs w:val="36"/>
        </w:rPr>
        <w:sectPr>
          <w:headerReference r:id="rId3" w:type="default"/>
          <w:footerReference r:id="rId4" w:type="default"/>
          <w:pgSz w:w="11906" w:h="16838"/>
          <w:pgMar w:top="1440" w:right="1800" w:bottom="1440" w:left="1800" w:header="851" w:footer="992" w:gutter="0"/>
          <w:cols w:space="425" w:num="1"/>
          <w:titlePg/>
          <w:docGrid w:type="lines" w:linePitch="312" w:charSpace="0"/>
        </w:sectPr>
      </w:pPr>
    </w:p>
    <w:p w14:paraId="7236B91D">
      <w:pPr>
        <w:pageBreakBefore/>
        <w:jc w:val="center"/>
        <w:rPr>
          <w:rFonts w:ascii="黑体" w:hAnsi="黑体" w:eastAsia="黑体"/>
          <w:color w:val="000000"/>
          <w:sz w:val="36"/>
          <w:szCs w:val="36"/>
        </w:rPr>
      </w:pPr>
      <w:r>
        <w:rPr>
          <w:rFonts w:hint="eastAsia" w:ascii="黑体" w:hAnsi="黑体" w:eastAsia="黑体"/>
          <w:color w:val="000000"/>
          <w:sz w:val="36"/>
          <w:szCs w:val="36"/>
        </w:rPr>
        <w:t>规划编制人员</w:t>
      </w:r>
    </w:p>
    <w:p w14:paraId="1F53D3A8">
      <w:pPr>
        <w:jc w:val="center"/>
        <w:rPr>
          <w:rFonts w:ascii="黑体" w:hAnsi="黑体" w:eastAsia="黑体"/>
          <w:color w:val="000000"/>
          <w:sz w:val="36"/>
          <w:szCs w:val="36"/>
        </w:rPr>
      </w:pPr>
      <w:bookmarkStart w:id="72" w:name="_GoBack"/>
      <w:bookmarkEnd w:id="72"/>
    </w:p>
    <w:p w14:paraId="32D51270">
      <w:pPr>
        <w:jc w:val="center"/>
        <w:rPr>
          <w:rFonts w:ascii="黑体" w:hAnsi="黑体" w:eastAsia="黑体"/>
          <w:color w:val="000000"/>
          <w:sz w:val="36"/>
          <w:szCs w:val="36"/>
        </w:rPr>
      </w:pP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8"/>
        <w:gridCol w:w="1608"/>
        <w:gridCol w:w="1911"/>
        <w:gridCol w:w="3165"/>
      </w:tblGrid>
      <w:tr w14:paraId="1DF6B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tcPr>
          <w:p w14:paraId="7D07B8C4">
            <w:pPr>
              <w:rPr>
                <w:rFonts w:ascii="黑体" w:hAnsi="黑体" w:eastAsia="黑体"/>
                <w:color w:val="000000"/>
                <w:sz w:val="36"/>
                <w:szCs w:val="36"/>
              </w:rPr>
            </w:pPr>
          </w:p>
        </w:tc>
        <w:tc>
          <w:tcPr>
            <w:tcW w:w="1608" w:type="dxa"/>
          </w:tcPr>
          <w:p w14:paraId="52C36B1B">
            <w:pPr>
              <w:rPr>
                <w:rFonts w:ascii="黑体" w:hAnsi="黑体" w:eastAsia="黑体"/>
                <w:color w:val="000000"/>
                <w:sz w:val="36"/>
                <w:szCs w:val="36"/>
              </w:rPr>
            </w:pPr>
            <w:r>
              <w:rPr>
                <w:rFonts w:hint="eastAsia" w:ascii="黑体" w:hAnsi="黑体" w:eastAsia="黑体"/>
                <w:color w:val="000000"/>
                <w:sz w:val="36"/>
                <w:szCs w:val="36"/>
              </w:rPr>
              <w:t>姓名</w:t>
            </w:r>
          </w:p>
        </w:tc>
        <w:tc>
          <w:tcPr>
            <w:tcW w:w="1911" w:type="dxa"/>
          </w:tcPr>
          <w:p w14:paraId="4C3B6758">
            <w:pPr>
              <w:rPr>
                <w:rFonts w:ascii="黑体" w:hAnsi="黑体" w:eastAsia="黑体"/>
                <w:color w:val="000000"/>
                <w:sz w:val="36"/>
                <w:szCs w:val="36"/>
              </w:rPr>
            </w:pPr>
            <w:r>
              <w:rPr>
                <w:rFonts w:hint="eastAsia" w:ascii="黑体" w:hAnsi="黑体" w:eastAsia="黑体"/>
                <w:color w:val="000000"/>
                <w:sz w:val="36"/>
                <w:szCs w:val="36"/>
              </w:rPr>
              <w:t>职称</w:t>
            </w:r>
          </w:p>
        </w:tc>
        <w:tc>
          <w:tcPr>
            <w:tcW w:w="3165" w:type="dxa"/>
          </w:tcPr>
          <w:p w14:paraId="3722F17D">
            <w:pPr>
              <w:rPr>
                <w:rFonts w:ascii="黑体" w:hAnsi="黑体" w:eastAsia="黑体"/>
                <w:color w:val="000000"/>
                <w:sz w:val="36"/>
                <w:szCs w:val="36"/>
              </w:rPr>
            </w:pPr>
            <w:r>
              <w:rPr>
                <w:rFonts w:hint="eastAsia" w:ascii="黑体" w:hAnsi="黑体" w:eastAsia="黑体"/>
                <w:color w:val="000000"/>
                <w:sz w:val="36"/>
                <w:szCs w:val="36"/>
              </w:rPr>
              <w:t>备注</w:t>
            </w:r>
          </w:p>
        </w:tc>
      </w:tr>
      <w:tr w14:paraId="65937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tcPr>
          <w:p w14:paraId="09FCB24E">
            <w:pPr>
              <w:rPr>
                <w:rFonts w:ascii="黑体" w:hAnsi="黑体" w:eastAsia="黑体"/>
                <w:color w:val="000000"/>
                <w:sz w:val="30"/>
                <w:szCs w:val="30"/>
              </w:rPr>
            </w:pPr>
            <w:r>
              <w:rPr>
                <w:rFonts w:hint="eastAsia" w:ascii="黑体" w:hAnsi="黑体" w:eastAsia="黑体"/>
                <w:color w:val="000000"/>
                <w:sz w:val="30"/>
                <w:szCs w:val="30"/>
              </w:rPr>
              <w:t>项目负责人</w:t>
            </w:r>
          </w:p>
        </w:tc>
        <w:tc>
          <w:tcPr>
            <w:tcW w:w="1608" w:type="dxa"/>
          </w:tcPr>
          <w:p w14:paraId="65802956">
            <w:pPr>
              <w:rPr>
                <w:rFonts w:ascii="黑体" w:hAnsi="黑体" w:eastAsia="黑体"/>
                <w:color w:val="000000"/>
                <w:sz w:val="30"/>
                <w:szCs w:val="30"/>
              </w:rPr>
            </w:pPr>
            <w:r>
              <w:rPr>
                <w:rFonts w:hint="eastAsia" w:ascii="黑体" w:hAnsi="黑体" w:eastAsia="黑体"/>
                <w:color w:val="000000"/>
                <w:sz w:val="30"/>
                <w:szCs w:val="30"/>
              </w:rPr>
              <w:t>牟振华</w:t>
            </w:r>
          </w:p>
        </w:tc>
        <w:tc>
          <w:tcPr>
            <w:tcW w:w="1911" w:type="dxa"/>
          </w:tcPr>
          <w:p w14:paraId="020E74CF">
            <w:pPr>
              <w:rPr>
                <w:rFonts w:ascii="黑体" w:hAnsi="黑体" w:eastAsia="黑体"/>
                <w:color w:val="000000"/>
                <w:sz w:val="30"/>
                <w:szCs w:val="30"/>
              </w:rPr>
            </w:pPr>
            <w:r>
              <w:rPr>
                <w:rFonts w:hint="eastAsia" w:ascii="黑体" w:hAnsi="黑体" w:eastAsia="黑体"/>
                <w:color w:val="000000"/>
                <w:sz w:val="30"/>
                <w:szCs w:val="30"/>
              </w:rPr>
              <w:t>教授</w:t>
            </w:r>
          </w:p>
        </w:tc>
        <w:tc>
          <w:tcPr>
            <w:tcW w:w="3165" w:type="dxa"/>
          </w:tcPr>
          <w:p w14:paraId="47911E8D">
            <w:pPr>
              <w:rPr>
                <w:rFonts w:ascii="黑体" w:hAnsi="黑体" w:eastAsia="黑体"/>
                <w:color w:val="000000"/>
                <w:sz w:val="30"/>
                <w:szCs w:val="30"/>
              </w:rPr>
            </w:pPr>
            <w:r>
              <w:rPr>
                <w:rFonts w:hint="eastAsia" w:ascii="黑体" w:hAnsi="黑体" w:eastAsia="黑体"/>
                <w:color w:val="000000"/>
                <w:sz w:val="30"/>
                <w:szCs w:val="30"/>
              </w:rPr>
              <w:t>注册城乡规划师</w:t>
            </w:r>
          </w:p>
        </w:tc>
      </w:tr>
      <w:tr w14:paraId="53275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restart"/>
          </w:tcPr>
          <w:p w14:paraId="03C78B62">
            <w:pPr>
              <w:rPr>
                <w:rFonts w:ascii="黑体" w:hAnsi="黑体" w:eastAsia="黑体"/>
                <w:color w:val="000000"/>
                <w:sz w:val="30"/>
                <w:szCs w:val="30"/>
              </w:rPr>
            </w:pPr>
            <w:r>
              <w:rPr>
                <w:rFonts w:hint="eastAsia" w:ascii="黑体" w:hAnsi="黑体" w:eastAsia="黑体"/>
                <w:color w:val="000000"/>
                <w:sz w:val="30"/>
                <w:szCs w:val="30"/>
              </w:rPr>
              <w:t>编写人员</w:t>
            </w:r>
          </w:p>
        </w:tc>
        <w:tc>
          <w:tcPr>
            <w:tcW w:w="1608" w:type="dxa"/>
          </w:tcPr>
          <w:p w14:paraId="6633B18C">
            <w:pPr>
              <w:rPr>
                <w:rFonts w:ascii="黑体" w:hAnsi="黑体" w:eastAsia="黑体"/>
                <w:color w:val="000000"/>
                <w:sz w:val="30"/>
                <w:szCs w:val="30"/>
              </w:rPr>
            </w:pPr>
            <w:r>
              <w:rPr>
                <w:rFonts w:hint="eastAsia" w:ascii="黑体" w:hAnsi="黑体" w:eastAsia="黑体"/>
                <w:color w:val="000000"/>
                <w:sz w:val="30"/>
                <w:szCs w:val="30"/>
              </w:rPr>
              <w:t>于晓桦</w:t>
            </w:r>
          </w:p>
        </w:tc>
        <w:tc>
          <w:tcPr>
            <w:tcW w:w="1911" w:type="dxa"/>
          </w:tcPr>
          <w:p w14:paraId="07735929">
            <w:pPr>
              <w:rPr>
                <w:rFonts w:ascii="黑体" w:hAnsi="黑体" w:eastAsia="黑体"/>
                <w:color w:val="000000"/>
                <w:sz w:val="30"/>
                <w:szCs w:val="30"/>
              </w:rPr>
            </w:pPr>
            <w:r>
              <w:rPr>
                <w:rFonts w:hint="eastAsia" w:ascii="黑体" w:hAnsi="黑体" w:eastAsia="黑体"/>
                <w:color w:val="000000"/>
                <w:sz w:val="30"/>
                <w:szCs w:val="30"/>
              </w:rPr>
              <w:t>副教授</w:t>
            </w:r>
          </w:p>
        </w:tc>
        <w:tc>
          <w:tcPr>
            <w:tcW w:w="3165" w:type="dxa"/>
          </w:tcPr>
          <w:p w14:paraId="0EC5E78C">
            <w:pPr>
              <w:rPr>
                <w:rFonts w:ascii="黑体" w:hAnsi="黑体" w:eastAsia="黑体"/>
                <w:color w:val="000000"/>
                <w:sz w:val="30"/>
                <w:szCs w:val="30"/>
              </w:rPr>
            </w:pPr>
          </w:p>
        </w:tc>
      </w:tr>
      <w:tr w14:paraId="662C4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continue"/>
          </w:tcPr>
          <w:p w14:paraId="698DBB14">
            <w:pPr>
              <w:rPr>
                <w:rFonts w:ascii="黑体" w:hAnsi="黑体" w:eastAsia="黑体"/>
                <w:color w:val="000000"/>
                <w:sz w:val="30"/>
                <w:szCs w:val="30"/>
              </w:rPr>
            </w:pPr>
          </w:p>
        </w:tc>
        <w:tc>
          <w:tcPr>
            <w:tcW w:w="1608" w:type="dxa"/>
          </w:tcPr>
          <w:p w14:paraId="066459D7">
            <w:pPr>
              <w:rPr>
                <w:rFonts w:ascii="黑体" w:hAnsi="黑体" w:eastAsia="黑体"/>
                <w:color w:val="000000"/>
                <w:sz w:val="30"/>
                <w:szCs w:val="30"/>
              </w:rPr>
            </w:pPr>
            <w:r>
              <w:rPr>
                <w:rFonts w:hint="eastAsia" w:ascii="黑体" w:hAnsi="黑体" w:eastAsia="黑体"/>
                <w:color w:val="000000"/>
                <w:sz w:val="30"/>
                <w:szCs w:val="30"/>
              </w:rPr>
              <w:t>殷敬敬</w:t>
            </w:r>
          </w:p>
        </w:tc>
        <w:tc>
          <w:tcPr>
            <w:tcW w:w="1911" w:type="dxa"/>
          </w:tcPr>
          <w:p w14:paraId="3EADD2DF">
            <w:pPr>
              <w:rPr>
                <w:rFonts w:ascii="黑体" w:hAnsi="黑体" w:eastAsia="黑体"/>
                <w:color w:val="000000"/>
                <w:sz w:val="30"/>
                <w:szCs w:val="30"/>
              </w:rPr>
            </w:pPr>
            <w:r>
              <w:rPr>
                <w:rFonts w:hint="eastAsia" w:ascii="黑体" w:hAnsi="黑体" w:eastAsia="黑体"/>
                <w:color w:val="000000"/>
                <w:sz w:val="30"/>
                <w:szCs w:val="30"/>
              </w:rPr>
              <w:t>讲师</w:t>
            </w:r>
          </w:p>
        </w:tc>
        <w:tc>
          <w:tcPr>
            <w:tcW w:w="3165" w:type="dxa"/>
          </w:tcPr>
          <w:p w14:paraId="2FEF5ADF">
            <w:pPr>
              <w:rPr>
                <w:rFonts w:ascii="黑体" w:hAnsi="黑体" w:eastAsia="黑体"/>
                <w:color w:val="000000"/>
                <w:sz w:val="30"/>
                <w:szCs w:val="30"/>
              </w:rPr>
            </w:pPr>
          </w:p>
        </w:tc>
      </w:tr>
      <w:tr w14:paraId="0FAC7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continue"/>
          </w:tcPr>
          <w:p w14:paraId="08235ED7">
            <w:pPr>
              <w:rPr>
                <w:rFonts w:ascii="黑体" w:hAnsi="黑体" w:eastAsia="黑体"/>
                <w:color w:val="000000"/>
                <w:sz w:val="30"/>
                <w:szCs w:val="30"/>
              </w:rPr>
            </w:pPr>
          </w:p>
        </w:tc>
        <w:tc>
          <w:tcPr>
            <w:tcW w:w="1608" w:type="dxa"/>
          </w:tcPr>
          <w:p w14:paraId="3E824013">
            <w:pPr>
              <w:rPr>
                <w:rFonts w:ascii="黑体" w:hAnsi="黑体" w:eastAsia="黑体"/>
                <w:color w:val="000000"/>
                <w:sz w:val="30"/>
                <w:szCs w:val="30"/>
              </w:rPr>
            </w:pPr>
            <w:r>
              <w:rPr>
                <w:rFonts w:hint="eastAsia" w:ascii="黑体" w:hAnsi="黑体" w:eastAsia="黑体"/>
                <w:color w:val="000000"/>
                <w:sz w:val="30"/>
                <w:szCs w:val="30"/>
              </w:rPr>
              <w:t>于浩</w:t>
            </w:r>
          </w:p>
        </w:tc>
        <w:tc>
          <w:tcPr>
            <w:tcW w:w="1911" w:type="dxa"/>
          </w:tcPr>
          <w:p w14:paraId="586F70DA">
            <w:pPr>
              <w:rPr>
                <w:rFonts w:ascii="黑体" w:hAnsi="黑体" w:eastAsia="黑体"/>
                <w:color w:val="000000"/>
                <w:sz w:val="30"/>
                <w:szCs w:val="30"/>
              </w:rPr>
            </w:pPr>
            <w:r>
              <w:rPr>
                <w:rFonts w:hint="eastAsia" w:ascii="黑体" w:hAnsi="黑体" w:eastAsia="黑体"/>
                <w:color w:val="000000"/>
                <w:sz w:val="30"/>
                <w:szCs w:val="30"/>
              </w:rPr>
              <w:t>工程师</w:t>
            </w:r>
          </w:p>
        </w:tc>
        <w:tc>
          <w:tcPr>
            <w:tcW w:w="3165" w:type="dxa"/>
          </w:tcPr>
          <w:p w14:paraId="208C633B">
            <w:pPr>
              <w:rPr>
                <w:rFonts w:ascii="黑体" w:hAnsi="黑体" w:eastAsia="黑体"/>
                <w:color w:val="000000"/>
                <w:sz w:val="30"/>
                <w:szCs w:val="30"/>
              </w:rPr>
            </w:pPr>
          </w:p>
        </w:tc>
      </w:tr>
      <w:tr w14:paraId="75F63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continue"/>
          </w:tcPr>
          <w:p w14:paraId="646EE042">
            <w:pPr>
              <w:rPr>
                <w:rFonts w:ascii="黑体" w:hAnsi="黑体" w:eastAsia="黑体"/>
                <w:color w:val="000000"/>
                <w:sz w:val="30"/>
                <w:szCs w:val="30"/>
              </w:rPr>
            </w:pPr>
          </w:p>
        </w:tc>
        <w:tc>
          <w:tcPr>
            <w:tcW w:w="1608" w:type="dxa"/>
          </w:tcPr>
          <w:p w14:paraId="3210BA23">
            <w:pPr>
              <w:rPr>
                <w:rFonts w:ascii="黑体" w:hAnsi="黑体" w:eastAsia="黑体"/>
                <w:color w:val="000000"/>
                <w:sz w:val="30"/>
                <w:szCs w:val="30"/>
              </w:rPr>
            </w:pPr>
            <w:r>
              <w:rPr>
                <w:rFonts w:hint="eastAsia" w:ascii="黑体" w:hAnsi="黑体" w:eastAsia="黑体"/>
                <w:color w:val="000000"/>
                <w:sz w:val="30"/>
                <w:szCs w:val="30"/>
              </w:rPr>
              <w:t>李想</w:t>
            </w:r>
          </w:p>
        </w:tc>
        <w:tc>
          <w:tcPr>
            <w:tcW w:w="1911" w:type="dxa"/>
          </w:tcPr>
          <w:p w14:paraId="6D2F9C29">
            <w:pPr>
              <w:rPr>
                <w:rFonts w:ascii="黑体" w:hAnsi="黑体" w:eastAsia="黑体"/>
                <w:color w:val="000000"/>
                <w:sz w:val="30"/>
                <w:szCs w:val="30"/>
              </w:rPr>
            </w:pPr>
            <w:r>
              <w:rPr>
                <w:rFonts w:hint="eastAsia" w:ascii="黑体" w:hAnsi="黑体" w:eastAsia="黑体"/>
                <w:color w:val="000000"/>
                <w:sz w:val="30"/>
                <w:szCs w:val="30"/>
              </w:rPr>
              <w:t>助理工程师</w:t>
            </w:r>
          </w:p>
        </w:tc>
        <w:tc>
          <w:tcPr>
            <w:tcW w:w="3165" w:type="dxa"/>
          </w:tcPr>
          <w:p w14:paraId="3C9DB0C6">
            <w:pPr>
              <w:rPr>
                <w:rFonts w:ascii="黑体" w:hAnsi="黑体" w:eastAsia="黑体"/>
                <w:color w:val="000000"/>
                <w:sz w:val="30"/>
                <w:szCs w:val="30"/>
              </w:rPr>
            </w:pPr>
          </w:p>
        </w:tc>
      </w:tr>
      <w:tr w14:paraId="78F36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continue"/>
          </w:tcPr>
          <w:p w14:paraId="3475A726">
            <w:pPr>
              <w:rPr>
                <w:rFonts w:ascii="黑体" w:hAnsi="黑体" w:eastAsia="黑体"/>
                <w:color w:val="000000"/>
                <w:sz w:val="30"/>
                <w:szCs w:val="30"/>
              </w:rPr>
            </w:pPr>
          </w:p>
        </w:tc>
        <w:tc>
          <w:tcPr>
            <w:tcW w:w="1608" w:type="dxa"/>
          </w:tcPr>
          <w:p w14:paraId="32CB5A94">
            <w:pPr>
              <w:rPr>
                <w:rFonts w:ascii="黑体" w:hAnsi="黑体" w:eastAsia="黑体"/>
                <w:color w:val="000000"/>
                <w:sz w:val="30"/>
                <w:szCs w:val="30"/>
              </w:rPr>
            </w:pPr>
            <w:r>
              <w:rPr>
                <w:rFonts w:hint="eastAsia" w:ascii="黑体" w:hAnsi="黑体" w:eastAsia="黑体"/>
                <w:color w:val="000000"/>
                <w:sz w:val="30"/>
                <w:szCs w:val="30"/>
              </w:rPr>
              <w:t>闫康礼</w:t>
            </w:r>
          </w:p>
        </w:tc>
        <w:tc>
          <w:tcPr>
            <w:tcW w:w="1911" w:type="dxa"/>
          </w:tcPr>
          <w:p w14:paraId="0CBDFE1E">
            <w:pPr>
              <w:rPr>
                <w:rFonts w:ascii="黑体" w:hAnsi="黑体" w:eastAsia="黑体"/>
                <w:color w:val="000000"/>
                <w:sz w:val="30"/>
                <w:szCs w:val="30"/>
              </w:rPr>
            </w:pPr>
            <w:r>
              <w:rPr>
                <w:rFonts w:hint="eastAsia" w:ascii="黑体" w:hAnsi="黑体" w:eastAsia="黑体"/>
                <w:color w:val="000000"/>
                <w:sz w:val="30"/>
                <w:szCs w:val="30"/>
              </w:rPr>
              <w:t>助理工程师</w:t>
            </w:r>
          </w:p>
        </w:tc>
        <w:tc>
          <w:tcPr>
            <w:tcW w:w="3165" w:type="dxa"/>
          </w:tcPr>
          <w:p w14:paraId="3CD05218">
            <w:pPr>
              <w:rPr>
                <w:rFonts w:ascii="黑体" w:hAnsi="黑体" w:eastAsia="黑体"/>
                <w:color w:val="000000"/>
                <w:sz w:val="30"/>
                <w:szCs w:val="30"/>
              </w:rPr>
            </w:pPr>
          </w:p>
        </w:tc>
      </w:tr>
      <w:tr w14:paraId="695AE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Merge w:val="continue"/>
          </w:tcPr>
          <w:p w14:paraId="25E5F873">
            <w:pPr>
              <w:rPr>
                <w:rFonts w:ascii="黑体" w:hAnsi="黑体" w:eastAsia="黑体"/>
                <w:color w:val="000000"/>
                <w:sz w:val="30"/>
                <w:szCs w:val="30"/>
              </w:rPr>
            </w:pPr>
          </w:p>
        </w:tc>
        <w:tc>
          <w:tcPr>
            <w:tcW w:w="1608" w:type="dxa"/>
          </w:tcPr>
          <w:p w14:paraId="2D8D46EB">
            <w:pPr>
              <w:rPr>
                <w:rFonts w:ascii="黑体" w:hAnsi="黑体" w:eastAsia="黑体"/>
                <w:color w:val="000000"/>
                <w:sz w:val="30"/>
                <w:szCs w:val="30"/>
              </w:rPr>
            </w:pPr>
            <w:r>
              <w:rPr>
                <w:rFonts w:hint="eastAsia" w:ascii="黑体" w:hAnsi="黑体" w:eastAsia="黑体"/>
                <w:color w:val="000000"/>
                <w:sz w:val="30"/>
                <w:szCs w:val="30"/>
              </w:rPr>
              <w:t>李克鹏</w:t>
            </w:r>
          </w:p>
        </w:tc>
        <w:tc>
          <w:tcPr>
            <w:tcW w:w="1911" w:type="dxa"/>
          </w:tcPr>
          <w:p w14:paraId="6176CA2F">
            <w:pPr>
              <w:rPr>
                <w:rFonts w:ascii="黑体" w:hAnsi="黑体" w:eastAsia="黑体"/>
                <w:color w:val="000000"/>
                <w:sz w:val="30"/>
                <w:szCs w:val="30"/>
              </w:rPr>
            </w:pPr>
            <w:r>
              <w:rPr>
                <w:rFonts w:hint="eastAsia" w:ascii="黑体" w:hAnsi="黑体" w:eastAsia="黑体"/>
                <w:color w:val="000000"/>
                <w:sz w:val="30"/>
                <w:szCs w:val="30"/>
              </w:rPr>
              <w:t>助理工程师</w:t>
            </w:r>
          </w:p>
        </w:tc>
        <w:tc>
          <w:tcPr>
            <w:tcW w:w="3165" w:type="dxa"/>
          </w:tcPr>
          <w:p w14:paraId="3555F412">
            <w:pPr>
              <w:rPr>
                <w:rFonts w:ascii="黑体" w:hAnsi="黑体" w:eastAsia="黑体"/>
                <w:color w:val="000000"/>
                <w:sz w:val="30"/>
                <w:szCs w:val="30"/>
              </w:rPr>
            </w:pPr>
          </w:p>
        </w:tc>
      </w:tr>
      <w:tr w14:paraId="77D15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8" w:type="dxa"/>
            <w:vAlign w:val="center"/>
          </w:tcPr>
          <w:p w14:paraId="15613E0F">
            <w:pPr>
              <w:rPr>
                <w:rFonts w:ascii="黑体" w:hAnsi="黑体" w:eastAsia="黑体"/>
                <w:color w:val="000000"/>
                <w:sz w:val="30"/>
                <w:szCs w:val="30"/>
              </w:rPr>
            </w:pPr>
            <w:r>
              <w:rPr>
                <w:rFonts w:hint="eastAsia" w:ascii="黑体" w:hAnsi="黑体" w:eastAsia="黑体"/>
                <w:color w:val="000000"/>
                <w:sz w:val="30"/>
                <w:szCs w:val="30"/>
              </w:rPr>
              <w:t>审核</w:t>
            </w:r>
          </w:p>
        </w:tc>
        <w:tc>
          <w:tcPr>
            <w:tcW w:w="1608" w:type="dxa"/>
            <w:vAlign w:val="center"/>
          </w:tcPr>
          <w:p w14:paraId="0D2F0175">
            <w:pPr>
              <w:rPr>
                <w:rFonts w:ascii="黑体" w:hAnsi="黑体" w:eastAsia="黑体"/>
                <w:color w:val="000000"/>
                <w:sz w:val="30"/>
                <w:szCs w:val="30"/>
              </w:rPr>
            </w:pPr>
            <w:r>
              <w:rPr>
                <w:rFonts w:hint="eastAsia" w:ascii="黑体" w:hAnsi="黑体" w:eastAsia="黑体"/>
                <w:color w:val="000000"/>
                <w:sz w:val="30"/>
                <w:szCs w:val="30"/>
              </w:rPr>
              <w:t>傅白白</w:t>
            </w:r>
          </w:p>
        </w:tc>
        <w:tc>
          <w:tcPr>
            <w:tcW w:w="1911" w:type="dxa"/>
            <w:vAlign w:val="center"/>
          </w:tcPr>
          <w:p w14:paraId="6E75736F">
            <w:pPr>
              <w:rPr>
                <w:rFonts w:ascii="黑体" w:hAnsi="黑体" w:eastAsia="黑体"/>
                <w:color w:val="000000"/>
                <w:sz w:val="30"/>
                <w:szCs w:val="30"/>
              </w:rPr>
            </w:pPr>
            <w:r>
              <w:rPr>
                <w:rFonts w:hint="eastAsia" w:ascii="黑体" w:hAnsi="黑体" w:eastAsia="黑体"/>
                <w:color w:val="000000"/>
                <w:sz w:val="30"/>
                <w:szCs w:val="30"/>
              </w:rPr>
              <w:t>教授</w:t>
            </w:r>
          </w:p>
        </w:tc>
        <w:tc>
          <w:tcPr>
            <w:tcW w:w="3165" w:type="dxa"/>
          </w:tcPr>
          <w:p w14:paraId="0614BD5B">
            <w:pPr>
              <w:rPr>
                <w:rFonts w:ascii="黑体" w:hAnsi="黑体" w:eastAsia="黑体"/>
                <w:color w:val="000000"/>
                <w:sz w:val="30"/>
                <w:szCs w:val="30"/>
              </w:rPr>
            </w:pPr>
            <w:r>
              <w:rPr>
                <w:rFonts w:hint="eastAsia" w:ascii="黑体" w:hAnsi="黑体" w:eastAsia="黑体"/>
                <w:color w:val="000000"/>
                <w:sz w:val="30"/>
                <w:szCs w:val="30"/>
              </w:rPr>
              <w:t>山东省“畅通工程”专家组成员</w:t>
            </w:r>
          </w:p>
        </w:tc>
      </w:tr>
    </w:tbl>
    <w:p w14:paraId="2F32A510">
      <w:pPr>
        <w:rPr>
          <w:rFonts w:ascii="黑体" w:hAnsi="黑体" w:eastAsia="黑体"/>
          <w:color w:val="000000"/>
          <w:sz w:val="36"/>
          <w:szCs w:val="36"/>
        </w:rPr>
      </w:pPr>
    </w:p>
    <w:p w14:paraId="4BE95D0B">
      <w:pPr>
        <w:pageBreakBefore/>
        <w:jc w:val="center"/>
        <w:rPr>
          <w:rFonts w:ascii="黑体" w:hAnsi="黑体" w:eastAsia="黑体"/>
          <w:color w:val="000000"/>
          <w:sz w:val="36"/>
          <w:szCs w:val="36"/>
        </w:rPr>
      </w:pPr>
      <w:r>
        <w:rPr>
          <w:rFonts w:hint="eastAsia" w:ascii="黑体" w:hAnsi="黑体" w:eastAsia="黑体"/>
          <w:color w:val="000000"/>
          <w:sz w:val="36"/>
          <w:szCs w:val="36"/>
        </w:rPr>
        <w:t>目录</w:t>
      </w:r>
    </w:p>
    <w:p w14:paraId="6390CAAD">
      <w:pPr>
        <w:pStyle w:val="9"/>
        <w:tabs>
          <w:tab w:val="right" w:leader="dot" w:pos="8296"/>
        </w:tabs>
        <w:rPr>
          <w:rFonts w:cs="宋体"/>
          <w:kern w:val="2"/>
          <w:sz w:val="21"/>
        </w:rPr>
      </w:pPr>
      <w:r>
        <w:rPr>
          <w:rFonts w:ascii="Times New Roman" w:hAnsi="Times New Roman" w:eastAsia="黑体"/>
          <w:color w:val="000000"/>
          <w:sz w:val="30"/>
          <w:szCs w:val="30"/>
        </w:rPr>
        <w:fldChar w:fldCharType="begin"/>
      </w:r>
      <w:r>
        <w:rPr>
          <w:rFonts w:ascii="Times New Roman" w:hAnsi="Times New Roman" w:eastAsia="黑体"/>
          <w:color w:val="000000"/>
          <w:sz w:val="30"/>
          <w:szCs w:val="30"/>
        </w:rPr>
        <w:instrText xml:space="preserve"> TOC \o "1-3" \h \z \u </w:instrText>
      </w:r>
      <w:r>
        <w:rPr>
          <w:rFonts w:ascii="Times New Roman" w:hAnsi="Times New Roman" w:eastAsia="黑体"/>
          <w:color w:val="000000"/>
          <w:sz w:val="30"/>
          <w:szCs w:val="30"/>
        </w:rPr>
        <w:fldChar w:fldCharType="separate"/>
      </w:r>
      <w:r>
        <w:fldChar w:fldCharType="begin"/>
      </w:r>
      <w:r>
        <w:instrText xml:space="preserve"> HYPERLINK \l "_Toc89371351" </w:instrText>
      </w:r>
      <w:r>
        <w:fldChar w:fldCharType="separate"/>
      </w:r>
      <w:r>
        <w:rPr>
          <w:rStyle w:val="17"/>
          <w:rFonts w:ascii="黑体" w:hAnsi="黑体" w:eastAsia="黑体" w:cs="黑体"/>
        </w:rPr>
        <w:t>第一章 规划背景</w:t>
      </w:r>
      <w:r>
        <w:tab/>
      </w:r>
      <w:r>
        <w:fldChar w:fldCharType="begin"/>
      </w:r>
      <w:r>
        <w:instrText xml:space="preserve"> PAGEREF _Toc89371351 \h </w:instrText>
      </w:r>
      <w:r>
        <w:fldChar w:fldCharType="separate"/>
      </w:r>
      <w:r>
        <w:t>1</w:t>
      </w:r>
      <w:r>
        <w:fldChar w:fldCharType="end"/>
      </w:r>
      <w:r>
        <w:fldChar w:fldCharType="end"/>
      </w:r>
    </w:p>
    <w:p w14:paraId="4D6B7E5E">
      <w:pPr>
        <w:pStyle w:val="10"/>
        <w:tabs>
          <w:tab w:val="right" w:leader="dot" w:pos="8296"/>
        </w:tabs>
        <w:rPr>
          <w:rFonts w:cs="宋体"/>
          <w:kern w:val="2"/>
          <w:sz w:val="21"/>
        </w:rPr>
      </w:pPr>
      <w:r>
        <w:fldChar w:fldCharType="begin"/>
      </w:r>
      <w:r>
        <w:instrText xml:space="preserve"> HYPERLINK \l "_Toc89371352" </w:instrText>
      </w:r>
      <w:r>
        <w:fldChar w:fldCharType="separate"/>
      </w:r>
      <w:r>
        <w:rPr>
          <w:rStyle w:val="17"/>
        </w:rPr>
        <w:t>（一）时代背景</w:t>
      </w:r>
      <w:r>
        <w:tab/>
      </w:r>
      <w:r>
        <w:fldChar w:fldCharType="begin"/>
      </w:r>
      <w:r>
        <w:instrText xml:space="preserve"> PAGEREF _Toc89371352 \h </w:instrText>
      </w:r>
      <w:r>
        <w:fldChar w:fldCharType="separate"/>
      </w:r>
      <w:r>
        <w:t>1</w:t>
      </w:r>
      <w:r>
        <w:fldChar w:fldCharType="end"/>
      </w:r>
      <w:r>
        <w:fldChar w:fldCharType="end"/>
      </w:r>
    </w:p>
    <w:p w14:paraId="664D1149">
      <w:pPr>
        <w:pStyle w:val="10"/>
        <w:tabs>
          <w:tab w:val="right" w:leader="dot" w:pos="8296"/>
        </w:tabs>
        <w:rPr>
          <w:rFonts w:cs="宋体"/>
          <w:kern w:val="2"/>
          <w:sz w:val="21"/>
        </w:rPr>
      </w:pPr>
      <w:r>
        <w:fldChar w:fldCharType="begin"/>
      </w:r>
      <w:r>
        <w:instrText xml:space="preserve"> HYPERLINK \l "_Toc89371353" </w:instrText>
      </w:r>
      <w:r>
        <w:fldChar w:fldCharType="separate"/>
      </w:r>
      <w:r>
        <w:rPr>
          <w:rStyle w:val="17"/>
        </w:rPr>
        <w:t>（二）面临形势</w:t>
      </w:r>
      <w:r>
        <w:tab/>
      </w:r>
      <w:r>
        <w:fldChar w:fldCharType="begin"/>
      </w:r>
      <w:r>
        <w:instrText xml:space="preserve"> PAGEREF _Toc89371353 \h </w:instrText>
      </w:r>
      <w:r>
        <w:fldChar w:fldCharType="separate"/>
      </w:r>
      <w:r>
        <w:t>1</w:t>
      </w:r>
      <w:r>
        <w:fldChar w:fldCharType="end"/>
      </w:r>
      <w:r>
        <w:fldChar w:fldCharType="end"/>
      </w:r>
    </w:p>
    <w:p w14:paraId="24F5934D">
      <w:pPr>
        <w:pStyle w:val="9"/>
        <w:tabs>
          <w:tab w:val="right" w:leader="dot" w:pos="8296"/>
        </w:tabs>
        <w:rPr>
          <w:rFonts w:cs="宋体"/>
          <w:kern w:val="2"/>
          <w:sz w:val="21"/>
        </w:rPr>
      </w:pPr>
      <w:r>
        <w:fldChar w:fldCharType="begin"/>
      </w:r>
      <w:r>
        <w:instrText xml:space="preserve"> HYPERLINK \l "_Toc89371354" </w:instrText>
      </w:r>
      <w:r>
        <w:fldChar w:fldCharType="separate"/>
      </w:r>
      <w:r>
        <w:rPr>
          <w:rStyle w:val="17"/>
          <w:rFonts w:ascii="黑体" w:hAnsi="黑体" w:eastAsia="黑体" w:cs="黑体"/>
        </w:rPr>
        <w:t>第二章 指导思想与上位规划解读</w:t>
      </w:r>
      <w:r>
        <w:tab/>
      </w:r>
      <w:r>
        <w:fldChar w:fldCharType="begin"/>
      </w:r>
      <w:r>
        <w:instrText xml:space="preserve"> PAGEREF _Toc89371354 \h </w:instrText>
      </w:r>
      <w:r>
        <w:fldChar w:fldCharType="separate"/>
      </w:r>
      <w:r>
        <w:t>3</w:t>
      </w:r>
      <w:r>
        <w:fldChar w:fldCharType="end"/>
      </w:r>
      <w:r>
        <w:fldChar w:fldCharType="end"/>
      </w:r>
    </w:p>
    <w:p w14:paraId="5889A644">
      <w:pPr>
        <w:pStyle w:val="10"/>
        <w:tabs>
          <w:tab w:val="right" w:leader="dot" w:pos="8296"/>
        </w:tabs>
        <w:rPr>
          <w:rFonts w:cs="宋体"/>
          <w:kern w:val="2"/>
          <w:sz w:val="21"/>
        </w:rPr>
      </w:pPr>
      <w:r>
        <w:fldChar w:fldCharType="begin"/>
      </w:r>
      <w:r>
        <w:instrText xml:space="preserve"> HYPERLINK \l "_Toc89371355" </w:instrText>
      </w:r>
      <w:r>
        <w:fldChar w:fldCharType="separate"/>
      </w:r>
      <w:r>
        <w:rPr>
          <w:rStyle w:val="17"/>
        </w:rPr>
        <w:t>（一）指导思想</w:t>
      </w:r>
      <w:r>
        <w:tab/>
      </w:r>
      <w:r>
        <w:fldChar w:fldCharType="begin"/>
      </w:r>
      <w:r>
        <w:instrText xml:space="preserve"> PAGEREF _Toc89371355 \h </w:instrText>
      </w:r>
      <w:r>
        <w:fldChar w:fldCharType="separate"/>
      </w:r>
      <w:r>
        <w:t>3</w:t>
      </w:r>
      <w:r>
        <w:fldChar w:fldCharType="end"/>
      </w:r>
      <w:r>
        <w:fldChar w:fldCharType="end"/>
      </w:r>
    </w:p>
    <w:p w14:paraId="4A12C1CC">
      <w:pPr>
        <w:pStyle w:val="10"/>
        <w:tabs>
          <w:tab w:val="right" w:leader="dot" w:pos="8296"/>
        </w:tabs>
        <w:rPr>
          <w:rFonts w:cs="宋体"/>
          <w:kern w:val="2"/>
          <w:sz w:val="21"/>
        </w:rPr>
      </w:pPr>
      <w:r>
        <w:fldChar w:fldCharType="begin"/>
      </w:r>
      <w:r>
        <w:instrText xml:space="preserve"> HYPERLINK \l "_Toc89371356" </w:instrText>
      </w:r>
      <w:r>
        <w:fldChar w:fldCharType="separate"/>
      </w:r>
      <w:r>
        <w:rPr>
          <w:rStyle w:val="17"/>
        </w:rPr>
        <w:t>（二）上位规划解读</w:t>
      </w:r>
      <w:r>
        <w:tab/>
      </w:r>
      <w:r>
        <w:fldChar w:fldCharType="begin"/>
      </w:r>
      <w:r>
        <w:instrText xml:space="preserve"> PAGEREF _Toc89371356 \h </w:instrText>
      </w:r>
      <w:r>
        <w:fldChar w:fldCharType="separate"/>
      </w:r>
      <w:r>
        <w:t>4</w:t>
      </w:r>
      <w:r>
        <w:fldChar w:fldCharType="end"/>
      </w:r>
      <w:r>
        <w:fldChar w:fldCharType="end"/>
      </w:r>
    </w:p>
    <w:p w14:paraId="0C4DF2B9">
      <w:pPr>
        <w:pStyle w:val="5"/>
        <w:tabs>
          <w:tab w:val="right" w:leader="dot" w:pos="8296"/>
        </w:tabs>
        <w:rPr>
          <w:rFonts w:cs="宋体"/>
          <w:kern w:val="2"/>
          <w:sz w:val="21"/>
        </w:rPr>
      </w:pPr>
      <w:r>
        <w:fldChar w:fldCharType="begin"/>
      </w:r>
      <w:r>
        <w:instrText xml:space="preserve"> HYPERLINK \l "_Toc89371357" </w:instrText>
      </w:r>
      <w:r>
        <w:fldChar w:fldCharType="separate"/>
      </w:r>
      <w:r>
        <w:rPr>
          <w:rStyle w:val="17"/>
        </w:rPr>
        <w:t>1.国家层面</w:t>
      </w:r>
      <w:r>
        <w:tab/>
      </w:r>
      <w:r>
        <w:fldChar w:fldCharType="begin"/>
      </w:r>
      <w:r>
        <w:instrText xml:space="preserve"> PAGEREF _Toc89371357 \h </w:instrText>
      </w:r>
      <w:r>
        <w:fldChar w:fldCharType="separate"/>
      </w:r>
      <w:r>
        <w:t>4</w:t>
      </w:r>
      <w:r>
        <w:fldChar w:fldCharType="end"/>
      </w:r>
      <w:r>
        <w:fldChar w:fldCharType="end"/>
      </w:r>
    </w:p>
    <w:p w14:paraId="06026A79">
      <w:pPr>
        <w:pStyle w:val="5"/>
        <w:tabs>
          <w:tab w:val="right" w:leader="dot" w:pos="8296"/>
        </w:tabs>
        <w:rPr>
          <w:rFonts w:cs="宋体"/>
          <w:kern w:val="2"/>
          <w:sz w:val="21"/>
        </w:rPr>
      </w:pPr>
      <w:r>
        <w:fldChar w:fldCharType="begin"/>
      </w:r>
      <w:r>
        <w:instrText xml:space="preserve"> HYPERLINK \l "_Toc89371358" </w:instrText>
      </w:r>
      <w:r>
        <w:fldChar w:fldCharType="separate"/>
      </w:r>
      <w:r>
        <w:rPr>
          <w:rStyle w:val="17"/>
        </w:rPr>
        <w:t>2.省级层面</w:t>
      </w:r>
      <w:r>
        <w:tab/>
      </w:r>
      <w:r>
        <w:fldChar w:fldCharType="begin"/>
      </w:r>
      <w:r>
        <w:instrText xml:space="preserve"> PAGEREF _Toc89371358 \h </w:instrText>
      </w:r>
      <w:r>
        <w:fldChar w:fldCharType="separate"/>
      </w:r>
      <w:r>
        <w:t>7</w:t>
      </w:r>
      <w:r>
        <w:fldChar w:fldCharType="end"/>
      </w:r>
      <w:r>
        <w:fldChar w:fldCharType="end"/>
      </w:r>
    </w:p>
    <w:p w14:paraId="6728D448">
      <w:pPr>
        <w:pStyle w:val="5"/>
        <w:tabs>
          <w:tab w:val="right" w:leader="dot" w:pos="8296"/>
        </w:tabs>
        <w:rPr>
          <w:rFonts w:cs="宋体"/>
          <w:kern w:val="2"/>
          <w:sz w:val="21"/>
        </w:rPr>
      </w:pPr>
      <w:r>
        <w:fldChar w:fldCharType="begin"/>
      </w:r>
      <w:r>
        <w:instrText xml:space="preserve"> HYPERLINK \l "_Toc89371359" </w:instrText>
      </w:r>
      <w:r>
        <w:fldChar w:fldCharType="separate"/>
      </w:r>
      <w:r>
        <w:rPr>
          <w:rStyle w:val="17"/>
        </w:rPr>
        <w:t>3.市级层面</w:t>
      </w:r>
      <w:r>
        <w:tab/>
      </w:r>
      <w:r>
        <w:fldChar w:fldCharType="begin"/>
      </w:r>
      <w:r>
        <w:instrText xml:space="preserve"> PAGEREF _Toc89371359 \h </w:instrText>
      </w:r>
      <w:r>
        <w:fldChar w:fldCharType="separate"/>
      </w:r>
      <w:r>
        <w:t>12</w:t>
      </w:r>
      <w:r>
        <w:fldChar w:fldCharType="end"/>
      </w:r>
      <w:r>
        <w:fldChar w:fldCharType="end"/>
      </w:r>
    </w:p>
    <w:p w14:paraId="72374BE7">
      <w:pPr>
        <w:pStyle w:val="9"/>
        <w:tabs>
          <w:tab w:val="right" w:leader="dot" w:pos="8296"/>
        </w:tabs>
        <w:rPr>
          <w:rFonts w:cs="宋体"/>
          <w:kern w:val="2"/>
          <w:sz w:val="21"/>
        </w:rPr>
      </w:pPr>
      <w:r>
        <w:fldChar w:fldCharType="begin"/>
      </w:r>
      <w:r>
        <w:instrText xml:space="preserve"> HYPERLINK \l "_Toc89371360" </w:instrText>
      </w:r>
      <w:r>
        <w:fldChar w:fldCharType="separate"/>
      </w:r>
      <w:r>
        <w:rPr>
          <w:rStyle w:val="17"/>
          <w:rFonts w:ascii="黑体" w:hAnsi="黑体" w:eastAsia="黑体" w:cs="黑体"/>
        </w:rPr>
        <w:t>第三章 “十三五”综合交通运输体系建设成就及问题</w:t>
      </w:r>
      <w:r>
        <w:tab/>
      </w:r>
      <w:r>
        <w:fldChar w:fldCharType="begin"/>
      </w:r>
      <w:r>
        <w:instrText xml:space="preserve"> PAGEREF _Toc89371360 \h </w:instrText>
      </w:r>
      <w:r>
        <w:fldChar w:fldCharType="separate"/>
      </w:r>
      <w:r>
        <w:t>15</w:t>
      </w:r>
      <w:r>
        <w:fldChar w:fldCharType="end"/>
      </w:r>
      <w:r>
        <w:fldChar w:fldCharType="end"/>
      </w:r>
    </w:p>
    <w:p w14:paraId="72A704D2">
      <w:pPr>
        <w:pStyle w:val="10"/>
        <w:tabs>
          <w:tab w:val="right" w:leader="dot" w:pos="8296"/>
        </w:tabs>
        <w:rPr>
          <w:rFonts w:cs="宋体"/>
          <w:kern w:val="2"/>
          <w:sz w:val="21"/>
        </w:rPr>
      </w:pPr>
      <w:r>
        <w:fldChar w:fldCharType="begin"/>
      </w:r>
      <w:r>
        <w:instrText xml:space="preserve"> HYPERLINK \l "_Toc89371361" </w:instrText>
      </w:r>
      <w:r>
        <w:fldChar w:fldCharType="separate"/>
      </w:r>
      <w:r>
        <w:rPr>
          <w:rStyle w:val="17"/>
        </w:rPr>
        <w:t>（一）乳山市建设成就</w:t>
      </w:r>
      <w:r>
        <w:tab/>
      </w:r>
      <w:r>
        <w:fldChar w:fldCharType="begin"/>
      </w:r>
      <w:r>
        <w:instrText xml:space="preserve"> PAGEREF _Toc89371361 \h </w:instrText>
      </w:r>
      <w:r>
        <w:fldChar w:fldCharType="separate"/>
      </w:r>
      <w:r>
        <w:t>15</w:t>
      </w:r>
      <w:r>
        <w:fldChar w:fldCharType="end"/>
      </w:r>
      <w:r>
        <w:fldChar w:fldCharType="end"/>
      </w:r>
    </w:p>
    <w:p w14:paraId="3E65FD58">
      <w:pPr>
        <w:pStyle w:val="10"/>
        <w:tabs>
          <w:tab w:val="right" w:leader="dot" w:pos="8296"/>
        </w:tabs>
        <w:rPr>
          <w:rFonts w:cs="宋体"/>
          <w:kern w:val="2"/>
          <w:sz w:val="21"/>
        </w:rPr>
      </w:pPr>
      <w:r>
        <w:fldChar w:fldCharType="begin"/>
      </w:r>
      <w:r>
        <w:instrText xml:space="preserve"> HYPERLINK \l "_Toc89371362" </w:instrText>
      </w:r>
      <w:r>
        <w:fldChar w:fldCharType="separate"/>
      </w:r>
      <w:r>
        <w:rPr>
          <w:rStyle w:val="17"/>
        </w:rPr>
        <w:t>（二）存在问题</w:t>
      </w:r>
      <w:r>
        <w:tab/>
      </w:r>
      <w:r>
        <w:fldChar w:fldCharType="begin"/>
      </w:r>
      <w:r>
        <w:instrText xml:space="preserve"> PAGEREF _Toc89371362 \h </w:instrText>
      </w:r>
      <w:r>
        <w:fldChar w:fldCharType="separate"/>
      </w:r>
      <w:r>
        <w:t>18</w:t>
      </w:r>
      <w:r>
        <w:fldChar w:fldCharType="end"/>
      </w:r>
      <w:r>
        <w:fldChar w:fldCharType="end"/>
      </w:r>
    </w:p>
    <w:p w14:paraId="7480905D">
      <w:pPr>
        <w:pStyle w:val="9"/>
        <w:tabs>
          <w:tab w:val="right" w:leader="dot" w:pos="8296"/>
        </w:tabs>
        <w:rPr>
          <w:rFonts w:cs="宋体"/>
          <w:kern w:val="2"/>
          <w:sz w:val="21"/>
        </w:rPr>
      </w:pPr>
      <w:r>
        <w:fldChar w:fldCharType="begin"/>
      </w:r>
      <w:r>
        <w:instrText xml:space="preserve"> HYPERLINK \l "_Toc89371363" </w:instrText>
      </w:r>
      <w:r>
        <w:fldChar w:fldCharType="separate"/>
      </w:r>
      <w:r>
        <w:rPr>
          <w:rStyle w:val="17"/>
          <w:rFonts w:ascii="黑体" w:hAnsi="黑体" w:eastAsia="黑体" w:cs="黑体"/>
        </w:rPr>
        <w:t>第四章 交通需求特征分析</w:t>
      </w:r>
      <w:r>
        <w:tab/>
      </w:r>
      <w:r>
        <w:fldChar w:fldCharType="begin"/>
      </w:r>
      <w:r>
        <w:instrText xml:space="preserve"> PAGEREF _Toc89371363 \h </w:instrText>
      </w:r>
      <w:r>
        <w:fldChar w:fldCharType="separate"/>
      </w:r>
      <w:r>
        <w:t>21</w:t>
      </w:r>
      <w:r>
        <w:fldChar w:fldCharType="end"/>
      </w:r>
      <w:r>
        <w:fldChar w:fldCharType="end"/>
      </w:r>
    </w:p>
    <w:p w14:paraId="729CD030">
      <w:pPr>
        <w:pStyle w:val="10"/>
        <w:tabs>
          <w:tab w:val="right" w:leader="dot" w:pos="8296"/>
        </w:tabs>
        <w:rPr>
          <w:rFonts w:cs="宋体"/>
          <w:kern w:val="2"/>
          <w:sz w:val="21"/>
        </w:rPr>
      </w:pPr>
      <w:r>
        <w:fldChar w:fldCharType="begin"/>
      </w:r>
      <w:r>
        <w:instrText xml:space="preserve"> HYPERLINK \l "_Toc89371364" </w:instrText>
      </w:r>
      <w:r>
        <w:fldChar w:fldCharType="separate"/>
      </w:r>
      <w:r>
        <w:rPr>
          <w:rStyle w:val="17"/>
        </w:rPr>
        <w:t>（一）内陆交通的末端，对外联通的前沿</w:t>
      </w:r>
      <w:r>
        <w:tab/>
      </w:r>
      <w:r>
        <w:fldChar w:fldCharType="begin"/>
      </w:r>
      <w:r>
        <w:instrText xml:space="preserve"> PAGEREF _Toc89371364 \h </w:instrText>
      </w:r>
      <w:r>
        <w:fldChar w:fldCharType="separate"/>
      </w:r>
      <w:r>
        <w:t>21</w:t>
      </w:r>
      <w:r>
        <w:fldChar w:fldCharType="end"/>
      </w:r>
      <w:r>
        <w:fldChar w:fldCharType="end"/>
      </w:r>
    </w:p>
    <w:p w14:paraId="48D13141">
      <w:pPr>
        <w:pStyle w:val="10"/>
        <w:tabs>
          <w:tab w:val="right" w:leader="dot" w:pos="8296"/>
        </w:tabs>
        <w:rPr>
          <w:rFonts w:cs="宋体"/>
          <w:kern w:val="2"/>
          <w:sz w:val="21"/>
        </w:rPr>
      </w:pPr>
      <w:r>
        <w:fldChar w:fldCharType="begin"/>
      </w:r>
      <w:r>
        <w:instrText xml:space="preserve"> HYPERLINK \l "_Toc89371365" </w:instrText>
      </w:r>
      <w:r>
        <w:fldChar w:fldCharType="separate"/>
      </w:r>
      <w:r>
        <w:rPr>
          <w:rStyle w:val="17"/>
        </w:rPr>
        <w:t>（二）交通运输方式较齐全</w:t>
      </w:r>
      <w:r>
        <w:tab/>
      </w:r>
      <w:r>
        <w:fldChar w:fldCharType="begin"/>
      </w:r>
      <w:r>
        <w:instrText xml:space="preserve"> PAGEREF _Toc89371365 \h </w:instrText>
      </w:r>
      <w:r>
        <w:fldChar w:fldCharType="separate"/>
      </w:r>
      <w:r>
        <w:t>21</w:t>
      </w:r>
      <w:r>
        <w:fldChar w:fldCharType="end"/>
      </w:r>
      <w:r>
        <w:fldChar w:fldCharType="end"/>
      </w:r>
    </w:p>
    <w:p w14:paraId="5F72DA8A">
      <w:pPr>
        <w:pStyle w:val="10"/>
        <w:tabs>
          <w:tab w:val="right" w:leader="dot" w:pos="8296"/>
        </w:tabs>
        <w:rPr>
          <w:rFonts w:cs="宋体"/>
          <w:kern w:val="2"/>
          <w:sz w:val="21"/>
        </w:rPr>
      </w:pPr>
      <w:r>
        <w:fldChar w:fldCharType="begin"/>
      </w:r>
      <w:r>
        <w:instrText xml:space="preserve"> HYPERLINK \l "_Toc89371366" </w:instrText>
      </w:r>
      <w:r>
        <w:fldChar w:fldCharType="separate"/>
      </w:r>
      <w:r>
        <w:rPr>
          <w:rStyle w:val="17"/>
        </w:rPr>
        <w:t>（三）潜在出行需求增加</w:t>
      </w:r>
      <w:r>
        <w:tab/>
      </w:r>
      <w:r>
        <w:fldChar w:fldCharType="begin"/>
      </w:r>
      <w:r>
        <w:instrText xml:space="preserve"> PAGEREF _Toc89371366 \h </w:instrText>
      </w:r>
      <w:r>
        <w:fldChar w:fldCharType="separate"/>
      </w:r>
      <w:r>
        <w:t>21</w:t>
      </w:r>
      <w:r>
        <w:fldChar w:fldCharType="end"/>
      </w:r>
      <w:r>
        <w:fldChar w:fldCharType="end"/>
      </w:r>
    </w:p>
    <w:p w14:paraId="124A2599">
      <w:pPr>
        <w:pStyle w:val="9"/>
        <w:tabs>
          <w:tab w:val="right" w:leader="dot" w:pos="8296"/>
        </w:tabs>
        <w:rPr>
          <w:rFonts w:cs="宋体"/>
          <w:kern w:val="2"/>
          <w:sz w:val="21"/>
        </w:rPr>
      </w:pPr>
      <w:r>
        <w:fldChar w:fldCharType="begin"/>
      </w:r>
      <w:r>
        <w:instrText xml:space="preserve"> HYPERLINK \l "_Toc89371367" </w:instrText>
      </w:r>
      <w:r>
        <w:fldChar w:fldCharType="separate"/>
      </w:r>
      <w:r>
        <w:rPr>
          <w:rStyle w:val="17"/>
          <w:rFonts w:ascii="黑体" w:hAnsi="黑体" w:eastAsia="黑体" w:cs="黑体"/>
        </w:rPr>
        <w:t>第五章 “十四五”交通运输发展目标</w:t>
      </w:r>
      <w:r>
        <w:tab/>
      </w:r>
      <w:r>
        <w:fldChar w:fldCharType="begin"/>
      </w:r>
      <w:r>
        <w:instrText xml:space="preserve"> PAGEREF _Toc89371367 \h </w:instrText>
      </w:r>
      <w:r>
        <w:fldChar w:fldCharType="separate"/>
      </w:r>
      <w:r>
        <w:t>23</w:t>
      </w:r>
      <w:r>
        <w:fldChar w:fldCharType="end"/>
      </w:r>
      <w:r>
        <w:fldChar w:fldCharType="end"/>
      </w:r>
    </w:p>
    <w:p w14:paraId="6F62A4B1">
      <w:pPr>
        <w:pStyle w:val="10"/>
        <w:tabs>
          <w:tab w:val="right" w:leader="dot" w:pos="8296"/>
        </w:tabs>
        <w:rPr>
          <w:rFonts w:cs="宋体"/>
          <w:kern w:val="2"/>
          <w:sz w:val="21"/>
        </w:rPr>
      </w:pPr>
      <w:r>
        <w:fldChar w:fldCharType="begin"/>
      </w:r>
      <w:r>
        <w:instrText xml:space="preserve"> HYPERLINK \l "_Toc89371368" </w:instrText>
      </w:r>
      <w:r>
        <w:fldChar w:fldCharType="separate"/>
      </w:r>
      <w:r>
        <w:rPr>
          <w:rStyle w:val="17"/>
        </w:rPr>
        <w:t>（一）基础设施保障能力</w:t>
      </w:r>
      <w:r>
        <w:tab/>
      </w:r>
      <w:r>
        <w:fldChar w:fldCharType="begin"/>
      </w:r>
      <w:r>
        <w:instrText xml:space="preserve"> PAGEREF _Toc89371368 \h </w:instrText>
      </w:r>
      <w:r>
        <w:fldChar w:fldCharType="separate"/>
      </w:r>
      <w:r>
        <w:t>23</w:t>
      </w:r>
      <w:r>
        <w:fldChar w:fldCharType="end"/>
      </w:r>
      <w:r>
        <w:fldChar w:fldCharType="end"/>
      </w:r>
    </w:p>
    <w:p w14:paraId="66BA044B">
      <w:pPr>
        <w:pStyle w:val="5"/>
        <w:tabs>
          <w:tab w:val="right" w:leader="dot" w:pos="8296"/>
        </w:tabs>
        <w:rPr>
          <w:rFonts w:cs="宋体"/>
          <w:kern w:val="2"/>
          <w:sz w:val="21"/>
        </w:rPr>
      </w:pPr>
      <w:r>
        <w:fldChar w:fldCharType="begin"/>
      </w:r>
      <w:r>
        <w:instrText xml:space="preserve"> HYPERLINK \l "_Toc89371369" </w:instrText>
      </w:r>
      <w:r>
        <w:fldChar w:fldCharType="separate"/>
      </w:r>
      <w:r>
        <w:rPr>
          <w:rStyle w:val="17"/>
        </w:rPr>
        <w:t>1.设施规模</w:t>
      </w:r>
      <w:r>
        <w:tab/>
      </w:r>
      <w:r>
        <w:fldChar w:fldCharType="begin"/>
      </w:r>
      <w:r>
        <w:instrText xml:space="preserve"> PAGEREF _Toc89371369 \h </w:instrText>
      </w:r>
      <w:r>
        <w:fldChar w:fldCharType="separate"/>
      </w:r>
      <w:r>
        <w:t>24</w:t>
      </w:r>
      <w:r>
        <w:fldChar w:fldCharType="end"/>
      </w:r>
      <w:r>
        <w:fldChar w:fldCharType="end"/>
      </w:r>
    </w:p>
    <w:p w14:paraId="2EDA06D8">
      <w:pPr>
        <w:pStyle w:val="5"/>
        <w:tabs>
          <w:tab w:val="right" w:leader="dot" w:pos="8296"/>
        </w:tabs>
        <w:rPr>
          <w:rFonts w:cs="宋体"/>
          <w:kern w:val="2"/>
          <w:sz w:val="21"/>
        </w:rPr>
      </w:pPr>
      <w:r>
        <w:fldChar w:fldCharType="begin"/>
      </w:r>
      <w:r>
        <w:instrText xml:space="preserve"> HYPERLINK \l "_Toc89371370" </w:instrText>
      </w:r>
      <w:r>
        <w:fldChar w:fldCharType="separate"/>
      </w:r>
      <w:r>
        <w:rPr>
          <w:rStyle w:val="17"/>
        </w:rPr>
        <w:t>2.网络覆盖</w:t>
      </w:r>
      <w:r>
        <w:tab/>
      </w:r>
      <w:r>
        <w:fldChar w:fldCharType="begin"/>
      </w:r>
      <w:r>
        <w:instrText xml:space="preserve"> PAGEREF _Toc89371370 \h </w:instrText>
      </w:r>
      <w:r>
        <w:fldChar w:fldCharType="separate"/>
      </w:r>
      <w:r>
        <w:t>28</w:t>
      </w:r>
      <w:r>
        <w:fldChar w:fldCharType="end"/>
      </w:r>
      <w:r>
        <w:fldChar w:fldCharType="end"/>
      </w:r>
    </w:p>
    <w:p w14:paraId="05ADDDC7">
      <w:pPr>
        <w:pStyle w:val="5"/>
        <w:tabs>
          <w:tab w:val="right" w:leader="dot" w:pos="8296"/>
        </w:tabs>
        <w:rPr>
          <w:rFonts w:cs="宋体"/>
          <w:kern w:val="2"/>
          <w:sz w:val="21"/>
        </w:rPr>
      </w:pPr>
      <w:r>
        <w:fldChar w:fldCharType="begin"/>
      </w:r>
      <w:r>
        <w:instrText xml:space="preserve"> HYPERLINK \l "_Toc89371371" </w:instrText>
      </w:r>
      <w:r>
        <w:fldChar w:fldCharType="separate"/>
      </w:r>
      <w:r>
        <w:rPr>
          <w:rStyle w:val="17"/>
        </w:rPr>
        <w:t>3.设施结构</w:t>
      </w:r>
      <w:r>
        <w:tab/>
      </w:r>
      <w:r>
        <w:fldChar w:fldCharType="begin"/>
      </w:r>
      <w:r>
        <w:instrText xml:space="preserve"> PAGEREF _Toc89371371 \h </w:instrText>
      </w:r>
      <w:r>
        <w:fldChar w:fldCharType="separate"/>
      </w:r>
      <w:r>
        <w:t>28</w:t>
      </w:r>
      <w:r>
        <w:fldChar w:fldCharType="end"/>
      </w:r>
      <w:r>
        <w:fldChar w:fldCharType="end"/>
      </w:r>
    </w:p>
    <w:p w14:paraId="1F0DBC63">
      <w:pPr>
        <w:pStyle w:val="5"/>
        <w:tabs>
          <w:tab w:val="right" w:leader="dot" w:pos="8296"/>
        </w:tabs>
        <w:rPr>
          <w:rFonts w:cs="宋体"/>
          <w:kern w:val="2"/>
          <w:sz w:val="21"/>
        </w:rPr>
      </w:pPr>
      <w:r>
        <w:fldChar w:fldCharType="begin"/>
      </w:r>
      <w:r>
        <w:instrText xml:space="preserve"> HYPERLINK \l "_Toc89371372" </w:instrText>
      </w:r>
      <w:r>
        <w:fldChar w:fldCharType="separate"/>
      </w:r>
      <w:r>
        <w:rPr>
          <w:rStyle w:val="17"/>
        </w:rPr>
        <w:t>4.管理养护</w:t>
      </w:r>
      <w:r>
        <w:tab/>
      </w:r>
      <w:r>
        <w:fldChar w:fldCharType="begin"/>
      </w:r>
      <w:r>
        <w:instrText xml:space="preserve"> PAGEREF _Toc89371372 \h </w:instrText>
      </w:r>
      <w:r>
        <w:fldChar w:fldCharType="separate"/>
      </w:r>
      <w:r>
        <w:t>28</w:t>
      </w:r>
      <w:r>
        <w:fldChar w:fldCharType="end"/>
      </w:r>
      <w:r>
        <w:fldChar w:fldCharType="end"/>
      </w:r>
    </w:p>
    <w:p w14:paraId="75006DD4">
      <w:pPr>
        <w:pStyle w:val="10"/>
        <w:tabs>
          <w:tab w:val="right" w:leader="dot" w:pos="8296"/>
        </w:tabs>
        <w:rPr>
          <w:rFonts w:cs="宋体"/>
          <w:kern w:val="2"/>
          <w:sz w:val="21"/>
        </w:rPr>
      </w:pPr>
      <w:r>
        <w:fldChar w:fldCharType="begin"/>
      </w:r>
      <w:r>
        <w:instrText xml:space="preserve"> HYPERLINK \l "_Toc89371373" </w:instrText>
      </w:r>
      <w:r>
        <w:fldChar w:fldCharType="separate"/>
      </w:r>
      <w:r>
        <w:rPr>
          <w:rStyle w:val="17"/>
        </w:rPr>
        <w:t>（二）综合运输服务能力</w:t>
      </w:r>
      <w:r>
        <w:tab/>
      </w:r>
      <w:r>
        <w:fldChar w:fldCharType="begin"/>
      </w:r>
      <w:r>
        <w:instrText xml:space="preserve"> PAGEREF _Toc89371373 \h </w:instrText>
      </w:r>
      <w:r>
        <w:fldChar w:fldCharType="separate"/>
      </w:r>
      <w:r>
        <w:t>30</w:t>
      </w:r>
      <w:r>
        <w:fldChar w:fldCharType="end"/>
      </w:r>
      <w:r>
        <w:fldChar w:fldCharType="end"/>
      </w:r>
    </w:p>
    <w:p w14:paraId="3EB48FEE">
      <w:pPr>
        <w:pStyle w:val="5"/>
        <w:tabs>
          <w:tab w:val="right" w:leader="dot" w:pos="8296"/>
        </w:tabs>
        <w:rPr>
          <w:rFonts w:cs="宋体"/>
          <w:kern w:val="2"/>
          <w:sz w:val="21"/>
        </w:rPr>
      </w:pPr>
      <w:r>
        <w:fldChar w:fldCharType="begin"/>
      </w:r>
      <w:r>
        <w:instrText xml:space="preserve"> HYPERLINK \l "_Toc89371374" </w:instrText>
      </w:r>
      <w:r>
        <w:fldChar w:fldCharType="separate"/>
      </w:r>
      <w:r>
        <w:rPr>
          <w:rStyle w:val="17"/>
        </w:rPr>
        <w:t>1.运输规模</w:t>
      </w:r>
      <w:r>
        <w:tab/>
      </w:r>
      <w:r>
        <w:fldChar w:fldCharType="begin"/>
      </w:r>
      <w:r>
        <w:instrText xml:space="preserve"> PAGEREF _Toc89371374 \h </w:instrText>
      </w:r>
      <w:r>
        <w:fldChar w:fldCharType="separate"/>
      </w:r>
      <w:r>
        <w:t>30</w:t>
      </w:r>
      <w:r>
        <w:fldChar w:fldCharType="end"/>
      </w:r>
      <w:r>
        <w:fldChar w:fldCharType="end"/>
      </w:r>
    </w:p>
    <w:p w14:paraId="2D99D039">
      <w:pPr>
        <w:pStyle w:val="5"/>
        <w:tabs>
          <w:tab w:val="right" w:leader="dot" w:pos="8296"/>
        </w:tabs>
        <w:rPr>
          <w:rFonts w:cs="宋体"/>
          <w:kern w:val="2"/>
          <w:sz w:val="21"/>
        </w:rPr>
      </w:pPr>
      <w:r>
        <w:fldChar w:fldCharType="begin"/>
      </w:r>
      <w:r>
        <w:instrText xml:space="preserve"> HYPERLINK \l "_Toc89371375" </w:instrText>
      </w:r>
      <w:r>
        <w:fldChar w:fldCharType="separate"/>
      </w:r>
      <w:r>
        <w:rPr>
          <w:rStyle w:val="17"/>
        </w:rPr>
        <w:t>2.运输装备</w:t>
      </w:r>
      <w:r>
        <w:tab/>
      </w:r>
      <w:r>
        <w:fldChar w:fldCharType="begin"/>
      </w:r>
      <w:r>
        <w:instrText xml:space="preserve"> PAGEREF _Toc89371375 \h </w:instrText>
      </w:r>
      <w:r>
        <w:fldChar w:fldCharType="separate"/>
      </w:r>
      <w:r>
        <w:t>30</w:t>
      </w:r>
      <w:r>
        <w:fldChar w:fldCharType="end"/>
      </w:r>
      <w:r>
        <w:fldChar w:fldCharType="end"/>
      </w:r>
    </w:p>
    <w:p w14:paraId="538A0758">
      <w:pPr>
        <w:pStyle w:val="5"/>
        <w:tabs>
          <w:tab w:val="right" w:leader="dot" w:pos="8296"/>
        </w:tabs>
        <w:rPr>
          <w:rFonts w:cs="宋体"/>
          <w:kern w:val="2"/>
          <w:sz w:val="21"/>
        </w:rPr>
      </w:pPr>
      <w:r>
        <w:fldChar w:fldCharType="begin"/>
      </w:r>
      <w:r>
        <w:instrText xml:space="preserve"> HYPERLINK \l "_Toc89371376" </w:instrText>
      </w:r>
      <w:r>
        <w:fldChar w:fldCharType="separate"/>
      </w:r>
      <w:r>
        <w:rPr>
          <w:rStyle w:val="17"/>
        </w:rPr>
        <w:t>3.运输服务</w:t>
      </w:r>
      <w:r>
        <w:tab/>
      </w:r>
      <w:r>
        <w:fldChar w:fldCharType="begin"/>
      </w:r>
      <w:r>
        <w:instrText xml:space="preserve"> PAGEREF _Toc89371376 \h </w:instrText>
      </w:r>
      <w:r>
        <w:fldChar w:fldCharType="separate"/>
      </w:r>
      <w:r>
        <w:t>30</w:t>
      </w:r>
      <w:r>
        <w:fldChar w:fldCharType="end"/>
      </w:r>
      <w:r>
        <w:fldChar w:fldCharType="end"/>
      </w:r>
    </w:p>
    <w:p w14:paraId="608BF6AF">
      <w:pPr>
        <w:pStyle w:val="10"/>
        <w:tabs>
          <w:tab w:val="right" w:leader="dot" w:pos="8296"/>
        </w:tabs>
        <w:rPr>
          <w:rFonts w:cs="宋体"/>
          <w:kern w:val="2"/>
          <w:sz w:val="21"/>
        </w:rPr>
      </w:pPr>
      <w:r>
        <w:fldChar w:fldCharType="begin"/>
      </w:r>
      <w:r>
        <w:instrText xml:space="preserve"> HYPERLINK \l "_Toc89371377" </w:instrText>
      </w:r>
      <w:r>
        <w:fldChar w:fldCharType="separate"/>
      </w:r>
      <w:r>
        <w:rPr>
          <w:rStyle w:val="17"/>
        </w:rPr>
        <w:t>（三）可持续发展能力</w:t>
      </w:r>
      <w:r>
        <w:tab/>
      </w:r>
      <w:r>
        <w:fldChar w:fldCharType="begin"/>
      </w:r>
      <w:r>
        <w:instrText xml:space="preserve"> PAGEREF _Toc89371377 \h </w:instrText>
      </w:r>
      <w:r>
        <w:fldChar w:fldCharType="separate"/>
      </w:r>
      <w:r>
        <w:t>32</w:t>
      </w:r>
      <w:r>
        <w:fldChar w:fldCharType="end"/>
      </w:r>
      <w:r>
        <w:fldChar w:fldCharType="end"/>
      </w:r>
    </w:p>
    <w:p w14:paraId="122BC200">
      <w:pPr>
        <w:pStyle w:val="10"/>
        <w:tabs>
          <w:tab w:val="right" w:leader="dot" w:pos="8296"/>
        </w:tabs>
        <w:rPr>
          <w:rFonts w:cs="宋体"/>
          <w:kern w:val="2"/>
          <w:sz w:val="21"/>
        </w:rPr>
      </w:pPr>
      <w:r>
        <w:fldChar w:fldCharType="begin"/>
      </w:r>
      <w:r>
        <w:instrText xml:space="preserve"> HYPERLINK \l "_Toc89371378" </w:instrText>
      </w:r>
      <w:r>
        <w:fldChar w:fldCharType="separate"/>
      </w:r>
      <w:r>
        <w:rPr>
          <w:rStyle w:val="17"/>
        </w:rPr>
        <w:t>（四）交通数字化能力</w:t>
      </w:r>
      <w:r>
        <w:tab/>
      </w:r>
      <w:r>
        <w:fldChar w:fldCharType="begin"/>
      </w:r>
      <w:r>
        <w:instrText xml:space="preserve"> PAGEREF _Toc89371378 \h </w:instrText>
      </w:r>
      <w:r>
        <w:fldChar w:fldCharType="separate"/>
      </w:r>
      <w:r>
        <w:t>32</w:t>
      </w:r>
      <w:r>
        <w:fldChar w:fldCharType="end"/>
      </w:r>
      <w:r>
        <w:fldChar w:fldCharType="end"/>
      </w:r>
    </w:p>
    <w:p w14:paraId="5AB8540C">
      <w:pPr>
        <w:pStyle w:val="10"/>
        <w:tabs>
          <w:tab w:val="right" w:leader="dot" w:pos="8296"/>
        </w:tabs>
        <w:rPr>
          <w:rFonts w:cs="宋体"/>
          <w:kern w:val="2"/>
          <w:sz w:val="21"/>
        </w:rPr>
      </w:pPr>
      <w:r>
        <w:fldChar w:fldCharType="begin"/>
      </w:r>
      <w:r>
        <w:instrText xml:space="preserve"> HYPERLINK \l "_Toc89371379" </w:instrText>
      </w:r>
      <w:r>
        <w:fldChar w:fldCharType="separate"/>
      </w:r>
      <w:r>
        <w:rPr>
          <w:rStyle w:val="17"/>
        </w:rPr>
        <w:t>（五）行业治理能力</w:t>
      </w:r>
      <w:r>
        <w:tab/>
      </w:r>
      <w:r>
        <w:fldChar w:fldCharType="begin"/>
      </w:r>
      <w:r>
        <w:instrText xml:space="preserve"> PAGEREF _Toc89371379 \h </w:instrText>
      </w:r>
      <w:r>
        <w:fldChar w:fldCharType="separate"/>
      </w:r>
      <w:r>
        <w:t>33</w:t>
      </w:r>
      <w:r>
        <w:fldChar w:fldCharType="end"/>
      </w:r>
      <w:r>
        <w:fldChar w:fldCharType="end"/>
      </w:r>
    </w:p>
    <w:p w14:paraId="3A20887D">
      <w:pPr>
        <w:pStyle w:val="9"/>
        <w:tabs>
          <w:tab w:val="right" w:leader="dot" w:pos="8296"/>
        </w:tabs>
        <w:rPr>
          <w:rFonts w:cs="宋体"/>
          <w:kern w:val="2"/>
          <w:sz w:val="21"/>
        </w:rPr>
      </w:pPr>
      <w:r>
        <w:fldChar w:fldCharType="begin"/>
      </w:r>
      <w:r>
        <w:instrText xml:space="preserve"> HYPERLINK \l "_Toc89371380" </w:instrText>
      </w:r>
      <w:r>
        <w:fldChar w:fldCharType="separate"/>
      </w:r>
      <w:r>
        <w:rPr>
          <w:rStyle w:val="17"/>
          <w:rFonts w:ascii="黑体" w:hAnsi="黑体" w:eastAsia="黑体" w:cs="黑体"/>
        </w:rPr>
        <w:t>第六章 综合交通运输体系规划</w:t>
      </w:r>
      <w:r>
        <w:tab/>
      </w:r>
      <w:r>
        <w:fldChar w:fldCharType="begin"/>
      </w:r>
      <w:r>
        <w:instrText xml:space="preserve"> PAGEREF _Toc89371380 \h </w:instrText>
      </w:r>
      <w:r>
        <w:fldChar w:fldCharType="separate"/>
      </w:r>
      <w:r>
        <w:t>35</w:t>
      </w:r>
      <w:r>
        <w:fldChar w:fldCharType="end"/>
      </w:r>
      <w:r>
        <w:fldChar w:fldCharType="end"/>
      </w:r>
    </w:p>
    <w:p w14:paraId="60084F24">
      <w:pPr>
        <w:pStyle w:val="10"/>
        <w:tabs>
          <w:tab w:val="right" w:leader="dot" w:pos="8296"/>
        </w:tabs>
        <w:rPr>
          <w:rFonts w:cs="宋体"/>
          <w:kern w:val="2"/>
          <w:sz w:val="21"/>
        </w:rPr>
      </w:pPr>
      <w:r>
        <w:fldChar w:fldCharType="begin"/>
      </w:r>
      <w:r>
        <w:instrText xml:space="preserve"> HYPERLINK \l "_Toc89371381" </w:instrText>
      </w:r>
      <w:r>
        <w:fldChar w:fldCharType="separate"/>
      </w:r>
      <w:r>
        <w:rPr>
          <w:rStyle w:val="17"/>
        </w:rPr>
        <w:t>（一）优化网络结构</w:t>
      </w:r>
      <w:r>
        <w:tab/>
      </w:r>
      <w:r>
        <w:fldChar w:fldCharType="begin"/>
      </w:r>
      <w:r>
        <w:instrText xml:space="preserve"> PAGEREF _Toc89371381 \h </w:instrText>
      </w:r>
      <w:r>
        <w:fldChar w:fldCharType="separate"/>
      </w:r>
      <w:r>
        <w:t>36</w:t>
      </w:r>
      <w:r>
        <w:fldChar w:fldCharType="end"/>
      </w:r>
      <w:r>
        <w:fldChar w:fldCharType="end"/>
      </w:r>
    </w:p>
    <w:p w14:paraId="13C1330A">
      <w:pPr>
        <w:pStyle w:val="5"/>
        <w:tabs>
          <w:tab w:val="right" w:leader="dot" w:pos="8296"/>
        </w:tabs>
        <w:rPr>
          <w:rFonts w:cs="宋体"/>
          <w:kern w:val="2"/>
          <w:sz w:val="21"/>
        </w:rPr>
      </w:pPr>
      <w:r>
        <w:fldChar w:fldCharType="begin"/>
      </w:r>
      <w:r>
        <w:instrText xml:space="preserve"> HYPERLINK \l "_Toc89371382" </w:instrText>
      </w:r>
      <w:r>
        <w:fldChar w:fldCharType="separate"/>
      </w:r>
      <w:r>
        <w:rPr>
          <w:rStyle w:val="17"/>
        </w:rPr>
        <w:t>1.优化调整路网结构</w:t>
      </w:r>
      <w:r>
        <w:tab/>
      </w:r>
      <w:r>
        <w:fldChar w:fldCharType="begin"/>
      </w:r>
      <w:r>
        <w:instrText xml:space="preserve"> PAGEREF _Toc89371382 \h </w:instrText>
      </w:r>
      <w:r>
        <w:fldChar w:fldCharType="separate"/>
      </w:r>
      <w:r>
        <w:t>36</w:t>
      </w:r>
      <w:r>
        <w:fldChar w:fldCharType="end"/>
      </w:r>
      <w:r>
        <w:fldChar w:fldCharType="end"/>
      </w:r>
    </w:p>
    <w:p w14:paraId="4A188242">
      <w:pPr>
        <w:pStyle w:val="5"/>
        <w:tabs>
          <w:tab w:val="right" w:leader="dot" w:pos="8296"/>
        </w:tabs>
        <w:rPr>
          <w:rFonts w:cs="宋体"/>
          <w:kern w:val="2"/>
          <w:sz w:val="21"/>
        </w:rPr>
      </w:pPr>
      <w:r>
        <w:fldChar w:fldCharType="begin"/>
      </w:r>
      <w:r>
        <w:instrText xml:space="preserve"> HYPERLINK \l "_Toc89371383" </w:instrText>
      </w:r>
      <w:r>
        <w:fldChar w:fldCharType="separate"/>
      </w:r>
      <w:r>
        <w:rPr>
          <w:rStyle w:val="17"/>
        </w:rPr>
        <w:t>2.加强公路养护管理</w:t>
      </w:r>
      <w:r>
        <w:tab/>
      </w:r>
      <w:r>
        <w:fldChar w:fldCharType="begin"/>
      </w:r>
      <w:r>
        <w:instrText xml:space="preserve"> PAGEREF _Toc89371383 \h </w:instrText>
      </w:r>
      <w:r>
        <w:fldChar w:fldCharType="separate"/>
      </w:r>
      <w:r>
        <w:t>48</w:t>
      </w:r>
      <w:r>
        <w:fldChar w:fldCharType="end"/>
      </w:r>
      <w:r>
        <w:fldChar w:fldCharType="end"/>
      </w:r>
    </w:p>
    <w:p w14:paraId="157E1124">
      <w:pPr>
        <w:pStyle w:val="5"/>
        <w:tabs>
          <w:tab w:val="right" w:leader="dot" w:pos="8296"/>
        </w:tabs>
        <w:rPr>
          <w:rFonts w:cs="宋体"/>
          <w:kern w:val="2"/>
          <w:sz w:val="21"/>
        </w:rPr>
      </w:pPr>
      <w:r>
        <w:fldChar w:fldCharType="begin"/>
      </w:r>
      <w:r>
        <w:instrText xml:space="preserve"> HYPERLINK \l "_Toc89371384" </w:instrText>
      </w:r>
      <w:r>
        <w:fldChar w:fldCharType="separate"/>
      </w:r>
      <w:r>
        <w:rPr>
          <w:rStyle w:val="17"/>
        </w:rPr>
        <w:t>3.构建现代铁路运输网</w:t>
      </w:r>
      <w:r>
        <w:tab/>
      </w:r>
      <w:r>
        <w:fldChar w:fldCharType="begin"/>
      </w:r>
      <w:r>
        <w:instrText xml:space="preserve"> PAGEREF _Toc89371384 \h </w:instrText>
      </w:r>
      <w:r>
        <w:fldChar w:fldCharType="separate"/>
      </w:r>
      <w:r>
        <w:t>52</w:t>
      </w:r>
      <w:r>
        <w:fldChar w:fldCharType="end"/>
      </w:r>
      <w:r>
        <w:fldChar w:fldCharType="end"/>
      </w:r>
    </w:p>
    <w:p w14:paraId="47F06A5B">
      <w:pPr>
        <w:pStyle w:val="5"/>
        <w:tabs>
          <w:tab w:val="right" w:leader="dot" w:pos="8296"/>
        </w:tabs>
        <w:rPr>
          <w:rFonts w:cs="宋体"/>
          <w:kern w:val="2"/>
          <w:sz w:val="21"/>
        </w:rPr>
      </w:pPr>
      <w:r>
        <w:fldChar w:fldCharType="begin"/>
      </w:r>
      <w:r>
        <w:instrText xml:space="preserve"> HYPERLINK \l "_Toc89371385" </w:instrText>
      </w:r>
      <w:r>
        <w:fldChar w:fldCharType="separate"/>
      </w:r>
      <w:r>
        <w:rPr>
          <w:rStyle w:val="17"/>
        </w:rPr>
        <w:t>4.推动港口综合发展</w:t>
      </w:r>
      <w:r>
        <w:tab/>
      </w:r>
      <w:r>
        <w:fldChar w:fldCharType="begin"/>
      </w:r>
      <w:r>
        <w:instrText xml:space="preserve"> PAGEREF _Toc89371385 \h </w:instrText>
      </w:r>
      <w:r>
        <w:fldChar w:fldCharType="separate"/>
      </w:r>
      <w:r>
        <w:t>57</w:t>
      </w:r>
      <w:r>
        <w:fldChar w:fldCharType="end"/>
      </w:r>
      <w:r>
        <w:fldChar w:fldCharType="end"/>
      </w:r>
    </w:p>
    <w:p w14:paraId="209BD0F7">
      <w:pPr>
        <w:pStyle w:val="5"/>
        <w:tabs>
          <w:tab w:val="right" w:leader="dot" w:pos="8296"/>
        </w:tabs>
        <w:rPr>
          <w:rFonts w:cs="宋体"/>
          <w:kern w:val="2"/>
          <w:sz w:val="21"/>
        </w:rPr>
      </w:pPr>
      <w:r>
        <w:fldChar w:fldCharType="begin"/>
      </w:r>
      <w:r>
        <w:instrText xml:space="preserve"> HYPERLINK \l "_Toc89371386" </w:instrText>
      </w:r>
      <w:r>
        <w:fldChar w:fldCharType="separate"/>
      </w:r>
      <w:r>
        <w:rPr>
          <w:rStyle w:val="17"/>
        </w:rPr>
        <w:t>5.打造乳山特色机场</w:t>
      </w:r>
      <w:r>
        <w:tab/>
      </w:r>
      <w:r>
        <w:fldChar w:fldCharType="begin"/>
      </w:r>
      <w:r>
        <w:instrText xml:space="preserve"> PAGEREF _Toc89371386 \h </w:instrText>
      </w:r>
      <w:r>
        <w:fldChar w:fldCharType="separate"/>
      </w:r>
      <w:r>
        <w:t>59</w:t>
      </w:r>
      <w:r>
        <w:fldChar w:fldCharType="end"/>
      </w:r>
      <w:r>
        <w:fldChar w:fldCharType="end"/>
      </w:r>
    </w:p>
    <w:p w14:paraId="4EC6C645">
      <w:pPr>
        <w:pStyle w:val="5"/>
        <w:tabs>
          <w:tab w:val="right" w:leader="dot" w:pos="8296"/>
        </w:tabs>
        <w:rPr>
          <w:rFonts w:cs="宋体"/>
          <w:kern w:val="2"/>
          <w:sz w:val="21"/>
        </w:rPr>
      </w:pPr>
      <w:r>
        <w:fldChar w:fldCharType="begin"/>
      </w:r>
      <w:r>
        <w:instrText xml:space="preserve"> HYPERLINK \l "_Toc89371387" </w:instrText>
      </w:r>
      <w:r>
        <w:fldChar w:fldCharType="separate"/>
      </w:r>
      <w:r>
        <w:rPr>
          <w:rStyle w:val="17"/>
        </w:rPr>
        <w:t>6.提升城乡公交服务水平</w:t>
      </w:r>
      <w:r>
        <w:tab/>
      </w:r>
      <w:r>
        <w:fldChar w:fldCharType="begin"/>
      </w:r>
      <w:r>
        <w:instrText xml:space="preserve"> PAGEREF _Toc89371387 \h </w:instrText>
      </w:r>
      <w:r>
        <w:fldChar w:fldCharType="separate"/>
      </w:r>
      <w:r>
        <w:t>61</w:t>
      </w:r>
      <w:r>
        <w:fldChar w:fldCharType="end"/>
      </w:r>
      <w:r>
        <w:fldChar w:fldCharType="end"/>
      </w:r>
    </w:p>
    <w:p w14:paraId="4E5414E5">
      <w:pPr>
        <w:pStyle w:val="10"/>
        <w:tabs>
          <w:tab w:val="right" w:leader="dot" w:pos="8296"/>
        </w:tabs>
        <w:rPr>
          <w:rFonts w:cs="宋体"/>
          <w:kern w:val="2"/>
          <w:sz w:val="21"/>
        </w:rPr>
      </w:pPr>
      <w:r>
        <w:fldChar w:fldCharType="begin"/>
      </w:r>
      <w:r>
        <w:instrText xml:space="preserve"> HYPERLINK \l "_Toc89371388" </w:instrText>
      </w:r>
      <w:r>
        <w:fldChar w:fldCharType="separate"/>
      </w:r>
      <w:r>
        <w:rPr>
          <w:rStyle w:val="17"/>
        </w:rPr>
        <w:t>（二）强化一体化衔接</w:t>
      </w:r>
      <w:r>
        <w:tab/>
      </w:r>
      <w:r>
        <w:fldChar w:fldCharType="begin"/>
      </w:r>
      <w:r>
        <w:instrText xml:space="preserve"> PAGEREF _Toc89371388 \h </w:instrText>
      </w:r>
      <w:r>
        <w:fldChar w:fldCharType="separate"/>
      </w:r>
      <w:r>
        <w:t>64</w:t>
      </w:r>
      <w:r>
        <w:fldChar w:fldCharType="end"/>
      </w:r>
      <w:r>
        <w:fldChar w:fldCharType="end"/>
      </w:r>
    </w:p>
    <w:p w14:paraId="5F7A4C7D">
      <w:pPr>
        <w:pStyle w:val="5"/>
        <w:tabs>
          <w:tab w:val="right" w:leader="dot" w:pos="8296"/>
        </w:tabs>
        <w:rPr>
          <w:rFonts w:cs="宋体"/>
          <w:kern w:val="2"/>
          <w:sz w:val="21"/>
        </w:rPr>
      </w:pPr>
      <w:r>
        <w:fldChar w:fldCharType="begin"/>
      </w:r>
      <w:r>
        <w:instrText xml:space="preserve"> HYPERLINK \l "_Toc89371389" </w:instrText>
      </w:r>
      <w:r>
        <w:fldChar w:fldCharType="separate"/>
      </w:r>
      <w:r>
        <w:rPr>
          <w:rStyle w:val="17"/>
        </w:rPr>
        <w:t>1.构建综合客运枢纽体系</w:t>
      </w:r>
      <w:r>
        <w:tab/>
      </w:r>
      <w:r>
        <w:fldChar w:fldCharType="begin"/>
      </w:r>
      <w:r>
        <w:instrText xml:space="preserve"> PAGEREF _Toc89371389 \h </w:instrText>
      </w:r>
      <w:r>
        <w:fldChar w:fldCharType="separate"/>
      </w:r>
      <w:r>
        <w:t>64</w:t>
      </w:r>
      <w:r>
        <w:fldChar w:fldCharType="end"/>
      </w:r>
      <w:r>
        <w:fldChar w:fldCharType="end"/>
      </w:r>
    </w:p>
    <w:p w14:paraId="7592BB8F">
      <w:pPr>
        <w:pStyle w:val="5"/>
        <w:tabs>
          <w:tab w:val="right" w:leader="dot" w:pos="8296"/>
        </w:tabs>
        <w:rPr>
          <w:rFonts w:cs="宋体"/>
          <w:kern w:val="2"/>
          <w:sz w:val="21"/>
        </w:rPr>
      </w:pPr>
      <w:r>
        <w:fldChar w:fldCharType="begin"/>
      </w:r>
      <w:r>
        <w:instrText xml:space="preserve"> HYPERLINK \l "_Toc89371390" </w:instrText>
      </w:r>
      <w:r>
        <w:fldChar w:fldCharType="separate"/>
      </w:r>
      <w:r>
        <w:rPr>
          <w:rStyle w:val="17"/>
        </w:rPr>
        <w:t>2.完善多式联运组织体系</w:t>
      </w:r>
      <w:r>
        <w:tab/>
      </w:r>
      <w:r>
        <w:fldChar w:fldCharType="begin"/>
      </w:r>
      <w:r>
        <w:instrText xml:space="preserve"> PAGEREF _Toc89371390 \h </w:instrText>
      </w:r>
      <w:r>
        <w:fldChar w:fldCharType="separate"/>
      </w:r>
      <w:r>
        <w:t>67</w:t>
      </w:r>
      <w:r>
        <w:fldChar w:fldCharType="end"/>
      </w:r>
      <w:r>
        <w:fldChar w:fldCharType="end"/>
      </w:r>
    </w:p>
    <w:p w14:paraId="51D8E87F">
      <w:pPr>
        <w:pStyle w:val="5"/>
        <w:tabs>
          <w:tab w:val="right" w:leader="dot" w:pos="8296"/>
        </w:tabs>
        <w:rPr>
          <w:rFonts w:cs="宋体"/>
          <w:kern w:val="2"/>
          <w:sz w:val="21"/>
        </w:rPr>
      </w:pPr>
      <w:r>
        <w:fldChar w:fldCharType="begin"/>
      </w:r>
      <w:r>
        <w:instrText xml:space="preserve"> HYPERLINK \l "_Toc89371391" </w:instrText>
      </w:r>
      <w:r>
        <w:fldChar w:fldCharType="separate"/>
      </w:r>
      <w:r>
        <w:rPr>
          <w:rStyle w:val="17"/>
        </w:rPr>
        <w:t>3.建设农村物流网点</w:t>
      </w:r>
      <w:r>
        <w:tab/>
      </w:r>
      <w:r>
        <w:fldChar w:fldCharType="begin"/>
      </w:r>
      <w:r>
        <w:instrText xml:space="preserve"> PAGEREF _Toc89371391 \h </w:instrText>
      </w:r>
      <w:r>
        <w:fldChar w:fldCharType="separate"/>
      </w:r>
      <w:r>
        <w:t>68</w:t>
      </w:r>
      <w:r>
        <w:fldChar w:fldCharType="end"/>
      </w:r>
      <w:r>
        <w:fldChar w:fldCharType="end"/>
      </w:r>
    </w:p>
    <w:p w14:paraId="0AD4B6C4">
      <w:pPr>
        <w:pStyle w:val="10"/>
        <w:tabs>
          <w:tab w:val="right" w:leader="dot" w:pos="8296"/>
        </w:tabs>
        <w:rPr>
          <w:rFonts w:cs="宋体"/>
          <w:kern w:val="2"/>
          <w:sz w:val="21"/>
        </w:rPr>
      </w:pPr>
      <w:r>
        <w:fldChar w:fldCharType="begin"/>
      </w:r>
      <w:r>
        <w:instrText xml:space="preserve"> HYPERLINK \l "_Toc89371392" </w:instrText>
      </w:r>
      <w:r>
        <w:fldChar w:fldCharType="separate"/>
      </w:r>
      <w:r>
        <w:rPr>
          <w:rStyle w:val="17"/>
        </w:rPr>
        <w:t>（三）发展智能交通系统</w:t>
      </w:r>
      <w:r>
        <w:tab/>
      </w:r>
      <w:r>
        <w:fldChar w:fldCharType="begin"/>
      </w:r>
      <w:r>
        <w:instrText xml:space="preserve"> PAGEREF _Toc89371392 \h </w:instrText>
      </w:r>
      <w:r>
        <w:fldChar w:fldCharType="separate"/>
      </w:r>
      <w:r>
        <w:t>69</w:t>
      </w:r>
      <w:r>
        <w:fldChar w:fldCharType="end"/>
      </w:r>
      <w:r>
        <w:fldChar w:fldCharType="end"/>
      </w:r>
    </w:p>
    <w:p w14:paraId="55E7EDFD">
      <w:pPr>
        <w:pStyle w:val="10"/>
        <w:tabs>
          <w:tab w:val="right" w:leader="dot" w:pos="8296"/>
        </w:tabs>
        <w:rPr>
          <w:rFonts w:cs="宋体"/>
          <w:kern w:val="2"/>
          <w:sz w:val="21"/>
        </w:rPr>
      </w:pPr>
      <w:r>
        <w:fldChar w:fldCharType="begin"/>
      </w:r>
      <w:r>
        <w:instrText xml:space="preserve"> HYPERLINK \l "_Toc89371393" </w:instrText>
      </w:r>
      <w:r>
        <w:fldChar w:fldCharType="separate"/>
      </w:r>
      <w:r>
        <w:rPr>
          <w:rStyle w:val="17"/>
        </w:rPr>
        <w:t>（四）推动绿色交通发展</w:t>
      </w:r>
      <w:r>
        <w:tab/>
      </w:r>
      <w:r>
        <w:fldChar w:fldCharType="begin"/>
      </w:r>
      <w:r>
        <w:instrText xml:space="preserve"> PAGEREF _Toc89371393 \h </w:instrText>
      </w:r>
      <w:r>
        <w:fldChar w:fldCharType="separate"/>
      </w:r>
      <w:r>
        <w:t>72</w:t>
      </w:r>
      <w:r>
        <w:fldChar w:fldCharType="end"/>
      </w:r>
      <w:r>
        <w:fldChar w:fldCharType="end"/>
      </w:r>
    </w:p>
    <w:p w14:paraId="11B4596D">
      <w:pPr>
        <w:pStyle w:val="10"/>
        <w:tabs>
          <w:tab w:val="right" w:leader="dot" w:pos="8296"/>
        </w:tabs>
        <w:rPr>
          <w:rFonts w:cs="宋体"/>
          <w:kern w:val="2"/>
          <w:sz w:val="21"/>
        </w:rPr>
      </w:pPr>
      <w:r>
        <w:fldChar w:fldCharType="begin"/>
      </w:r>
      <w:r>
        <w:instrText xml:space="preserve"> HYPERLINK \l "_Toc89371394" </w:instrText>
      </w:r>
      <w:r>
        <w:fldChar w:fldCharType="separate"/>
      </w:r>
      <w:r>
        <w:rPr>
          <w:rStyle w:val="17"/>
        </w:rPr>
        <w:t>（五）推动安全交通发展</w:t>
      </w:r>
      <w:r>
        <w:tab/>
      </w:r>
      <w:r>
        <w:fldChar w:fldCharType="begin"/>
      </w:r>
      <w:r>
        <w:instrText xml:space="preserve"> PAGEREF _Toc89371394 \h </w:instrText>
      </w:r>
      <w:r>
        <w:fldChar w:fldCharType="separate"/>
      </w:r>
      <w:r>
        <w:t>74</w:t>
      </w:r>
      <w:r>
        <w:fldChar w:fldCharType="end"/>
      </w:r>
      <w:r>
        <w:fldChar w:fldCharType="end"/>
      </w:r>
    </w:p>
    <w:p w14:paraId="1BCCF043">
      <w:pPr>
        <w:pStyle w:val="10"/>
        <w:tabs>
          <w:tab w:val="right" w:leader="dot" w:pos="8296"/>
        </w:tabs>
        <w:rPr>
          <w:rFonts w:cs="宋体"/>
          <w:kern w:val="2"/>
          <w:sz w:val="21"/>
        </w:rPr>
      </w:pPr>
      <w:r>
        <w:fldChar w:fldCharType="begin"/>
      </w:r>
      <w:r>
        <w:instrText xml:space="preserve"> HYPERLINK \l "_Toc89371395" </w:instrText>
      </w:r>
      <w:r>
        <w:fldChar w:fldCharType="separate"/>
      </w:r>
      <w:r>
        <w:rPr>
          <w:rStyle w:val="17"/>
        </w:rPr>
        <w:t>（六）推动数字交通发展</w:t>
      </w:r>
      <w:r>
        <w:tab/>
      </w:r>
      <w:r>
        <w:fldChar w:fldCharType="begin"/>
      </w:r>
      <w:r>
        <w:instrText xml:space="preserve"> PAGEREF _Toc89371395 \h </w:instrText>
      </w:r>
      <w:r>
        <w:fldChar w:fldCharType="separate"/>
      </w:r>
      <w:r>
        <w:t>74</w:t>
      </w:r>
      <w:r>
        <w:fldChar w:fldCharType="end"/>
      </w:r>
      <w:r>
        <w:fldChar w:fldCharType="end"/>
      </w:r>
    </w:p>
    <w:p w14:paraId="1BA1F135">
      <w:pPr>
        <w:pStyle w:val="10"/>
        <w:tabs>
          <w:tab w:val="right" w:leader="dot" w:pos="8296"/>
        </w:tabs>
        <w:rPr>
          <w:rFonts w:cs="宋体"/>
          <w:kern w:val="2"/>
          <w:sz w:val="21"/>
        </w:rPr>
      </w:pPr>
      <w:r>
        <w:fldChar w:fldCharType="begin"/>
      </w:r>
      <w:r>
        <w:instrText xml:space="preserve"> HYPERLINK \l "_Toc89371396" </w:instrText>
      </w:r>
      <w:r>
        <w:fldChar w:fldCharType="separate"/>
      </w:r>
      <w:r>
        <w:rPr>
          <w:rStyle w:val="17"/>
        </w:rPr>
        <w:t>（七）推动旅游交通发展</w:t>
      </w:r>
      <w:r>
        <w:tab/>
      </w:r>
      <w:r>
        <w:fldChar w:fldCharType="begin"/>
      </w:r>
      <w:r>
        <w:instrText xml:space="preserve"> PAGEREF _Toc89371396 \h </w:instrText>
      </w:r>
      <w:r>
        <w:fldChar w:fldCharType="separate"/>
      </w:r>
      <w:r>
        <w:t>76</w:t>
      </w:r>
      <w:r>
        <w:fldChar w:fldCharType="end"/>
      </w:r>
      <w:r>
        <w:fldChar w:fldCharType="end"/>
      </w:r>
    </w:p>
    <w:p w14:paraId="13948BD3">
      <w:pPr>
        <w:pStyle w:val="10"/>
        <w:tabs>
          <w:tab w:val="right" w:leader="dot" w:pos="8296"/>
        </w:tabs>
        <w:rPr>
          <w:rFonts w:cs="宋体"/>
          <w:kern w:val="2"/>
          <w:sz w:val="21"/>
        </w:rPr>
      </w:pPr>
      <w:r>
        <w:fldChar w:fldCharType="begin"/>
      </w:r>
      <w:r>
        <w:instrText xml:space="preserve"> HYPERLINK \l "_Toc89371397" </w:instrText>
      </w:r>
      <w:r>
        <w:fldChar w:fldCharType="separate"/>
      </w:r>
      <w:r>
        <w:rPr>
          <w:rStyle w:val="17"/>
        </w:rPr>
        <w:t>（八）推动物流交通发展</w:t>
      </w:r>
      <w:r>
        <w:tab/>
      </w:r>
      <w:r>
        <w:fldChar w:fldCharType="begin"/>
      </w:r>
      <w:r>
        <w:instrText xml:space="preserve"> PAGEREF _Toc89371397 \h </w:instrText>
      </w:r>
      <w:r>
        <w:fldChar w:fldCharType="separate"/>
      </w:r>
      <w:r>
        <w:t>78</w:t>
      </w:r>
      <w:r>
        <w:fldChar w:fldCharType="end"/>
      </w:r>
      <w:r>
        <w:fldChar w:fldCharType="end"/>
      </w:r>
    </w:p>
    <w:p w14:paraId="3DF50501">
      <w:pPr>
        <w:pStyle w:val="9"/>
        <w:tabs>
          <w:tab w:val="right" w:leader="dot" w:pos="8296"/>
        </w:tabs>
        <w:rPr>
          <w:rFonts w:cs="宋体"/>
          <w:kern w:val="2"/>
          <w:sz w:val="21"/>
        </w:rPr>
      </w:pPr>
      <w:r>
        <w:fldChar w:fldCharType="begin"/>
      </w:r>
      <w:r>
        <w:instrText xml:space="preserve"> HYPERLINK \l "_Toc89371398" </w:instrText>
      </w:r>
      <w:r>
        <w:fldChar w:fldCharType="separate"/>
      </w:r>
      <w:r>
        <w:rPr>
          <w:rStyle w:val="17"/>
          <w:rFonts w:ascii="黑体" w:hAnsi="黑体" w:eastAsia="黑体" w:cs="黑体"/>
        </w:rPr>
        <w:t>第七章 规划实施保障措施</w:t>
      </w:r>
      <w:r>
        <w:tab/>
      </w:r>
      <w:r>
        <w:fldChar w:fldCharType="begin"/>
      </w:r>
      <w:r>
        <w:instrText xml:space="preserve"> PAGEREF _Toc89371398 \h </w:instrText>
      </w:r>
      <w:r>
        <w:fldChar w:fldCharType="separate"/>
      </w:r>
      <w:r>
        <w:t>81</w:t>
      </w:r>
      <w:r>
        <w:fldChar w:fldCharType="end"/>
      </w:r>
      <w:r>
        <w:fldChar w:fldCharType="end"/>
      </w:r>
    </w:p>
    <w:p w14:paraId="53FB59F9">
      <w:pPr>
        <w:pStyle w:val="10"/>
        <w:tabs>
          <w:tab w:val="right" w:leader="dot" w:pos="8296"/>
        </w:tabs>
        <w:rPr>
          <w:rFonts w:cs="宋体"/>
          <w:kern w:val="2"/>
          <w:sz w:val="21"/>
        </w:rPr>
      </w:pPr>
      <w:r>
        <w:fldChar w:fldCharType="begin"/>
      </w:r>
      <w:r>
        <w:instrText xml:space="preserve"> HYPERLINK \l "_Toc89371399" </w:instrText>
      </w:r>
      <w:r>
        <w:fldChar w:fldCharType="separate"/>
      </w:r>
      <w:r>
        <w:rPr>
          <w:rStyle w:val="17"/>
        </w:rPr>
        <w:t>（一）加强组织领导，完善工作机制</w:t>
      </w:r>
      <w:r>
        <w:tab/>
      </w:r>
      <w:r>
        <w:fldChar w:fldCharType="begin"/>
      </w:r>
      <w:r>
        <w:instrText xml:space="preserve"> PAGEREF _Toc89371399 \h </w:instrText>
      </w:r>
      <w:r>
        <w:fldChar w:fldCharType="separate"/>
      </w:r>
      <w:r>
        <w:t>81</w:t>
      </w:r>
      <w:r>
        <w:fldChar w:fldCharType="end"/>
      </w:r>
      <w:r>
        <w:fldChar w:fldCharType="end"/>
      </w:r>
    </w:p>
    <w:p w14:paraId="4A034DC8">
      <w:pPr>
        <w:pStyle w:val="10"/>
        <w:tabs>
          <w:tab w:val="right" w:leader="dot" w:pos="8296"/>
        </w:tabs>
        <w:rPr>
          <w:rFonts w:cs="宋体"/>
          <w:kern w:val="2"/>
          <w:sz w:val="21"/>
        </w:rPr>
      </w:pPr>
      <w:r>
        <w:fldChar w:fldCharType="begin"/>
      </w:r>
      <w:r>
        <w:instrText xml:space="preserve"> HYPERLINK \l "_Toc89371400" </w:instrText>
      </w:r>
      <w:r>
        <w:fldChar w:fldCharType="separate"/>
      </w:r>
      <w:r>
        <w:rPr>
          <w:rStyle w:val="17"/>
        </w:rPr>
        <w:t>（二）加强沟通协作，合力推动实施</w:t>
      </w:r>
      <w:r>
        <w:tab/>
      </w:r>
      <w:r>
        <w:fldChar w:fldCharType="begin"/>
      </w:r>
      <w:r>
        <w:instrText xml:space="preserve"> PAGEREF _Toc89371400 \h </w:instrText>
      </w:r>
      <w:r>
        <w:fldChar w:fldCharType="separate"/>
      </w:r>
      <w:r>
        <w:t>81</w:t>
      </w:r>
      <w:r>
        <w:fldChar w:fldCharType="end"/>
      </w:r>
      <w:r>
        <w:fldChar w:fldCharType="end"/>
      </w:r>
    </w:p>
    <w:p w14:paraId="65E23F63">
      <w:pPr>
        <w:pStyle w:val="10"/>
        <w:tabs>
          <w:tab w:val="right" w:leader="dot" w:pos="8296"/>
        </w:tabs>
        <w:rPr>
          <w:rFonts w:cs="宋体"/>
          <w:kern w:val="2"/>
          <w:sz w:val="21"/>
        </w:rPr>
      </w:pPr>
      <w:r>
        <w:fldChar w:fldCharType="begin"/>
      </w:r>
      <w:r>
        <w:instrText xml:space="preserve"> HYPERLINK \l "_Toc89371401" </w:instrText>
      </w:r>
      <w:r>
        <w:fldChar w:fldCharType="separate"/>
      </w:r>
      <w:r>
        <w:rPr>
          <w:rStyle w:val="17"/>
        </w:rPr>
        <w:t>（三）提升行业软实力，营造良好发展环境</w:t>
      </w:r>
      <w:r>
        <w:tab/>
      </w:r>
      <w:r>
        <w:fldChar w:fldCharType="begin"/>
      </w:r>
      <w:r>
        <w:instrText xml:space="preserve"> PAGEREF _Toc89371401 \h </w:instrText>
      </w:r>
      <w:r>
        <w:fldChar w:fldCharType="separate"/>
      </w:r>
      <w:r>
        <w:t>82</w:t>
      </w:r>
      <w:r>
        <w:fldChar w:fldCharType="end"/>
      </w:r>
      <w:r>
        <w:fldChar w:fldCharType="end"/>
      </w:r>
    </w:p>
    <w:p w14:paraId="45A45945">
      <w:pPr>
        <w:pStyle w:val="10"/>
        <w:tabs>
          <w:tab w:val="right" w:leader="dot" w:pos="8296"/>
        </w:tabs>
        <w:rPr>
          <w:rFonts w:cs="宋体"/>
          <w:kern w:val="2"/>
          <w:sz w:val="21"/>
        </w:rPr>
      </w:pPr>
      <w:r>
        <w:fldChar w:fldCharType="begin"/>
      </w:r>
      <w:r>
        <w:instrText xml:space="preserve"> HYPERLINK \l "_Toc89371402" </w:instrText>
      </w:r>
      <w:r>
        <w:fldChar w:fldCharType="separate"/>
      </w:r>
      <w:r>
        <w:rPr>
          <w:rStyle w:val="17"/>
        </w:rPr>
        <w:t>（四）编制综合交通发展规划，市域统筹发展</w:t>
      </w:r>
      <w:r>
        <w:tab/>
      </w:r>
      <w:r>
        <w:fldChar w:fldCharType="begin"/>
      </w:r>
      <w:r>
        <w:instrText xml:space="preserve"> PAGEREF _Toc89371402 \h </w:instrText>
      </w:r>
      <w:r>
        <w:fldChar w:fldCharType="separate"/>
      </w:r>
      <w:r>
        <w:t>82</w:t>
      </w:r>
      <w:r>
        <w:fldChar w:fldCharType="end"/>
      </w:r>
      <w:r>
        <w:fldChar w:fldCharType="end"/>
      </w:r>
    </w:p>
    <w:p w14:paraId="581C54E4">
      <w:pPr>
        <w:pStyle w:val="10"/>
        <w:tabs>
          <w:tab w:val="right" w:leader="dot" w:pos="8296"/>
        </w:tabs>
        <w:rPr>
          <w:rFonts w:cs="宋体"/>
          <w:kern w:val="2"/>
          <w:sz w:val="21"/>
        </w:rPr>
      </w:pPr>
      <w:r>
        <w:fldChar w:fldCharType="begin"/>
      </w:r>
      <w:r>
        <w:instrText xml:space="preserve"> HYPERLINK \l "_Toc89371403" </w:instrText>
      </w:r>
      <w:r>
        <w:fldChar w:fldCharType="separate"/>
      </w:r>
      <w:r>
        <w:rPr>
          <w:rStyle w:val="17"/>
        </w:rPr>
        <w:t>（五）采取积极有效措施，推进交通一体化进程</w:t>
      </w:r>
      <w:r>
        <w:tab/>
      </w:r>
      <w:r>
        <w:fldChar w:fldCharType="begin"/>
      </w:r>
      <w:r>
        <w:instrText xml:space="preserve"> PAGEREF _Toc89371403 \h </w:instrText>
      </w:r>
      <w:r>
        <w:fldChar w:fldCharType="separate"/>
      </w:r>
      <w:r>
        <w:t>83</w:t>
      </w:r>
      <w:r>
        <w:fldChar w:fldCharType="end"/>
      </w:r>
      <w:r>
        <w:fldChar w:fldCharType="end"/>
      </w:r>
    </w:p>
    <w:p w14:paraId="00B20826">
      <w:pPr>
        <w:pStyle w:val="10"/>
        <w:tabs>
          <w:tab w:val="right" w:leader="dot" w:pos="8296"/>
        </w:tabs>
        <w:rPr>
          <w:rFonts w:cs="宋体"/>
          <w:kern w:val="2"/>
          <w:sz w:val="21"/>
        </w:rPr>
      </w:pPr>
      <w:r>
        <w:fldChar w:fldCharType="begin"/>
      </w:r>
      <w:r>
        <w:instrText xml:space="preserve"> HYPERLINK \l "_Toc89371404" </w:instrText>
      </w:r>
      <w:r>
        <w:fldChar w:fldCharType="separate"/>
      </w:r>
      <w:r>
        <w:rPr>
          <w:rStyle w:val="17"/>
        </w:rPr>
        <w:t>（六）重视环境风险防范，强化环境保护制度</w:t>
      </w:r>
      <w:r>
        <w:tab/>
      </w:r>
      <w:r>
        <w:fldChar w:fldCharType="begin"/>
      </w:r>
      <w:r>
        <w:instrText xml:space="preserve"> PAGEREF _Toc89371404 \h </w:instrText>
      </w:r>
      <w:r>
        <w:fldChar w:fldCharType="separate"/>
      </w:r>
      <w:r>
        <w:t>83</w:t>
      </w:r>
      <w:r>
        <w:fldChar w:fldCharType="end"/>
      </w:r>
      <w:r>
        <w:fldChar w:fldCharType="end"/>
      </w:r>
    </w:p>
    <w:p w14:paraId="3042D685">
      <w:pPr>
        <w:pStyle w:val="10"/>
        <w:tabs>
          <w:tab w:val="right" w:leader="dot" w:pos="8296"/>
        </w:tabs>
        <w:rPr>
          <w:rFonts w:cs="宋体"/>
          <w:kern w:val="2"/>
          <w:sz w:val="21"/>
        </w:rPr>
      </w:pPr>
      <w:r>
        <w:fldChar w:fldCharType="begin"/>
      </w:r>
      <w:r>
        <w:instrText xml:space="preserve"> HYPERLINK \l "_Toc89371405" </w:instrText>
      </w:r>
      <w:r>
        <w:fldChar w:fldCharType="separate"/>
      </w:r>
      <w:r>
        <w:rPr>
          <w:rStyle w:val="17"/>
        </w:rPr>
        <w:t>（七）重视人才引进，强化人才支撑</w:t>
      </w:r>
      <w:r>
        <w:tab/>
      </w:r>
      <w:r>
        <w:fldChar w:fldCharType="begin"/>
      </w:r>
      <w:r>
        <w:instrText xml:space="preserve"> PAGEREF _Toc89371405 \h </w:instrText>
      </w:r>
      <w:r>
        <w:fldChar w:fldCharType="separate"/>
      </w:r>
      <w:r>
        <w:t>83</w:t>
      </w:r>
      <w:r>
        <w:fldChar w:fldCharType="end"/>
      </w:r>
      <w:r>
        <w:fldChar w:fldCharType="end"/>
      </w:r>
    </w:p>
    <w:p w14:paraId="104C6825">
      <w:pPr>
        <w:rPr>
          <w:rFonts w:eastAsia="黑体"/>
          <w:color w:val="000000"/>
          <w:sz w:val="30"/>
          <w:szCs w:val="30"/>
        </w:rPr>
        <w:sectPr>
          <w:footerReference r:id="rId6" w:type="first"/>
          <w:footerReference r:id="rId5" w:type="default"/>
          <w:pgSz w:w="11906" w:h="16838"/>
          <w:pgMar w:top="1440" w:right="1800" w:bottom="1440" w:left="1800" w:header="851" w:footer="992" w:gutter="0"/>
          <w:pgNumType w:start="1"/>
          <w:cols w:space="425" w:num="1"/>
          <w:docGrid w:type="lines" w:linePitch="312" w:charSpace="0"/>
        </w:sectPr>
      </w:pPr>
      <w:r>
        <w:rPr>
          <w:rFonts w:eastAsia="黑体"/>
          <w:color w:val="000000"/>
          <w:szCs w:val="30"/>
        </w:rPr>
        <w:fldChar w:fldCharType="end"/>
      </w:r>
    </w:p>
    <w:p w14:paraId="71C59E79">
      <w:pPr>
        <w:pStyle w:val="2"/>
        <w:spacing w:before="312" w:beforeLines="100" w:after="312" w:afterLines="100" w:line="360" w:lineRule="auto"/>
        <w:jc w:val="center"/>
        <w:rPr>
          <w:rFonts w:ascii="黑体" w:hAnsi="黑体" w:eastAsia="黑体" w:cs="黑体"/>
          <w:color w:val="000000"/>
          <w:sz w:val="32"/>
          <w:szCs w:val="32"/>
        </w:rPr>
      </w:pPr>
      <w:bookmarkStart w:id="0" w:name="_Toc89371351"/>
      <w:r>
        <w:rPr>
          <w:rFonts w:hint="eastAsia" w:ascii="黑体" w:hAnsi="黑体" w:eastAsia="黑体" w:cs="黑体"/>
          <w:color w:val="000000"/>
          <w:sz w:val="32"/>
          <w:szCs w:val="32"/>
        </w:rPr>
        <w:t>第一章 规划背景</w:t>
      </w:r>
      <w:bookmarkEnd w:id="0"/>
    </w:p>
    <w:p w14:paraId="2A54A46C">
      <w:pPr>
        <w:pStyle w:val="20"/>
        <w:rPr>
          <w:color w:val="000000"/>
          <w:sz w:val="32"/>
        </w:rPr>
      </w:pPr>
      <w:bookmarkStart w:id="1" w:name="_Toc89371352"/>
      <w:r>
        <w:rPr>
          <w:rFonts w:hint="eastAsia"/>
          <w:color w:val="000000"/>
          <w:sz w:val="32"/>
        </w:rPr>
        <w:t>（一）时代背景</w:t>
      </w:r>
      <w:bookmarkEnd w:id="1"/>
    </w:p>
    <w:p w14:paraId="04177CA0">
      <w:pPr>
        <w:spacing w:line="360" w:lineRule="auto"/>
        <w:ind w:firstLine="640" w:firstLineChars="200"/>
        <w:rPr>
          <w:color w:val="000000"/>
        </w:rPr>
      </w:pPr>
      <w:r>
        <w:rPr>
          <w:rFonts w:hint="eastAsia"/>
          <w:color w:val="000000"/>
          <w:sz w:val="32"/>
          <w:szCs w:val="32"/>
        </w:rPr>
        <w:t>“</w:t>
      </w:r>
      <w:r>
        <w:rPr>
          <w:color w:val="000000"/>
          <w:sz w:val="32"/>
          <w:szCs w:val="32"/>
        </w:rPr>
        <w:t>十四五</w:t>
      </w:r>
      <w:r>
        <w:rPr>
          <w:rFonts w:hint="eastAsia"/>
          <w:color w:val="000000"/>
          <w:sz w:val="32"/>
          <w:szCs w:val="32"/>
        </w:rPr>
        <w:t>”</w:t>
      </w:r>
      <w:r>
        <w:rPr>
          <w:color w:val="000000"/>
          <w:sz w:val="32"/>
          <w:szCs w:val="32"/>
        </w:rPr>
        <w:t>期</w:t>
      </w:r>
      <w:r>
        <w:rPr>
          <w:rFonts w:hint="eastAsia"/>
          <w:color w:val="000000"/>
          <w:sz w:val="32"/>
          <w:szCs w:val="32"/>
        </w:rPr>
        <w:t>，</w:t>
      </w:r>
      <w:r>
        <w:rPr>
          <w:color w:val="000000"/>
          <w:sz w:val="32"/>
          <w:szCs w:val="32"/>
        </w:rPr>
        <w:t>是我国由全面建设小康社会向基本实现社会主义现代化迈进的关键时期，</w:t>
      </w:r>
      <w:r>
        <w:rPr>
          <w:rFonts w:hint="eastAsia"/>
          <w:color w:val="000000"/>
          <w:sz w:val="32"/>
          <w:szCs w:val="32"/>
        </w:rPr>
        <w:t>是“</w:t>
      </w:r>
      <w:r>
        <w:rPr>
          <w:color w:val="000000"/>
          <w:sz w:val="32"/>
          <w:szCs w:val="32"/>
        </w:rPr>
        <w:t>两个一百年</w:t>
      </w:r>
      <w:r>
        <w:rPr>
          <w:rFonts w:hint="eastAsia"/>
          <w:color w:val="000000"/>
          <w:sz w:val="32"/>
          <w:szCs w:val="32"/>
        </w:rPr>
        <w:t>”</w:t>
      </w:r>
      <w:r>
        <w:rPr>
          <w:color w:val="000000"/>
          <w:sz w:val="32"/>
          <w:szCs w:val="32"/>
        </w:rPr>
        <w:t>两个一百年奋斗目标的历史交汇期，也是全面开启社会主义现代化强国建设新征程的重要机遇期。党的十九大明确提出交通强国</w:t>
      </w:r>
      <w:r>
        <w:rPr>
          <w:rFonts w:hint="eastAsia"/>
          <w:color w:val="000000"/>
          <w:sz w:val="32"/>
          <w:szCs w:val="32"/>
        </w:rPr>
        <w:t>战略</w:t>
      </w:r>
      <w:r>
        <w:rPr>
          <w:color w:val="000000"/>
          <w:sz w:val="32"/>
          <w:szCs w:val="32"/>
        </w:rPr>
        <w:t>，赋予了交通运输在新时代的新使命，也开启了由交通大国向交通强国迈进的</w:t>
      </w:r>
      <w:r>
        <w:rPr>
          <w:rFonts w:hint="eastAsia"/>
          <w:color w:val="000000"/>
          <w:sz w:val="32"/>
          <w:szCs w:val="32"/>
        </w:rPr>
        <w:t>新征程</w:t>
      </w:r>
      <w:r>
        <w:rPr>
          <w:color w:val="000000"/>
          <w:sz w:val="32"/>
          <w:szCs w:val="32"/>
        </w:rPr>
        <w:t>。建设交通强国，发挥好交通先行作用，是加快建设创新型国家，构建现代化经济体系的必然要求；是全面建设社会主义现代化国家的基础支撑，</w:t>
      </w:r>
      <w:r>
        <w:rPr>
          <w:rFonts w:hint="eastAsia"/>
          <w:color w:val="000000"/>
          <w:sz w:val="32"/>
          <w:szCs w:val="32"/>
        </w:rPr>
        <w:t>是</w:t>
      </w:r>
      <w:r>
        <w:rPr>
          <w:color w:val="000000"/>
          <w:sz w:val="32"/>
          <w:szCs w:val="32"/>
        </w:rPr>
        <w:t>满足人民对美好生活向往的必然要求。</w:t>
      </w:r>
      <w:r>
        <w:rPr>
          <w:rFonts w:hint="eastAsia"/>
          <w:color w:val="000000"/>
          <w:sz w:val="32"/>
          <w:szCs w:val="32"/>
          <w:lang w:eastAsia="zh-CN"/>
        </w:rPr>
        <w:t>党的十九届五中全会</w:t>
      </w:r>
      <w:r>
        <w:rPr>
          <w:rFonts w:hint="eastAsia"/>
          <w:color w:val="000000"/>
          <w:sz w:val="32"/>
          <w:szCs w:val="32"/>
        </w:rPr>
        <w:t>提出实现奋斗目标的具体举措包括优先发展农业农村、全面推进乡村振兴，优化国土空间布局、推进区域协调发展和新型城镇化。</w:t>
      </w:r>
      <w:r>
        <w:rPr>
          <w:color w:val="000000"/>
          <w:sz w:val="32"/>
          <w:szCs w:val="32"/>
        </w:rPr>
        <w:t>乡村振兴、精准扶贫、全域旅游等一系列战略任务的推进实施，都为</w:t>
      </w:r>
      <w:r>
        <w:rPr>
          <w:rFonts w:hint="eastAsia"/>
          <w:color w:val="000000"/>
          <w:sz w:val="32"/>
          <w:szCs w:val="32"/>
        </w:rPr>
        <w:t>乳山</w:t>
      </w:r>
      <w:r>
        <w:rPr>
          <w:color w:val="000000"/>
          <w:sz w:val="32"/>
          <w:szCs w:val="32"/>
        </w:rPr>
        <w:t>市交通运输发展提供了更广的发展空间、更深的发展层次和更高的发展要求。</w:t>
      </w:r>
    </w:p>
    <w:p w14:paraId="532BE52A">
      <w:pPr>
        <w:pStyle w:val="20"/>
        <w:rPr>
          <w:color w:val="000000"/>
          <w:sz w:val="32"/>
        </w:rPr>
      </w:pPr>
      <w:bookmarkStart w:id="2" w:name="_Toc89371353"/>
      <w:r>
        <w:rPr>
          <w:rFonts w:hint="eastAsia"/>
          <w:color w:val="000000"/>
          <w:sz w:val="32"/>
        </w:rPr>
        <w:t>（二）面临形势</w:t>
      </w:r>
      <w:bookmarkEnd w:id="2"/>
    </w:p>
    <w:p w14:paraId="4E55A0FB">
      <w:pPr>
        <w:spacing w:line="360" w:lineRule="auto"/>
        <w:ind w:firstLine="640" w:firstLineChars="200"/>
        <w:rPr>
          <w:color w:val="000000"/>
          <w:sz w:val="32"/>
          <w:szCs w:val="32"/>
        </w:rPr>
      </w:pPr>
      <w:r>
        <w:rPr>
          <w:color w:val="000000"/>
          <w:sz w:val="32"/>
          <w:szCs w:val="32"/>
        </w:rPr>
        <w:t>2019年9月</w:t>
      </w:r>
      <w:r>
        <w:rPr>
          <w:rFonts w:hint="eastAsia"/>
          <w:color w:val="000000"/>
          <w:sz w:val="32"/>
          <w:szCs w:val="32"/>
        </w:rPr>
        <w:t>，</w:t>
      </w:r>
      <w:r>
        <w:rPr>
          <w:color w:val="000000"/>
          <w:sz w:val="32"/>
          <w:szCs w:val="32"/>
        </w:rPr>
        <w:t>交通运输部印发《交通强国建设纲要》</w:t>
      </w:r>
      <w:r>
        <w:rPr>
          <w:rFonts w:hint="eastAsia"/>
          <w:color w:val="000000"/>
          <w:sz w:val="32"/>
          <w:szCs w:val="32"/>
        </w:rPr>
        <w:t>，</w:t>
      </w:r>
      <w:r>
        <w:rPr>
          <w:color w:val="000000"/>
          <w:sz w:val="32"/>
          <w:szCs w:val="32"/>
        </w:rPr>
        <w:t>统筹推进交通强国建设</w:t>
      </w:r>
      <w:r>
        <w:rPr>
          <w:rFonts w:hint="eastAsia"/>
          <w:color w:val="000000"/>
          <w:sz w:val="32"/>
          <w:szCs w:val="32"/>
        </w:rPr>
        <w:t>；</w:t>
      </w:r>
      <w:r>
        <w:rPr>
          <w:color w:val="000000"/>
          <w:sz w:val="32"/>
          <w:szCs w:val="32"/>
        </w:rPr>
        <w:t>2019年10月</w:t>
      </w:r>
      <w:r>
        <w:rPr>
          <w:rFonts w:hint="eastAsia"/>
          <w:color w:val="000000"/>
          <w:sz w:val="32"/>
          <w:szCs w:val="32"/>
        </w:rPr>
        <w:t>，</w:t>
      </w:r>
      <w:r>
        <w:rPr>
          <w:color w:val="000000"/>
          <w:sz w:val="32"/>
          <w:szCs w:val="32"/>
        </w:rPr>
        <w:t>确定山东成为第一批交通强国建设试点13个单位之一</w:t>
      </w:r>
      <w:r>
        <w:rPr>
          <w:rFonts w:hint="eastAsia"/>
          <w:color w:val="000000"/>
          <w:sz w:val="32"/>
          <w:szCs w:val="32"/>
        </w:rPr>
        <w:t>，</w:t>
      </w:r>
      <w:r>
        <w:rPr>
          <w:color w:val="000000"/>
          <w:sz w:val="32"/>
          <w:szCs w:val="32"/>
        </w:rPr>
        <w:t>省十三届人大一次会议也已明确提出了建设交通强省的目标任务。随着省内各地市机构改革的完成，</w:t>
      </w:r>
      <w:r>
        <w:rPr>
          <w:rFonts w:hint="eastAsia"/>
          <w:color w:val="000000"/>
          <w:sz w:val="32"/>
          <w:szCs w:val="32"/>
        </w:rPr>
        <w:t>“</w:t>
      </w:r>
      <w:r>
        <w:rPr>
          <w:color w:val="000000"/>
          <w:sz w:val="32"/>
          <w:szCs w:val="32"/>
        </w:rPr>
        <w:t>十四五</w:t>
      </w:r>
      <w:r>
        <w:rPr>
          <w:rFonts w:hint="eastAsia"/>
          <w:color w:val="000000"/>
          <w:sz w:val="32"/>
          <w:szCs w:val="32"/>
        </w:rPr>
        <w:t>”</w:t>
      </w:r>
      <w:r>
        <w:rPr>
          <w:color w:val="000000"/>
          <w:sz w:val="32"/>
          <w:szCs w:val="32"/>
        </w:rPr>
        <w:t>期交通运输行业进入</w:t>
      </w:r>
      <w:r>
        <w:rPr>
          <w:rFonts w:hint="eastAsia"/>
          <w:color w:val="000000"/>
          <w:sz w:val="32"/>
          <w:szCs w:val="32"/>
        </w:rPr>
        <w:t>“</w:t>
      </w:r>
      <w:r>
        <w:rPr>
          <w:color w:val="000000"/>
          <w:sz w:val="32"/>
          <w:szCs w:val="32"/>
        </w:rPr>
        <w:t>大交通</w:t>
      </w:r>
      <w:r>
        <w:rPr>
          <w:rFonts w:hint="eastAsia"/>
          <w:color w:val="000000"/>
          <w:sz w:val="32"/>
          <w:szCs w:val="32"/>
        </w:rPr>
        <w:t>”</w:t>
      </w:r>
      <w:r>
        <w:rPr>
          <w:color w:val="000000"/>
          <w:sz w:val="32"/>
          <w:szCs w:val="32"/>
        </w:rPr>
        <w:t>统筹发展的新时代，须遵循</w:t>
      </w:r>
      <w:r>
        <w:rPr>
          <w:rFonts w:hint="eastAsia"/>
          <w:color w:val="000000"/>
          <w:sz w:val="32"/>
          <w:szCs w:val="32"/>
        </w:rPr>
        <w:t>“</w:t>
      </w:r>
      <w:r>
        <w:rPr>
          <w:color w:val="000000"/>
          <w:sz w:val="32"/>
          <w:szCs w:val="32"/>
        </w:rPr>
        <w:t>一带一路</w:t>
      </w:r>
      <w:r>
        <w:rPr>
          <w:rFonts w:hint="eastAsia"/>
          <w:color w:val="000000"/>
          <w:sz w:val="32"/>
          <w:szCs w:val="32"/>
        </w:rPr>
        <w:t>”</w:t>
      </w:r>
      <w:r>
        <w:rPr>
          <w:color w:val="000000"/>
          <w:sz w:val="32"/>
          <w:szCs w:val="32"/>
        </w:rPr>
        <w:t>倡议、交通强国、国家综合立体交通网规划等国家战略和上位规划，积极衔接山东半岛蓝色经济区和环渤海经济圈等发展规划，并与新旧动能转换重大工程、新型城镇体系规划和国土空间规划有效衔接、协调推进。</w:t>
      </w:r>
    </w:p>
    <w:p w14:paraId="1E10C51D">
      <w:pPr>
        <w:spacing w:line="360" w:lineRule="auto"/>
        <w:ind w:firstLine="640" w:firstLineChars="200"/>
        <w:rPr>
          <w:color w:val="000000"/>
          <w:sz w:val="32"/>
          <w:szCs w:val="32"/>
        </w:rPr>
      </w:pPr>
      <w:r>
        <w:rPr>
          <w:color w:val="000000"/>
          <w:sz w:val="32"/>
          <w:szCs w:val="32"/>
        </w:rPr>
        <w:t>此外，当今世界处于新科技革命和产业革命交汇期，随着大数据、人工智能、移动互联及新一代信息技术的普及，人们的生产生活方式将发生显著变化</w:t>
      </w:r>
      <w:r>
        <w:rPr>
          <w:rFonts w:hint="eastAsia"/>
          <w:color w:val="000000"/>
          <w:sz w:val="32"/>
          <w:szCs w:val="32"/>
        </w:rPr>
        <w:t>，</w:t>
      </w:r>
      <w:r>
        <w:rPr>
          <w:color w:val="000000"/>
          <w:sz w:val="32"/>
          <w:szCs w:val="32"/>
        </w:rPr>
        <w:t>交通运输发展方式正面临着深刻变化。</w:t>
      </w:r>
    </w:p>
    <w:p w14:paraId="69A4CF98">
      <w:pPr>
        <w:spacing w:line="360" w:lineRule="auto"/>
        <w:ind w:firstLine="640" w:firstLineChars="200"/>
        <w:rPr>
          <w:color w:val="000000"/>
          <w:sz w:val="32"/>
          <w:szCs w:val="32"/>
        </w:rPr>
      </w:pPr>
      <w:r>
        <w:rPr>
          <w:color w:val="000000"/>
          <w:sz w:val="32"/>
          <w:szCs w:val="32"/>
        </w:rPr>
        <w:t>从国家区域发展战略布局分析，环渤海地区已成为国家新一轮空间开发的重点，黄河三角洲高效生态经济区、山东半岛蓝色经济区上升为国家战略，区域经济一体化进程全面加快。2018年11月18日，中共中央国务院发布《关于建立更加有效的区域协调发展新机制的意见》，明确以北京、天津为中心引领京津冀城市群发展，带动环渤海地区协同发展。环渤海地区是面向亚太地区全方位开放合作</w:t>
      </w:r>
      <w:r>
        <w:rPr>
          <w:rFonts w:hint="eastAsia"/>
          <w:color w:val="000000"/>
          <w:sz w:val="32"/>
          <w:szCs w:val="32"/>
        </w:rPr>
        <w:t>的</w:t>
      </w:r>
      <w:r>
        <w:rPr>
          <w:color w:val="000000"/>
          <w:sz w:val="32"/>
          <w:szCs w:val="32"/>
        </w:rPr>
        <w:t>门户，在东北亚和“一带一路”建设中具有重要战略地位。</w:t>
      </w:r>
      <w:r>
        <w:rPr>
          <w:color w:val="000000"/>
          <w:sz w:val="32"/>
          <w:szCs w:val="32"/>
        </w:rPr>
        <w:br w:type="page"/>
      </w:r>
    </w:p>
    <w:p w14:paraId="3287C302">
      <w:pPr>
        <w:pStyle w:val="2"/>
        <w:spacing w:before="312" w:beforeLines="100" w:after="312" w:afterLines="100" w:line="360" w:lineRule="auto"/>
        <w:jc w:val="center"/>
        <w:rPr>
          <w:rFonts w:ascii="黑体" w:hAnsi="黑体" w:eastAsia="黑体" w:cs="黑体"/>
          <w:color w:val="000000"/>
          <w:sz w:val="32"/>
          <w:szCs w:val="32"/>
        </w:rPr>
      </w:pPr>
      <w:bookmarkStart w:id="3" w:name="_Toc89371354"/>
      <w:r>
        <w:rPr>
          <w:rFonts w:hint="eastAsia" w:ascii="黑体" w:hAnsi="黑体" w:eastAsia="黑体" w:cs="黑体"/>
          <w:color w:val="000000"/>
          <w:sz w:val="32"/>
          <w:szCs w:val="32"/>
        </w:rPr>
        <w:t>第二章 指导思想与上位规划解读</w:t>
      </w:r>
      <w:bookmarkEnd w:id="3"/>
    </w:p>
    <w:p w14:paraId="32114604">
      <w:pPr>
        <w:pStyle w:val="20"/>
        <w:rPr>
          <w:color w:val="000000"/>
          <w:sz w:val="32"/>
        </w:rPr>
      </w:pPr>
      <w:bookmarkStart w:id="4" w:name="_Toc89371355"/>
      <w:r>
        <w:rPr>
          <w:rFonts w:hint="eastAsia"/>
          <w:color w:val="000000"/>
          <w:sz w:val="32"/>
        </w:rPr>
        <w:t>（一）指导思想</w:t>
      </w:r>
      <w:bookmarkEnd w:id="4"/>
    </w:p>
    <w:p w14:paraId="5EBA7A82">
      <w:pPr>
        <w:spacing w:line="360" w:lineRule="auto"/>
        <w:ind w:firstLine="640" w:firstLineChars="200"/>
        <w:rPr>
          <w:color w:val="000000"/>
        </w:rPr>
      </w:pPr>
      <w:r>
        <w:rPr>
          <w:color w:val="000000"/>
          <w:sz w:val="32"/>
          <w:szCs w:val="32"/>
        </w:rPr>
        <w:t>以习近平新时代中国特色社会主义思想为指导，深入贯彻党的十九大精神，紧紧围绕统筹推进</w:t>
      </w:r>
      <w:r>
        <w:rPr>
          <w:rFonts w:hint="eastAsia"/>
          <w:color w:val="000000"/>
          <w:sz w:val="32"/>
          <w:szCs w:val="32"/>
        </w:rPr>
        <w:t>“</w:t>
      </w:r>
      <w:r>
        <w:rPr>
          <w:color w:val="000000"/>
          <w:sz w:val="32"/>
          <w:szCs w:val="32"/>
        </w:rPr>
        <w:t>五位一体</w:t>
      </w:r>
      <w:r>
        <w:rPr>
          <w:rFonts w:hint="eastAsia"/>
          <w:color w:val="000000"/>
          <w:sz w:val="32"/>
          <w:szCs w:val="32"/>
        </w:rPr>
        <w:t>”</w:t>
      </w:r>
      <w:r>
        <w:rPr>
          <w:color w:val="000000"/>
          <w:sz w:val="32"/>
          <w:szCs w:val="32"/>
        </w:rPr>
        <w:t>总体布局和协调推进</w:t>
      </w:r>
      <w:r>
        <w:rPr>
          <w:rFonts w:hint="eastAsia"/>
          <w:color w:val="000000"/>
          <w:sz w:val="32"/>
          <w:szCs w:val="32"/>
        </w:rPr>
        <w:t>“</w:t>
      </w:r>
      <w:r>
        <w:rPr>
          <w:color w:val="000000"/>
          <w:sz w:val="32"/>
          <w:szCs w:val="32"/>
        </w:rPr>
        <w:t>四个全面</w:t>
      </w:r>
      <w:r>
        <w:rPr>
          <w:rFonts w:hint="eastAsia"/>
          <w:color w:val="000000"/>
          <w:sz w:val="32"/>
          <w:szCs w:val="32"/>
        </w:rPr>
        <w:t>”</w:t>
      </w:r>
      <w:r>
        <w:rPr>
          <w:color w:val="000000"/>
          <w:sz w:val="32"/>
          <w:szCs w:val="32"/>
        </w:rPr>
        <w:t>战略布局，坚持稳中求进工作总基调，坚持新发展理念，坚持推动高质量发展，坚持以供给侧结构性改革为主线，坚持以人民为中心的发展思想，牢牢把握交通“先行官”定位，适度超前，进一步解放思想、开拓进取，推动交通发展由追求速度规模向更加注重质量效益转变，由各种交通方式相对独立发展向更加注重一体化融合发展转变，由依靠传统要素驱动向更加注重创新驱动转变，构建安全、便捷、高效、绿色、经济的现代化综合交通体系，打造一流设施、一流技术、一流管理、一流服务，建成人民满意、保障有力、世界前列的交通强国，为全面建成社会主义现代化强国、实现中华民族伟大复兴中国梦提供坚强支撑。</w:t>
      </w:r>
    </w:p>
    <w:p w14:paraId="00BF88AA">
      <w:pPr>
        <w:spacing w:line="360" w:lineRule="auto"/>
        <w:ind w:firstLine="640" w:firstLineChars="200"/>
        <w:rPr>
          <w:color w:val="000000"/>
          <w:sz w:val="32"/>
          <w:szCs w:val="32"/>
        </w:rPr>
      </w:pPr>
      <w:r>
        <w:rPr>
          <w:color w:val="000000"/>
          <w:sz w:val="32"/>
          <w:szCs w:val="32"/>
        </w:rPr>
        <w:t>交通运输是经济发展的重要基础和支撑，是社会进步的重要保障和标志。建设现代化的综合交通网络，是坚决落实习近平总书记视察山东重要讲话、重要指示批示精神，紧紧围绕“在全面建成小康社会进程中走在前列、在社会主义现代化建设新征程中走在前列，全面开创新时代现代化强省建设新局面”总要求的迫切需要，是贯彻新发展理念、推动高质量发展的内在要求，是解决好发展不平衡不充分问题、满足人民群众日益增长美好生活需要的必然选择。党的十九大提出，要加强铁路、公路、水运、航空等基础设施网络建设，建设交通强国。习近平总书记视察山东时指出，要加快基础设施互联互通，为高质量发展提供强力支撑。</w:t>
      </w:r>
    </w:p>
    <w:p w14:paraId="39C1AA1B">
      <w:pPr>
        <w:spacing w:line="360" w:lineRule="auto"/>
        <w:ind w:firstLine="640" w:firstLineChars="200"/>
        <w:rPr>
          <w:color w:val="000000"/>
          <w:sz w:val="32"/>
          <w:szCs w:val="32"/>
        </w:rPr>
      </w:pPr>
      <w:r>
        <w:rPr>
          <w:rFonts w:hint="eastAsia"/>
          <w:color w:val="000000"/>
          <w:sz w:val="32"/>
          <w:szCs w:val="32"/>
        </w:rPr>
        <w:t>深入学习贯彻习近平新时代中国特色社会主义思想和党的十九大精神，坚持新发展理念，突出问题导向，进一步优化全省农村公路路网结构，提升管理养护水平，推进城乡交通运输一体化发展，努力打造山东“新农村幸福路”优质品牌，为在全面建成小康社会进程中走在前列，在社会主义现代化建设新征程中走在前列，全面开创新时代现代化强省建设新局面提供坚实保障。</w:t>
      </w:r>
    </w:p>
    <w:p w14:paraId="19FCE4C3">
      <w:pPr>
        <w:pStyle w:val="20"/>
        <w:rPr>
          <w:color w:val="000000"/>
          <w:sz w:val="32"/>
        </w:rPr>
      </w:pPr>
      <w:bookmarkStart w:id="5" w:name="_Toc89371356"/>
      <w:r>
        <w:rPr>
          <w:rFonts w:hint="eastAsia"/>
          <w:color w:val="000000"/>
          <w:sz w:val="32"/>
        </w:rPr>
        <w:t>（二）上位规划解读</w:t>
      </w:r>
      <w:bookmarkEnd w:id="5"/>
    </w:p>
    <w:p w14:paraId="2EFB50B6">
      <w:pPr>
        <w:pStyle w:val="21"/>
        <w:rPr>
          <w:bCs w:val="0"/>
          <w:color w:val="000000"/>
          <w:sz w:val="32"/>
        </w:rPr>
      </w:pPr>
      <w:bookmarkStart w:id="6" w:name="_Toc89371357"/>
      <w:r>
        <w:rPr>
          <w:bCs w:val="0"/>
          <w:color w:val="000000"/>
          <w:sz w:val="32"/>
        </w:rPr>
        <w:t>1.国家层面</w:t>
      </w:r>
      <w:bookmarkEnd w:id="6"/>
    </w:p>
    <w:p w14:paraId="3A6D7135">
      <w:pPr>
        <w:spacing w:line="360" w:lineRule="auto"/>
        <w:ind w:firstLine="640" w:firstLineChars="200"/>
        <w:rPr>
          <w:color w:val="000000"/>
          <w:sz w:val="32"/>
          <w:szCs w:val="32"/>
        </w:rPr>
      </w:pPr>
      <w:r>
        <w:rPr>
          <w:rFonts w:hint="eastAsia"/>
          <w:color w:val="000000"/>
          <w:sz w:val="32"/>
          <w:szCs w:val="32"/>
        </w:rPr>
        <w:t>依据《中共中央关于制定国民经济和社会发展第十四个五年规划和二〇三五年远景目标的建议》，要实现广泛形成绿色生产生活方式，碳排放达峰后稳中有降，生态环境根本好转，美丽中国建设目标基本实现的远景目标；“十四五”时期要实现生态文明建设实现新进步，国土空间开发保护格局得到优化，生产生活方式绿色转型成效显著，能源资源配置更加合理、利用效率大幅提高，主要污染物排放总量持续减少，生态环境持续改善，生态安全屏障更加牢固，城乡人居环境明显改善的主要目标。</w:t>
      </w:r>
    </w:p>
    <w:p w14:paraId="0E6A0C62">
      <w:pPr>
        <w:spacing w:line="360" w:lineRule="auto"/>
        <w:ind w:firstLine="640" w:firstLineChars="200"/>
        <w:rPr>
          <w:color w:val="000000"/>
          <w:sz w:val="32"/>
          <w:szCs w:val="32"/>
        </w:rPr>
      </w:pPr>
      <w:r>
        <w:rPr>
          <w:rFonts w:hint="eastAsia"/>
          <w:color w:val="000000"/>
          <w:sz w:val="32"/>
          <w:szCs w:val="32"/>
        </w:rPr>
        <w:t>依据《交通强国建设纲要》，</w:t>
      </w:r>
      <w:r>
        <w:rPr>
          <w:color w:val="000000"/>
          <w:sz w:val="32"/>
          <w:szCs w:val="32"/>
        </w:rPr>
        <w:t xml:space="preserve"> </w:t>
      </w:r>
      <w:r>
        <w:rPr>
          <w:rFonts w:hint="eastAsia"/>
          <w:color w:val="000000"/>
          <w:sz w:val="32"/>
          <w:szCs w:val="32"/>
        </w:rPr>
        <w:t>构建便捷顺畅的城市（群）交通网。建设城市群一体化交通网，推进干线铁路、城际铁路、市域（郊）铁路、城市轨道交通融合发展，完善城市群快速公路网络，加强公路与城市道路衔接。</w:t>
      </w:r>
    </w:p>
    <w:p w14:paraId="4D86E94C">
      <w:pPr>
        <w:spacing w:line="360" w:lineRule="auto"/>
        <w:ind w:firstLine="640" w:firstLineChars="200"/>
        <w:rPr>
          <w:color w:val="000000"/>
          <w:sz w:val="32"/>
          <w:szCs w:val="32"/>
        </w:rPr>
      </w:pPr>
      <w:r>
        <w:rPr>
          <w:rFonts w:hint="eastAsia"/>
          <w:color w:val="000000"/>
          <w:sz w:val="32"/>
          <w:szCs w:val="32"/>
        </w:rPr>
        <w:t>形成广覆盖的农村交通基础设施网。全面推进“四好农村路”建设，加快实施通村组硬化路建设，建立规范化可持续管护机制。</w:t>
      </w:r>
    </w:p>
    <w:p w14:paraId="74313975">
      <w:pPr>
        <w:spacing w:line="360" w:lineRule="auto"/>
        <w:ind w:firstLine="640" w:firstLineChars="200"/>
        <w:rPr>
          <w:color w:val="000000"/>
          <w:sz w:val="32"/>
          <w:szCs w:val="32"/>
        </w:rPr>
      </w:pPr>
      <w:r>
        <w:rPr>
          <w:rFonts w:hint="eastAsia"/>
          <w:color w:val="000000"/>
          <w:sz w:val="32"/>
          <w:szCs w:val="32"/>
        </w:rPr>
        <w:t>构筑多层级、一体化的综合交通枢纽体系。推进综合交通枢纽一体化规划建设，提高换乘换装水平，完善集疏运体系。大力发展枢纽经济。</w:t>
      </w:r>
    </w:p>
    <w:p w14:paraId="70658CD3">
      <w:pPr>
        <w:spacing w:line="360" w:lineRule="auto"/>
        <w:ind w:firstLine="640" w:firstLineChars="200"/>
        <w:rPr>
          <w:color w:val="000000"/>
          <w:sz w:val="32"/>
          <w:szCs w:val="32"/>
        </w:rPr>
      </w:pPr>
      <w:r>
        <w:rPr>
          <w:rFonts w:hint="eastAsia"/>
          <w:color w:val="000000"/>
          <w:sz w:val="32"/>
          <w:szCs w:val="32"/>
        </w:rPr>
        <w:t>推进装备技术升级。推广新能源、清洁能源、智能化、数字化、轻量化、环保型交通装备及成套技术装备。广泛应用智能高铁、智能道路、智能航运、自动化码头、数字管网、智能仓储和分拣系统等新型装备设施，开发新一代智能交通管理系统。</w:t>
      </w:r>
    </w:p>
    <w:p w14:paraId="27D52CBC">
      <w:pPr>
        <w:spacing w:line="360" w:lineRule="auto"/>
        <w:ind w:firstLine="640" w:firstLineChars="200"/>
        <w:rPr>
          <w:color w:val="000000"/>
          <w:sz w:val="32"/>
          <w:szCs w:val="32"/>
        </w:rPr>
      </w:pPr>
      <w:r>
        <w:rPr>
          <w:rFonts w:hint="eastAsia"/>
          <w:color w:val="000000"/>
          <w:sz w:val="32"/>
          <w:szCs w:val="32"/>
        </w:rPr>
        <w:t>推进出行服务快速化、便捷化。构筑以高铁、航空为主体的大容量、高效率区际快速客运服务，提升主要通道旅客运输能力。完善航空服务网络，逐步加密机场网建设，大力发展支线航空，推进干支有效衔接，提高航空服务能力和品质。提高城市群内轨道交通通勤化水平，推广城际道路客运公交化运行模式，打造旅客联程运输系统。加强城市交通拥堵综合治理，优先发展城市公共交通，鼓励引导绿色公交出行，合理引导个体机动化出行。推进城乡客运服务一体化，提升公共服务均等化水平，保障城乡居民行有所乘。</w:t>
      </w:r>
    </w:p>
    <w:p w14:paraId="4D4D58B9">
      <w:pPr>
        <w:ind w:firstLine="640" w:firstLineChars="200"/>
        <w:rPr>
          <w:color w:val="000000"/>
          <w:sz w:val="32"/>
          <w:szCs w:val="32"/>
        </w:rPr>
      </w:pPr>
      <w:r>
        <w:rPr>
          <w:rFonts w:hint="eastAsia"/>
          <w:color w:val="000000"/>
          <w:sz w:val="32"/>
          <w:szCs w:val="32"/>
        </w:rPr>
        <w:t>打造绿色高效的现代物流系统。优化运输结构，加快推进港口集疏运铁路、物流园区等“公转铁”重点项目建设，推进大宗货物及中长距离货物运输向铁路和水运有序转移。推动铁水、公铁、公水、空陆等联运发展，推广跨方式快速换装转运标准化设施设备，形成统一的多式联运标准和规则。发挥公路货运“门到门”优势。完善航空物流网络，提升航空货运效率。推进电商物流、冷链物流、大件运输、危险品物流等专业化物流发展，促进城际干线运输和城市末端配送有机衔接，鼓励发展集约化配送模式。综合利用多种资源，完善农村配送网络，促进城乡双向流通。落实减税降费政策，优化物流组织模式，提高物流效率，降低物流成本。</w:t>
      </w:r>
    </w:p>
    <w:p w14:paraId="00E3285B">
      <w:pPr>
        <w:ind w:firstLine="640" w:firstLineChars="200"/>
        <w:rPr>
          <w:color w:val="000000"/>
          <w:szCs w:val="21"/>
        </w:rPr>
      </w:pPr>
      <w:r>
        <w:rPr>
          <w:rFonts w:hint="eastAsia"/>
          <w:color w:val="000000"/>
          <w:sz w:val="32"/>
          <w:szCs w:val="32"/>
        </w:rPr>
        <w:t>大力发展智慧交通。推动大数据、互联网、人工智能、区块链、超级计算等新技术与交通行业深度融合。推进数据资源赋能交通发展，加速交通基础设施网、运输服务网、能源网与信息网络融合发展，构建泛在先进的交通信息基础设施。构建综合交通大数据中心体系，深化交通公共服务和电子政务发展。推进北斗卫星导航系统应用。</w:t>
      </w:r>
    </w:p>
    <w:p w14:paraId="419B7537">
      <w:pPr>
        <w:spacing w:line="360" w:lineRule="auto"/>
        <w:ind w:firstLine="640" w:firstLineChars="200"/>
        <w:rPr>
          <w:color w:val="000000"/>
          <w:sz w:val="32"/>
          <w:szCs w:val="32"/>
        </w:rPr>
      </w:pPr>
      <w:r>
        <w:rPr>
          <w:rFonts w:hint="eastAsia"/>
          <w:color w:val="000000"/>
          <w:sz w:val="32"/>
          <w:szCs w:val="32"/>
        </w:rPr>
        <w:t>启示：在交通强国战略的引领下，加快完善乳山市路网体系建设，从完善基础设施、升级技术装备、提升运输服务、引领科技创新、加强安全保障、强化绿色节约、加大开放力度、培育人才队伍、完善治理体系、制定保障措施等多方面着手，促进乳山市海陆空交通的全面协调发展，瞄准新一代信息技术、人工智能，推动智能交通的应用，极大提高智慧交通在未来综合交通运输发展中的作用。做到综合交通运输功能更加完善、综合交通科技创新能力大大增强、综合交通智慧化水平显著提升。补齐乳山市现有交通发展的短板。为构建海、陆、空综合立体交通运输通道，形成科学合理的综合交通网络做好战略布局。为交通强国战略纲要布局、全面实现交通运输现代化提供强有力的支撑。</w:t>
      </w:r>
    </w:p>
    <w:p w14:paraId="531364E2">
      <w:pPr>
        <w:pStyle w:val="21"/>
        <w:rPr>
          <w:bCs w:val="0"/>
          <w:color w:val="000000"/>
          <w:sz w:val="32"/>
        </w:rPr>
      </w:pPr>
      <w:bookmarkStart w:id="7" w:name="_Toc89371358"/>
      <w:r>
        <w:rPr>
          <w:rFonts w:hint="eastAsia"/>
          <w:bCs w:val="0"/>
          <w:color w:val="000000"/>
          <w:sz w:val="32"/>
        </w:rPr>
        <w:t>2</w:t>
      </w:r>
      <w:r>
        <w:rPr>
          <w:bCs w:val="0"/>
          <w:color w:val="000000"/>
          <w:sz w:val="32"/>
        </w:rPr>
        <w:t>.</w:t>
      </w:r>
      <w:r>
        <w:rPr>
          <w:rFonts w:hint="eastAsia"/>
          <w:bCs w:val="0"/>
          <w:color w:val="000000"/>
          <w:sz w:val="32"/>
        </w:rPr>
        <w:t>省级层面</w:t>
      </w:r>
      <w:bookmarkEnd w:id="7"/>
    </w:p>
    <w:p w14:paraId="1DCCA4C3">
      <w:pPr>
        <w:spacing w:line="360" w:lineRule="auto"/>
        <w:ind w:firstLine="640" w:firstLineChars="200"/>
        <w:rPr>
          <w:color w:val="000000"/>
          <w:sz w:val="32"/>
          <w:szCs w:val="32"/>
        </w:rPr>
      </w:pPr>
      <w:r>
        <w:rPr>
          <w:rFonts w:hint="eastAsia"/>
          <w:color w:val="000000"/>
          <w:sz w:val="32"/>
          <w:szCs w:val="32"/>
        </w:rPr>
        <w:t>（1）依据《</w:t>
      </w:r>
      <w:r>
        <w:rPr>
          <w:color w:val="000000"/>
          <w:sz w:val="32"/>
          <w:szCs w:val="32"/>
        </w:rPr>
        <w:t>山东省综合交通网中长期发展规划</w:t>
      </w:r>
      <w:r>
        <w:rPr>
          <w:rFonts w:hint="eastAsia"/>
          <w:color w:val="000000"/>
          <w:sz w:val="32"/>
          <w:szCs w:val="32"/>
        </w:rPr>
        <w:t>（2</w:t>
      </w:r>
      <w:r>
        <w:rPr>
          <w:color w:val="000000"/>
          <w:sz w:val="32"/>
          <w:szCs w:val="32"/>
        </w:rPr>
        <w:t>018-2035</w:t>
      </w:r>
      <w:r>
        <w:rPr>
          <w:rFonts w:hint="eastAsia"/>
          <w:color w:val="000000"/>
          <w:sz w:val="32"/>
          <w:szCs w:val="32"/>
        </w:rPr>
        <w:t>年）》，</w:t>
      </w:r>
      <w:r>
        <w:rPr>
          <w:color w:val="000000"/>
          <w:sz w:val="32"/>
          <w:szCs w:val="32"/>
        </w:rPr>
        <w:t>要加强铁路、公路、水运、航空等基础设施网络建设，建设交通强国。习近平总书记视察山东时指出，要加快基础设施互联互通，为高质量发展提供强力支撑。统筹各种运输方式协调发展，加快构建布局超前、功能完善、便捷高效、智慧引领、绿色生态、安全可靠的综合交通网络体系，为全面开创新时代现代化强省新局面提供坚实保障。</w:t>
      </w:r>
    </w:p>
    <w:p w14:paraId="7599D6E5">
      <w:pPr>
        <w:spacing w:line="360" w:lineRule="auto"/>
        <w:ind w:firstLine="640" w:firstLineChars="200"/>
        <w:rPr>
          <w:color w:val="000000"/>
          <w:sz w:val="32"/>
          <w:szCs w:val="32"/>
        </w:rPr>
      </w:pPr>
      <w:r>
        <w:rPr>
          <w:rFonts w:hint="eastAsia"/>
          <w:color w:val="000000"/>
          <w:sz w:val="32"/>
          <w:szCs w:val="32"/>
        </w:rPr>
        <w:t>1）</w:t>
      </w:r>
      <w:r>
        <w:rPr>
          <w:color w:val="000000"/>
          <w:sz w:val="32"/>
          <w:szCs w:val="32"/>
        </w:rPr>
        <w:t>加快新旧动能转换，推动高质量发展，亟需进一步增强综合交通保障和支撑能力。</w:t>
      </w:r>
    </w:p>
    <w:p w14:paraId="48DCDE0E">
      <w:pPr>
        <w:spacing w:line="360" w:lineRule="auto"/>
        <w:ind w:firstLine="640" w:firstLineChars="200"/>
        <w:rPr>
          <w:color w:val="000000"/>
          <w:sz w:val="32"/>
          <w:szCs w:val="32"/>
        </w:rPr>
      </w:pPr>
      <w:r>
        <w:rPr>
          <w:rFonts w:hint="eastAsia"/>
          <w:color w:val="000000"/>
          <w:sz w:val="32"/>
          <w:szCs w:val="32"/>
        </w:rPr>
        <w:t>2）</w:t>
      </w:r>
      <w:r>
        <w:rPr>
          <w:color w:val="000000"/>
          <w:sz w:val="32"/>
          <w:szCs w:val="32"/>
        </w:rPr>
        <w:t>贯彻交通强国建设要求，实施交通强省战略，亟需进一步提升综合交通承载力和竞争力。</w:t>
      </w:r>
    </w:p>
    <w:p w14:paraId="212B4B6F">
      <w:pPr>
        <w:spacing w:line="360" w:lineRule="auto"/>
        <w:ind w:firstLine="640" w:firstLineChars="200"/>
        <w:rPr>
          <w:color w:val="000000"/>
          <w:sz w:val="32"/>
          <w:szCs w:val="32"/>
        </w:rPr>
      </w:pPr>
      <w:r>
        <w:rPr>
          <w:rFonts w:hint="eastAsia"/>
          <w:color w:val="000000"/>
          <w:sz w:val="32"/>
          <w:szCs w:val="32"/>
        </w:rPr>
        <w:t>3）</w:t>
      </w:r>
      <w:r>
        <w:rPr>
          <w:color w:val="000000"/>
          <w:sz w:val="32"/>
          <w:szCs w:val="32"/>
        </w:rPr>
        <w:t>把握多重战略叠加机遇，建设新时代现代化强省，亟需进一步强化综合交通引领和辐射作用。进一步促进城乡交通协调和联动发展，实施重要干线公路提质升级工程，带动城乡均衡发展；整合优化沿海港口资源，提升港口建设现代化水平，加快形成现代化沿海港口群，为推动海洋生产力布局由近海走向远海提供强力支撑；加快推进交通基础设施领域民建军用、军建民用、共建共用</w:t>
      </w:r>
      <w:r>
        <w:rPr>
          <w:rFonts w:hint="eastAsia"/>
          <w:color w:val="000000"/>
          <w:sz w:val="32"/>
          <w:szCs w:val="32"/>
        </w:rPr>
        <w:t>进程</w:t>
      </w:r>
      <w:r>
        <w:rPr>
          <w:color w:val="000000"/>
          <w:sz w:val="32"/>
          <w:szCs w:val="32"/>
        </w:rPr>
        <w:t>，增强对经济建设和国防建设的支撑保障能力。</w:t>
      </w:r>
    </w:p>
    <w:p w14:paraId="670C53DB">
      <w:pPr>
        <w:spacing w:line="360" w:lineRule="auto"/>
        <w:ind w:firstLine="640" w:firstLineChars="200"/>
        <w:rPr>
          <w:color w:val="000000"/>
          <w:sz w:val="32"/>
          <w:szCs w:val="32"/>
        </w:rPr>
      </w:pPr>
      <w:r>
        <w:rPr>
          <w:rFonts w:hint="eastAsia"/>
          <w:color w:val="000000"/>
          <w:sz w:val="32"/>
          <w:szCs w:val="32"/>
        </w:rPr>
        <w:t>4）</w:t>
      </w:r>
      <w:r>
        <w:rPr>
          <w:color w:val="000000"/>
          <w:sz w:val="32"/>
          <w:szCs w:val="32"/>
        </w:rPr>
        <w:t>优化区域发展格局，推动区域协调联动发展，亟需进一步完善综合交通战略布局和运输体系。</w:t>
      </w:r>
    </w:p>
    <w:p w14:paraId="4FA8706F">
      <w:pPr>
        <w:spacing w:line="360" w:lineRule="auto"/>
        <w:ind w:firstLine="640" w:firstLineChars="200"/>
        <w:rPr>
          <w:color w:val="000000"/>
          <w:sz w:val="32"/>
          <w:szCs w:val="32"/>
        </w:rPr>
      </w:pPr>
      <w:r>
        <w:rPr>
          <w:rFonts w:hint="eastAsia"/>
          <w:color w:val="000000"/>
          <w:sz w:val="32"/>
          <w:szCs w:val="32"/>
        </w:rPr>
        <w:t>5）</w:t>
      </w:r>
      <w:r>
        <w:rPr>
          <w:color w:val="000000"/>
          <w:sz w:val="32"/>
          <w:szCs w:val="32"/>
        </w:rPr>
        <w:t>全面增进民生福祉，建成小康社会，亟需进一步促进综合交通均等化和便利化。</w:t>
      </w:r>
    </w:p>
    <w:p w14:paraId="6244A92E">
      <w:pPr>
        <w:spacing w:line="360" w:lineRule="auto"/>
        <w:ind w:firstLine="640" w:firstLineChars="200"/>
        <w:rPr>
          <w:color w:val="000000"/>
          <w:sz w:val="32"/>
          <w:szCs w:val="32"/>
        </w:rPr>
      </w:pPr>
      <w:r>
        <w:rPr>
          <w:rFonts w:hint="eastAsia"/>
          <w:color w:val="000000"/>
          <w:sz w:val="32"/>
          <w:szCs w:val="32"/>
        </w:rPr>
        <w:t>6）加快威海港区、乳山通用机场、乳山高速连接线规划建设。</w:t>
      </w:r>
    </w:p>
    <w:p w14:paraId="1CE923AA">
      <w:pPr>
        <w:spacing w:line="360" w:lineRule="auto"/>
        <w:ind w:firstLine="640" w:firstLineChars="200"/>
        <w:rPr>
          <w:color w:val="000000"/>
          <w:sz w:val="32"/>
          <w:szCs w:val="32"/>
        </w:rPr>
      </w:pPr>
      <w:r>
        <w:rPr>
          <w:rFonts w:hint="eastAsia"/>
          <w:color w:val="000000"/>
          <w:sz w:val="32"/>
          <w:szCs w:val="32"/>
        </w:rPr>
        <w:t>（2）依据《关于进一步做好“四好农村路”工作的实施意见》（鲁政办发〔2018〕13号），深入学习贯彻习近平新时代中国特色社会主义思想和党的十九大精神，坚持新发展理念，突出问题导向，进一步优化全省农村公路路网结构，提升管理养护水平，推进城乡交通运输一体化发展，努力打造山东“新农村幸福路”优质品牌，为在全面建成小康社会进程中走在前列，在社会主义现代化建设新征程中走在前列，为全面开创新时代现代化强省建设新局面提供坚实保障。</w:t>
      </w:r>
    </w:p>
    <w:p w14:paraId="5A506AD6">
      <w:pPr>
        <w:spacing w:line="360" w:lineRule="auto"/>
        <w:ind w:firstLine="640" w:firstLineChars="200"/>
        <w:rPr>
          <w:color w:val="000000"/>
          <w:sz w:val="32"/>
          <w:szCs w:val="32"/>
        </w:rPr>
      </w:pPr>
      <w:r>
        <w:rPr>
          <w:rFonts w:hint="eastAsia"/>
          <w:color w:val="000000"/>
          <w:sz w:val="32"/>
          <w:szCs w:val="32"/>
        </w:rPr>
        <w:t>1）全面建好农村公路</w:t>
      </w:r>
    </w:p>
    <w:p w14:paraId="7C20346F">
      <w:pPr>
        <w:spacing w:line="360" w:lineRule="auto"/>
        <w:ind w:firstLine="640" w:firstLineChars="200"/>
        <w:rPr>
          <w:color w:val="000000"/>
          <w:sz w:val="32"/>
          <w:szCs w:val="32"/>
        </w:rPr>
      </w:pPr>
      <w:r>
        <w:rPr>
          <w:rFonts w:hint="eastAsia"/>
          <w:color w:val="000000"/>
          <w:sz w:val="32"/>
          <w:szCs w:val="32"/>
        </w:rPr>
        <w:t>①完善路网规划。县（市、区）政府要将农村公路建设工作纳入区域经济社会发展总体规划统筹考虑，科学编制农村公路规划，并与新旧动能转换、村镇整体发展、城乡一体化发展、综合交通、产业布局、全域旅游、精准扶贫等专项规划有效衔接，合理配置资源、优化路网结构，确保路网规划中县乡公路比例、三级路以上比例逐年上升。</w:t>
      </w:r>
    </w:p>
    <w:p w14:paraId="47D59443">
      <w:pPr>
        <w:spacing w:line="360" w:lineRule="auto"/>
        <w:ind w:firstLine="640" w:firstLineChars="200"/>
        <w:rPr>
          <w:color w:val="000000"/>
          <w:sz w:val="32"/>
          <w:szCs w:val="32"/>
        </w:rPr>
      </w:pPr>
      <w:r>
        <w:rPr>
          <w:rFonts w:hint="eastAsia"/>
          <w:color w:val="000000"/>
          <w:sz w:val="32"/>
          <w:szCs w:val="32"/>
        </w:rPr>
        <w:t>②加快提档升级。全面提升农村公路发展速度、网络规模和管理服务水平，打造农村公路“升级版”，创树山东“新农村幸福路”优质品牌。</w:t>
      </w:r>
    </w:p>
    <w:p w14:paraId="7D410D0B">
      <w:pPr>
        <w:spacing w:line="360" w:lineRule="auto"/>
        <w:ind w:firstLine="640" w:firstLineChars="200"/>
        <w:rPr>
          <w:color w:val="000000"/>
          <w:sz w:val="32"/>
          <w:szCs w:val="32"/>
        </w:rPr>
      </w:pPr>
      <w:r>
        <w:rPr>
          <w:rFonts w:hint="eastAsia"/>
          <w:color w:val="000000"/>
          <w:sz w:val="32"/>
          <w:szCs w:val="32"/>
        </w:rPr>
        <w:t>③实施交通扶贫。“四好农村路”建设要与精准扶贫、“第一书记”扶贫等工作有机结合，进一步加大贫困区域资金扶持力度，加快陆岛交通码头建设，充分发挥交通扶贫脱贫攻坚基础支撑作用。</w:t>
      </w:r>
    </w:p>
    <w:p w14:paraId="1C659C76">
      <w:pPr>
        <w:spacing w:line="360" w:lineRule="auto"/>
        <w:ind w:firstLine="640" w:firstLineChars="200"/>
        <w:rPr>
          <w:color w:val="000000"/>
          <w:sz w:val="32"/>
          <w:szCs w:val="32"/>
        </w:rPr>
      </w:pPr>
      <w:r>
        <w:rPr>
          <w:rFonts w:hint="eastAsia"/>
          <w:color w:val="000000"/>
          <w:sz w:val="32"/>
          <w:szCs w:val="32"/>
        </w:rPr>
        <w:t>④打造精品示范。县（市、区）政府要依据区域地理区位、社会经济、产业布局、资源优势等特点，将自然生态、风土人情、乡村特色、传统文化等融入农村公路规划、设计、建设之中，做到公路与沿线周边乡村风貌、田园风光、农业园区充分融合，全面打造“一县一特色、一路一风景、一村一幅画”的系列旅游路、景观路、生态路、产业路、文化路。</w:t>
      </w:r>
    </w:p>
    <w:p w14:paraId="4DE09786">
      <w:pPr>
        <w:spacing w:line="360" w:lineRule="auto"/>
        <w:ind w:firstLine="640" w:firstLineChars="200"/>
        <w:rPr>
          <w:color w:val="000000"/>
          <w:sz w:val="32"/>
          <w:szCs w:val="32"/>
        </w:rPr>
      </w:pPr>
      <w:r>
        <w:rPr>
          <w:rFonts w:hint="eastAsia"/>
          <w:color w:val="000000"/>
          <w:sz w:val="32"/>
          <w:szCs w:val="32"/>
        </w:rPr>
        <w:t>2）全面管好农村公路</w:t>
      </w:r>
    </w:p>
    <w:p w14:paraId="5D85358D">
      <w:pPr>
        <w:spacing w:line="360" w:lineRule="auto"/>
        <w:ind w:firstLine="640" w:firstLineChars="200"/>
        <w:rPr>
          <w:color w:val="000000"/>
          <w:sz w:val="32"/>
          <w:szCs w:val="32"/>
        </w:rPr>
      </w:pPr>
      <w:r>
        <w:rPr>
          <w:rFonts w:hint="eastAsia"/>
          <w:color w:val="000000"/>
          <w:sz w:val="32"/>
          <w:szCs w:val="32"/>
        </w:rPr>
        <w:t>①落实管理责任。县（市、区）政府要切实履行好农村公路管理主体责任，充分发挥基层作用，制定相关部门、乡镇政府和村民委员会在农村公路管理方面的权力和责任清单，保障建管养运政策措施落实到位；要在确保县道管养到位的同时，将工作重点向乡道、村道倾斜，并强化目标管理绩效考核，建立奖惩机制，不断提升区域农村路网管理服务水平。</w:t>
      </w:r>
    </w:p>
    <w:p w14:paraId="18FC0CEF">
      <w:pPr>
        <w:spacing w:line="360" w:lineRule="auto"/>
        <w:ind w:firstLine="640" w:firstLineChars="200"/>
        <w:rPr>
          <w:color w:val="000000"/>
          <w:sz w:val="32"/>
          <w:szCs w:val="32"/>
        </w:rPr>
      </w:pPr>
      <w:r>
        <w:rPr>
          <w:rFonts w:hint="eastAsia"/>
          <w:color w:val="000000"/>
          <w:sz w:val="32"/>
          <w:szCs w:val="32"/>
        </w:rPr>
        <w:t>②健全管理机制。县（市、区）政府要建立健全“政府牵头、部门配合、社会参与”的农村公路管理协调机制，指导并监督相关部门、乡镇政府、村民委员会履职尽责。</w:t>
      </w:r>
    </w:p>
    <w:p w14:paraId="34E3D401">
      <w:pPr>
        <w:spacing w:line="360" w:lineRule="auto"/>
        <w:ind w:firstLine="640" w:firstLineChars="200"/>
        <w:rPr>
          <w:color w:val="000000"/>
          <w:sz w:val="32"/>
          <w:szCs w:val="32"/>
        </w:rPr>
      </w:pPr>
      <w:r>
        <w:rPr>
          <w:rFonts w:hint="eastAsia"/>
          <w:color w:val="000000"/>
          <w:sz w:val="32"/>
          <w:szCs w:val="32"/>
        </w:rPr>
        <w:t>③强化法治建设。进一步加强农村公路法治体系和路政管理机构建设，加快完善规章制度和技术规范体系，大力提升执法机构能力水平，健全乡规民约条款，建立“县有路政员、乡有监管员、村有护路员”的农村公路保护队伍。</w:t>
      </w:r>
    </w:p>
    <w:p w14:paraId="4A1CBF42">
      <w:pPr>
        <w:spacing w:line="360" w:lineRule="auto"/>
        <w:ind w:firstLine="640" w:firstLineChars="200"/>
        <w:rPr>
          <w:color w:val="000000"/>
          <w:sz w:val="32"/>
          <w:szCs w:val="32"/>
        </w:rPr>
      </w:pPr>
      <w:r>
        <w:rPr>
          <w:rFonts w:hint="eastAsia"/>
          <w:color w:val="000000"/>
          <w:sz w:val="32"/>
          <w:szCs w:val="32"/>
        </w:rPr>
        <w:t>④整治路域环境。县、乡级政府要结合建设城乡环卫一体化、美丽乡村、全域旅游等，统筹规划、同步安排，提前预留绿化空间，扎实开展农村公路路域环境综合整治，组织实施农村公路净化、美化、绿化“三化”工程。</w:t>
      </w:r>
    </w:p>
    <w:p w14:paraId="110EF9C4">
      <w:pPr>
        <w:spacing w:line="360" w:lineRule="auto"/>
        <w:ind w:firstLine="640" w:firstLineChars="200"/>
        <w:rPr>
          <w:color w:val="000000"/>
          <w:sz w:val="32"/>
          <w:szCs w:val="32"/>
        </w:rPr>
      </w:pPr>
      <w:r>
        <w:rPr>
          <w:rFonts w:hint="eastAsia"/>
          <w:color w:val="000000"/>
          <w:sz w:val="32"/>
          <w:szCs w:val="32"/>
        </w:rPr>
        <w:t>3）全面养护好农村公路</w:t>
      </w:r>
    </w:p>
    <w:p w14:paraId="6FA9878A">
      <w:pPr>
        <w:spacing w:line="360" w:lineRule="auto"/>
        <w:ind w:firstLine="640" w:firstLineChars="200"/>
        <w:rPr>
          <w:color w:val="000000"/>
          <w:sz w:val="32"/>
          <w:szCs w:val="32"/>
        </w:rPr>
      </w:pPr>
      <w:r>
        <w:rPr>
          <w:rFonts w:hint="eastAsia"/>
          <w:color w:val="000000"/>
          <w:sz w:val="32"/>
          <w:szCs w:val="32"/>
        </w:rPr>
        <w:t>①做好养护规划。县（市、区）政府要按照“节约高效、实事求是、保障水平”原则，遵循“全寿命周期”养护理念，组织交通运输、财政等部门科学编制区域农村公路养护发展规划，做好农村路网年度养护计划，准确测算确保路网技术状况达到国家规定水平的必要投入。</w:t>
      </w:r>
    </w:p>
    <w:p w14:paraId="47488C55">
      <w:pPr>
        <w:spacing w:line="360" w:lineRule="auto"/>
        <w:ind w:firstLine="640" w:firstLineChars="200"/>
        <w:rPr>
          <w:color w:val="000000"/>
          <w:sz w:val="32"/>
          <w:szCs w:val="32"/>
        </w:rPr>
      </w:pPr>
      <w:r>
        <w:rPr>
          <w:rFonts w:hint="eastAsia"/>
          <w:color w:val="000000"/>
          <w:sz w:val="32"/>
          <w:szCs w:val="32"/>
        </w:rPr>
        <w:t>②完善养护机制。县（市、区）政府要建立“县为主体、行业指导、部门协作、社会参与”的养护工作机制，确立政府与市场合理分工的养护生产组织模式，平稳有序地推进农村公路养护市场化改革。</w:t>
      </w:r>
    </w:p>
    <w:p w14:paraId="67F5B7F3">
      <w:pPr>
        <w:spacing w:line="360" w:lineRule="auto"/>
        <w:ind w:firstLine="640" w:firstLineChars="200"/>
        <w:rPr>
          <w:color w:val="000000"/>
          <w:sz w:val="32"/>
          <w:szCs w:val="32"/>
        </w:rPr>
      </w:pPr>
      <w:r>
        <w:rPr>
          <w:rFonts w:hint="eastAsia"/>
          <w:color w:val="000000"/>
          <w:sz w:val="32"/>
          <w:szCs w:val="32"/>
        </w:rPr>
        <w:t>③提升养护水平。县（市、区）政府要推进农村公路养护常态化，强化养护责任单位及人员交流培训，积极利用“互联网+”等现代化手段，全面提高农村公路信息化、智能化养护水平。</w:t>
      </w:r>
    </w:p>
    <w:p w14:paraId="0A3FD24E">
      <w:pPr>
        <w:spacing w:line="360" w:lineRule="auto"/>
        <w:ind w:firstLine="640" w:firstLineChars="200"/>
        <w:rPr>
          <w:color w:val="000000"/>
          <w:sz w:val="32"/>
          <w:szCs w:val="32"/>
        </w:rPr>
      </w:pPr>
      <w:r>
        <w:rPr>
          <w:rFonts w:hint="eastAsia"/>
          <w:color w:val="000000"/>
          <w:sz w:val="32"/>
          <w:szCs w:val="32"/>
        </w:rPr>
        <w:t>4）全面运营好农村公路</w:t>
      </w:r>
    </w:p>
    <w:p w14:paraId="6B916B11">
      <w:pPr>
        <w:spacing w:line="360" w:lineRule="auto"/>
        <w:ind w:firstLine="640" w:firstLineChars="200"/>
        <w:rPr>
          <w:color w:val="000000"/>
          <w:sz w:val="32"/>
          <w:szCs w:val="32"/>
        </w:rPr>
      </w:pPr>
      <w:r>
        <w:rPr>
          <w:rFonts w:hint="eastAsia"/>
          <w:color w:val="000000"/>
          <w:sz w:val="32"/>
          <w:szCs w:val="32"/>
        </w:rPr>
        <w:t>①提升客运水平。县（市、区）政府要科学制定城乡交通运输一体化发展规划，不断优化城乡客运（公交）线网布局，结合每条线路实际确定运营方式、车型、票价，逐步提升覆盖广度、通达深度，加快形成以县城为中心、乡镇为节点、覆盖行政村、延伸自然村、连接乡村旅游点的农村客运服务网络。</w:t>
      </w:r>
    </w:p>
    <w:p w14:paraId="68465056">
      <w:pPr>
        <w:spacing w:line="360" w:lineRule="auto"/>
        <w:ind w:firstLine="640" w:firstLineChars="200"/>
        <w:rPr>
          <w:color w:val="000000"/>
          <w:sz w:val="32"/>
          <w:szCs w:val="32"/>
        </w:rPr>
      </w:pPr>
      <w:r>
        <w:rPr>
          <w:rFonts w:hint="eastAsia"/>
          <w:color w:val="000000"/>
          <w:sz w:val="32"/>
          <w:szCs w:val="32"/>
        </w:rPr>
        <w:t>②建设物流网络。县（市、区）政府要充分利用交通、商务、供销、邮政等物流资源，按照“县级中转、乡镇级分拨、村级配送”的原则，加快推进农村物流网络节点建设，统筹做好节点布局规划，完善服务功能，形成以县级物流中心、乡镇服务站、村级服务点为框架的三级物流网络。</w:t>
      </w:r>
    </w:p>
    <w:p w14:paraId="5EB7C6A6">
      <w:pPr>
        <w:spacing w:line="360" w:lineRule="auto"/>
        <w:ind w:firstLine="640" w:firstLineChars="200"/>
        <w:rPr>
          <w:color w:val="FF0000"/>
          <w:sz w:val="32"/>
          <w:szCs w:val="32"/>
        </w:rPr>
      </w:pPr>
      <w:r>
        <w:rPr>
          <w:rFonts w:hint="eastAsia"/>
          <w:color w:val="FF0000"/>
          <w:sz w:val="32"/>
          <w:szCs w:val="32"/>
        </w:rPr>
        <w:t>（</w:t>
      </w:r>
      <w:r>
        <w:rPr>
          <w:color w:val="FF0000"/>
          <w:sz w:val="32"/>
          <w:szCs w:val="32"/>
        </w:rPr>
        <w:t>3</w:t>
      </w:r>
      <w:r>
        <w:rPr>
          <w:rFonts w:hint="eastAsia"/>
          <w:color w:val="FF0000"/>
          <w:sz w:val="32"/>
          <w:szCs w:val="32"/>
        </w:rPr>
        <w:t>）依据《山东省数字交通“十四五”发展规划》，到 2025 年，构建“交通设施数字感知，运输服务便捷智能，行业治理在线协同，技术应用创新活跃，网络安全保障有力”的数字交通体系，新一代信息技术应用场景丰富多元，行业数字化、网络化、智能化水平显著提升，有力支撑全省交通运输行业高质量发展和交通强省建设。提出运输服务便捷智能化显著增强，行业治理在线协同化显著提升，技术创新应用领域更加广泛等目标。</w:t>
      </w:r>
    </w:p>
    <w:p w14:paraId="3FAD98A8">
      <w:pPr>
        <w:spacing w:line="360" w:lineRule="auto"/>
        <w:ind w:firstLine="640" w:firstLineChars="200"/>
        <w:rPr>
          <w:color w:val="000000"/>
          <w:sz w:val="32"/>
          <w:szCs w:val="32"/>
        </w:rPr>
      </w:pPr>
      <w:r>
        <w:rPr>
          <w:rFonts w:hint="eastAsia"/>
          <w:color w:val="000000"/>
          <w:sz w:val="32"/>
          <w:szCs w:val="32"/>
        </w:rPr>
        <w:t>启示：在省级规划的引领下，加快乳山市交通领域新旧动能转换</w:t>
      </w:r>
      <w:r>
        <w:rPr>
          <w:rFonts w:hint="eastAsia"/>
          <w:color w:val="FF0000"/>
          <w:sz w:val="32"/>
          <w:szCs w:val="32"/>
        </w:rPr>
        <w:t>和数字化升级</w:t>
      </w:r>
      <w:r>
        <w:rPr>
          <w:rFonts w:hint="eastAsia"/>
          <w:color w:val="000000"/>
          <w:sz w:val="32"/>
          <w:szCs w:val="32"/>
        </w:rPr>
        <w:t>，贯彻交通强省战略要求，把握多重战略叠加机遇，</w:t>
      </w:r>
      <w:r>
        <w:rPr>
          <w:color w:val="000000"/>
          <w:sz w:val="32"/>
          <w:szCs w:val="32"/>
        </w:rPr>
        <w:t>加快</w:t>
      </w:r>
      <w:r>
        <w:rPr>
          <w:rFonts w:hint="eastAsia"/>
          <w:color w:val="FF0000"/>
          <w:sz w:val="32"/>
          <w:szCs w:val="32"/>
        </w:rPr>
        <w:t>建设综合交通运输的数据支撑体系</w:t>
      </w:r>
      <w:r>
        <w:rPr>
          <w:rFonts w:hint="eastAsia"/>
          <w:color w:val="000000"/>
          <w:sz w:val="32"/>
          <w:szCs w:val="32"/>
        </w:rPr>
        <w:t>，</w:t>
      </w:r>
      <w:r>
        <w:rPr>
          <w:color w:val="000000"/>
          <w:sz w:val="32"/>
          <w:szCs w:val="32"/>
        </w:rPr>
        <w:t>构建布局超前、功能完善、便捷高效</w:t>
      </w:r>
      <w:r>
        <w:rPr>
          <w:rFonts w:hint="eastAsia"/>
          <w:color w:val="000000"/>
          <w:sz w:val="32"/>
          <w:szCs w:val="32"/>
        </w:rPr>
        <w:t xml:space="preserve"> </w:t>
      </w:r>
      <w:r>
        <w:rPr>
          <w:color w:val="000000"/>
          <w:sz w:val="32"/>
          <w:szCs w:val="32"/>
        </w:rPr>
        <w:t>、智慧引领、绿色生态、安全可靠的综合交通网络体系</w:t>
      </w:r>
      <w:r>
        <w:rPr>
          <w:rFonts w:hint="eastAsia"/>
          <w:color w:val="000000"/>
          <w:sz w:val="32"/>
          <w:szCs w:val="32"/>
        </w:rPr>
        <w:t>。</w:t>
      </w:r>
    </w:p>
    <w:p w14:paraId="30B71071">
      <w:pPr>
        <w:spacing w:line="360" w:lineRule="auto"/>
        <w:ind w:firstLine="640" w:firstLineChars="200"/>
        <w:rPr>
          <w:color w:val="000000"/>
          <w:sz w:val="32"/>
          <w:szCs w:val="32"/>
        </w:rPr>
      </w:pPr>
      <w:r>
        <w:rPr>
          <w:rFonts w:hint="eastAsia"/>
          <w:color w:val="000000"/>
          <w:sz w:val="32"/>
          <w:szCs w:val="32"/>
        </w:rPr>
        <w:t>进一步促进城乡交通协调和联通发展，加快城乡公交一体化建设。以建、管、养、运为核心，完善农村路网规划、加快提档升级、健全管理机制、强化法制建设、做好养护规划、提升客运水平，保障人民生活出行基本需要。</w:t>
      </w:r>
    </w:p>
    <w:p w14:paraId="60F5B0D9">
      <w:pPr>
        <w:spacing w:line="360" w:lineRule="auto"/>
        <w:ind w:firstLine="640" w:firstLineChars="200"/>
        <w:rPr>
          <w:color w:val="000000"/>
          <w:sz w:val="32"/>
          <w:szCs w:val="32"/>
        </w:rPr>
      </w:pPr>
      <w:r>
        <w:rPr>
          <w:rFonts w:hint="eastAsia"/>
          <w:color w:val="000000"/>
          <w:sz w:val="32"/>
          <w:szCs w:val="32"/>
        </w:rPr>
        <w:t>在“十四五”期间，在消除路网主要路径中的危桥、提升公路技术状况、健全综合立体化交通体系的基础上，做到基础设施的规模质量、科技创新能力、智能化与可持续发展水平等总体进入省内先进行列。全面服务和保障现代化交通强省的建设，保障市民享有舒适的交通服务。</w:t>
      </w:r>
    </w:p>
    <w:p w14:paraId="4E1290B5">
      <w:pPr>
        <w:pStyle w:val="21"/>
        <w:rPr>
          <w:bCs w:val="0"/>
          <w:color w:val="000000"/>
          <w:sz w:val="32"/>
        </w:rPr>
      </w:pPr>
      <w:bookmarkStart w:id="8" w:name="_Toc89371359"/>
      <w:r>
        <w:rPr>
          <w:rFonts w:hint="eastAsia"/>
          <w:bCs w:val="0"/>
          <w:color w:val="000000"/>
          <w:sz w:val="32"/>
        </w:rPr>
        <w:t>3</w:t>
      </w:r>
      <w:r>
        <w:rPr>
          <w:bCs w:val="0"/>
          <w:color w:val="000000"/>
          <w:sz w:val="32"/>
        </w:rPr>
        <w:t>.</w:t>
      </w:r>
      <w:r>
        <w:rPr>
          <w:rFonts w:hint="eastAsia"/>
          <w:bCs w:val="0"/>
          <w:color w:val="000000"/>
          <w:sz w:val="32"/>
        </w:rPr>
        <w:t>市级层面</w:t>
      </w:r>
      <w:bookmarkEnd w:id="8"/>
    </w:p>
    <w:p w14:paraId="732AE87B">
      <w:pPr>
        <w:spacing w:line="360" w:lineRule="auto"/>
        <w:ind w:firstLine="640" w:firstLineChars="200"/>
        <w:rPr>
          <w:color w:val="000000"/>
          <w:sz w:val="32"/>
          <w:szCs w:val="32"/>
        </w:rPr>
      </w:pPr>
      <w:r>
        <w:rPr>
          <w:rFonts w:hint="eastAsia"/>
          <w:color w:val="000000"/>
          <w:sz w:val="32"/>
          <w:szCs w:val="32"/>
        </w:rPr>
        <w:t>（1）</w:t>
      </w:r>
      <w:r>
        <w:rPr>
          <w:color w:val="000000"/>
          <w:sz w:val="32"/>
          <w:szCs w:val="32"/>
        </w:rPr>
        <w:t>根据《威海市综合交通网中长期发展规划（2018-2035年）》</w:t>
      </w:r>
      <w:r>
        <w:rPr>
          <w:rFonts w:hint="eastAsia"/>
          <w:color w:val="000000"/>
          <w:sz w:val="32"/>
          <w:szCs w:val="32"/>
        </w:rPr>
        <w:t>，</w:t>
      </w:r>
      <w:r>
        <w:rPr>
          <w:color w:val="000000"/>
          <w:sz w:val="32"/>
          <w:szCs w:val="32"/>
        </w:rPr>
        <w:t>在2025年之前，实现交通畅达。</w:t>
      </w:r>
      <w:r>
        <w:rPr>
          <w:rFonts w:hint="eastAsia"/>
          <w:color w:val="000000"/>
          <w:sz w:val="32"/>
          <w:szCs w:val="32"/>
        </w:rPr>
        <w:t>“</w:t>
      </w:r>
      <w:r>
        <w:rPr>
          <w:color w:val="000000"/>
          <w:sz w:val="32"/>
          <w:szCs w:val="32"/>
        </w:rPr>
        <w:t>两横一纵</w:t>
      </w:r>
      <w:r>
        <w:rPr>
          <w:rFonts w:hint="eastAsia"/>
          <w:color w:val="000000"/>
          <w:sz w:val="32"/>
          <w:szCs w:val="32"/>
        </w:rPr>
        <w:t>”</w:t>
      </w:r>
      <w:r>
        <w:rPr>
          <w:color w:val="000000"/>
          <w:sz w:val="32"/>
          <w:szCs w:val="32"/>
        </w:rPr>
        <w:t>综合运输通道基本建成，</w:t>
      </w:r>
      <w:r>
        <w:rPr>
          <w:rFonts w:hint="eastAsia"/>
          <w:color w:val="000000"/>
          <w:sz w:val="32"/>
          <w:szCs w:val="32"/>
        </w:rPr>
        <w:t>“</w:t>
      </w:r>
      <w:r>
        <w:rPr>
          <w:color w:val="000000"/>
          <w:sz w:val="32"/>
          <w:szCs w:val="32"/>
        </w:rPr>
        <w:t>九纵六横半环</w:t>
      </w:r>
      <w:r>
        <w:rPr>
          <w:rFonts w:hint="eastAsia"/>
          <w:color w:val="000000"/>
          <w:sz w:val="32"/>
          <w:szCs w:val="32"/>
        </w:rPr>
        <w:t>”</w:t>
      </w:r>
      <w:r>
        <w:rPr>
          <w:color w:val="000000"/>
          <w:sz w:val="32"/>
          <w:szCs w:val="32"/>
        </w:rPr>
        <w:t>市域综合交通网络初步建成，铁路提档升级，公路通行能力提高，主要综合交通枢纽率先建成，港口功能和管理明显提升，通用机场启动建设，开通城市轨道交通，</w:t>
      </w:r>
      <w:r>
        <w:rPr>
          <w:rFonts w:hint="eastAsia"/>
          <w:color w:val="000000"/>
          <w:sz w:val="32"/>
          <w:szCs w:val="32"/>
        </w:rPr>
        <w:t>“</w:t>
      </w:r>
      <w:r>
        <w:rPr>
          <w:color w:val="000000"/>
          <w:sz w:val="32"/>
          <w:szCs w:val="32"/>
        </w:rPr>
        <w:t>市域一体、国内通达、联通海外</w:t>
      </w:r>
      <w:r>
        <w:rPr>
          <w:rFonts w:hint="eastAsia"/>
          <w:color w:val="000000"/>
          <w:sz w:val="32"/>
          <w:szCs w:val="32"/>
        </w:rPr>
        <w:t>”</w:t>
      </w:r>
      <w:r>
        <w:rPr>
          <w:color w:val="000000"/>
          <w:sz w:val="32"/>
          <w:szCs w:val="32"/>
        </w:rPr>
        <w:t>的</w:t>
      </w:r>
      <w:r>
        <w:rPr>
          <w:rFonts w:hint="eastAsia"/>
          <w:color w:val="000000"/>
          <w:sz w:val="32"/>
          <w:szCs w:val="32"/>
        </w:rPr>
        <w:t>“</w:t>
      </w:r>
      <w:r>
        <w:rPr>
          <w:color w:val="000000"/>
          <w:sz w:val="32"/>
          <w:szCs w:val="32"/>
        </w:rPr>
        <w:t>三大圈层</w:t>
      </w:r>
      <w:r>
        <w:rPr>
          <w:rFonts w:hint="eastAsia"/>
          <w:color w:val="000000"/>
          <w:sz w:val="32"/>
          <w:szCs w:val="32"/>
        </w:rPr>
        <w:t>”</w:t>
      </w:r>
      <w:r>
        <w:rPr>
          <w:color w:val="000000"/>
          <w:sz w:val="32"/>
          <w:szCs w:val="32"/>
        </w:rPr>
        <w:t>综合交通网基本建成。</w:t>
      </w:r>
    </w:p>
    <w:p w14:paraId="04945652">
      <w:pPr>
        <w:spacing w:line="360" w:lineRule="auto"/>
        <w:ind w:firstLine="640" w:firstLineChars="200"/>
        <w:rPr>
          <w:color w:val="000000"/>
          <w:sz w:val="32"/>
          <w:szCs w:val="32"/>
        </w:rPr>
      </w:pPr>
      <w:r>
        <w:rPr>
          <w:rFonts w:hint="eastAsia"/>
          <w:color w:val="000000"/>
          <w:sz w:val="32"/>
          <w:szCs w:val="32"/>
        </w:rPr>
        <w:t>（2）</w:t>
      </w:r>
      <w:r>
        <w:rPr>
          <w:color w:val="000000"/>
          <w:sz w:val="32"/>
          <w:szCs w:val="32"/>
        </w:rPr>
        <w:t>根据最新的《威海港威海湾港区、南海港区总体规划修订》，</w:t>
      </w:r>
      <w:r>
        <w:rPr>
          <w:rFonts w:hint="eastAsia"/>
          <w:color w:val="000000"/>
          <w:sz w:val="32"/>
          <w:szCs w:val="32"/>
        </w:rPr>
        <w:t>威海港将形成以威海湾港区、南海港区为重点发展的综合性港区，以石岛港区、龙眼湾港区、乳山口港区为服务于地方经济的重要补充，</w:t>
      </w:r>
      <w:r>
        <w:rPr>
          <w:color w:val="000000"/>
          <w:sz w:val="32"/>
          <w:szCs w:val="32"/>
        </w:rPr>
        <w:t>蜊江港区逐步退出货运功能的规划布局。乳山口港区以中、小泊位建设为主，主要为当地的经济和社会发展服务。</w:t>
      </w:r>
    </w:p>
    <w:p w14:paraId="62826C63">
      <w:pPr>
        <w:spacing w:line="360" w:lineRule="auto"/>
        <w:ind w:firstLine="640" w:firstLineChars="200"/>
        <w:rPr>
          <w:color w:val="000000"/>
          <w:sz w:val="32"/>
          <w:szCs w:val="32"/>
        </w:rPr>
      </w:pPr>
      <w:r>
        <w:rPr>
          <w:rFonts w:hint="eastAsia"/>
          <w:color w:val="000000"/>
          <w:sz w:val="32"/>
          <w:szCs w:val="32"/>
        </w:rPr>
        <w:t>（3）根据《威海市城市轨道交通线网规划》和《威海市城市轨道交通近期建设规划（2</w:t>
      </w:r>
      <w:r>
        <w:rPr>
          <w:color w:val="000000"/>
          <w:sz w:val="32"/>
          <w:szCs w:val="32"/>
        </w:rPr>
        <w:t>019-2024</w:t>
      </w:r>
      <w:r>
        <w:rPr>
          <w:rFonts w:hint="eastAsia"/>
          <w:color w:val="000000"/>
          <w:sz w:val="32"/>
          <w:szCs w:val="32"/>
        </w:rPr>
        <w:t>）》，威海市轨道交通线网形成总共划分为3个阶段，其中第一阶段（2</w:t>
      </w:r>
      <w:r>
        <w:rPr>
          <w:color w:val="000000"/>
          <w:sz w:val="32"/>
          <w:szCs w:val="32"/>
        </w:rPr>
        <w:t>017</w:t>
      </w:r>
      <w:r>
        <w:rPr>
          <w:rFonts w:hint="eastAsia"/>
          <w:color w:val="000000"/>
          <w:sz w:val="32"/>
          <w:szCs w:val="32"/>
        </w:rPr>
        <w:t>~</w:t>
      </w:r>
      <w:r>
        <w:rPr>
          <w:color w:val="000000"/>
          <w:sz w:val="32"/>
          <w:szCs w:val="32"/>
        </w:rPr>
        <w:t>2023</w:t>
      </w:r>
      <w:r>
        <w:rPr>
          <w:rFonts w:hint="eastAsia"/>
          <w:color w:val="000000"/>
          <w:sz w:val="32"/>
          <w:szCs w:val="32"/>
        </w:rPr>
        <w:t>年）处于“十四五”规划期间，初期预计建成轨道交通1号线工程和轨道交通2号工程。</w:t>
      </w:r>
    </w:p>
    <w:p w14:paraId="4FD6E740">
      <w:pPr>
        <w:spacing w:line="360" w:lineRule="auto"/>
        <w:ind w:firstLine="640" w:firstLineChars="200"/>
        <w:rPr>
          <w:color w:val="000000"/>
          <w:sz w:val="32"/>
          <w:szCs w:val="32"/>
        </w:rPr>
      </w:pPr>
      <w:r>
        <w:rPr>
          <w:rFonts w:hint="eastAsia"/>
          <w:color w:val="000000"/>
          <w:sz w:val="32"/>
          <w:szCs w:val="32"/>
        </w:rPr>
        <w:t>（4）根据《威海市公交都市实施方案》，提出力争建成客流强度比较大的轨道交通1号线，主要客流走廊建设BRT，形成轨道+BRT的骨架网络。</w:t>
      </w:r>
    </w:p>
    <w:p w14:paraId="741047F3">
      <w:pPr>
        <w:spacing w:line="360" w:lineRule="auto"/>
        <w:ind w:firstLine="640" w:firstLineChars="200"/>
        <w:rPr>
          <w:color w:val="000000"/>
          <w:sz w:val="32"/>
          <w:szCs w:val="32"/>
        </w:rPr>
      </w:pPr>
      <w:r>
        <w:rPr>
          <w:rFonts w:hint="eastAsia"/>
          <w:color w:val="000000"/>
          <w:sz w:val="32"/>
          <w:szCs w:val="32"/>
        </w:rPr>
        <w:t>启示：积极响应威海市综合交通运输规划，完善乳山市道路网。力争在“十四五”期间建成发达的快速主干路网、完善的支线道路网、广发的农村基础道路网，城乡区域交通的协调发展提升到新的高度。推动铁路运输、轨道交通的发展与建设，加快推动信息化港口、现代化机场建设，建成功能完善、便捷高效、技术先进、安全绿色的机场、铁路及公路运输网，形成智能化、专业化的“空港货运站”，全面提升铁路、港口、机场的综合运输服务能力和服务水平，明显优化现有的运输结构，推动乳山市客运、货运的全面升级。</w:t>
      </w:r>
      <w:r>
        <w:rPr>
          <w:color w:val="000000"/>
          <w:sz w:val="32"/>
          <w:szCs w:val="32"/>
        </w:rPr>
        <w:br w:type="page"/>
      </w:r>
    </w:p>
    <w:p w14:paraId="1CE55A57">
      <w:pPr>
        <w:pStyle w:val="2"/>
        <w:spacing w:before="312" w:beforeLines="100" w:after="312" w:afterLines="100" w:line="360" w:lineRule="auto"/>
        <w:jc w:val="center"/>
        <w:rPr>
          <w:rFonts w:ascii="黑体" w:hAnsi="黑体" w:eastAsia="黑体" w:cs="黑体"/>
          <w:color w:val="000000"/>
          <w:sz w:val="32"/>
          <w:szCs w:val="32"/>
        </w:rPr>
      </w:pPr>
      <w:bookmarkStart w:id="9" w:name="_Toc89371360"/>
      <w:bookmarkStart w:id="10" w:name="_Hlk38042975"/>
      <w:r>
        <w:rPr>
          <w:rFonts w:hint="eastAsia" w:ascii="黑体" w:hAnsi="黑体" w:eastAsia="黑体" w:cs="黑体"/>
          <w:color w:val="000000"/>
          <w:sz w:val="32"/>
          <w:szCs w:val="32"/>
        </w:rPr>
        <w:t>第三章 “十三五”综合交通运输体系建设成就及问题</w:t>
      </w:r>
      <w:bookmarkEnd w:id="9"/>
    </w:p>
    <w:bookmarkEnd w:id="10"/>
    <w:p w14:paraId="181324A7">
      <w:pPr>
        <w:spacing w:line="560" w:lineRule="exact"/>
        <w:ind w:firstLine="640" w:firstLineChars="200"/>
        <w:rPr>
          <w:color w:val="000000"/>
          <w:sz w:val="32"/>
          <w:szCs w:val="32"/>
        </w:rPr>
      </w:pPr>
      <w:bookmarkStart w:id="11" w:name="_Hlk38042992"/>
      <w:r>
        <w:rPr>
          <w:rFonts w:hint="eastAsia"/>
          <w:color w:val="000000"/>
          <w:sz w:val="32"/>
          <w:szCs w:val="32"/>
        </w:rPr>
        <w:t>“十三五”期间，在市委、市政府的正确领导下，乳山市交通运输领域取得了部分成果，运输结构得到调整，运输服务保障能力得到提升，总体适应乳山市经济社会发展和人民群众出行的需要。“十三五”时期较以往而言，交通建设在发展速度、服务质量、投资量等方面有很大提升，在这五年里给老百姓带来了较多实惠。在回顾过去工作成果的同时，要总结交通发展建设中的不足，为“十四五”乳山市交通运输发展积累经验和教训。</w:t>
      </w:r>
    </w:p>
    <w:p w14:paraId="5021FFA7">
      <w:pPr>
        <w:pStyle w:val="20"/>
        <w:rPr>
          <w:color w:val="000000"/>
          <w:sz w:val="32"/>
        </w:rPr>
      </w:pPr>
      <w:bookmarkStart w:id="12" w:name="_Toc89371361"/>
      <w:r>
        <w:rPr>
          <w:rFonts w:hint="eastAsia"/>
          <w:color w:val="000000"/>
          <w:sz w:val="32"/>
        </w:rPr>
        <w:t>（一）乳山市建设成就</w:t>
      </w:r>
      <w:bookmarkEnd w:id="12"/>
    </w:p>
    <w:bookmarkEnd w:id="11"/>
    <w:p w14:paraId="2A8B58FC">
      <w:pPr>
        <w:spacing w:line="560" w:lineRule="exact"/>
        <w:ind w:firstLine="640" w:firstLineChars="200"/>
        <w:rPr>
          <w:rFonts w:ascii="仿宋_GB2312" w:hAnsi="宋体" w:eastAsia="仿宋_GB2312"/>
          <w:color w:val="000000"/>
          <w:sz w:val="32"/>
          <w:szCs w:val="32"/>
        </w:rPr>
      </w:pPr>
      <w:r>
        <w:rPr>
          <w:color w:val="000000"/>
          <w:sz w:val="32"/>
          <w:szCs w:val="32"/>
        </w:rPr>
        <w:t>——</w:t>
      </w:r>
      <w:r>
        <w:rPr>
          <w:rFonts w:hint="eastAsia"/>
          <w:color w:val="000000"/>
          <w:sz w:val="32"/>
          <w:szCs w:val="32"/>
        </w:rPr>
        <w:t>公路。农村公路建设硕果累累，乳山市创建为全省“四好农村路”示范县。至20</w:t>
      </w:r>
      <w:r>
        <w:rPr>
          <w:color w:val="000000"/>
          <w:sz w:val="32"/>
          <w:szCs w:val="32"/>
        </w:rPr>
        <w:t>19</w:t>
      </w:r>
      <w:r>
        <w:rPr>
          <w:rFonts w:hint="eastAsia"/>
          <w:color w:val="000000"/>
          <w:sz w:val="32"/>
          <w:szCs w:val="32"/>
        </w:rPr>
        <w:t>年底，改造农村公路276.379公里，拆除重建桥梁18座，实施了村道安保工程，并对县乡路安保工程进行查漏补缺，实施县乡路路域环境整治及绿化提升项目，完成三条共计57.8公里的国防公路建设项目，分别为S202——玉皇山后12.8公里、小石口——到根见30.4公里、冯家——大孤山14.6公里。全市拥有县道246.512公里、乡道147.195公里、村道1128.602公里，农村公路总里程1522.309公里，养护管理机构16个，包括15个镇、城区街道养护管理办公室和一个专业养护公司，形成了以县道为骨架，乡道为支线、村道为脉络的农村公路网络体系，实现了与国省干线公路及城市道路的有机连接。普通国省道里程达2</w:t>
      </w:r>
      <w:r>
        <w:rPr>
          <w:color w:val="000000"/>
          <w:sz w:val="32"/>
          <w:szCs w:val="32"/>
        </w:rPr>
        <w:t>88.95</w:t>
      </w:r>
      <w:r>
        <w:rPr>
          <w:rFonts w:hint="eastAsia"/>
          <w:color w:val="000000"/>
          <w:sz w:val="32"/>
          <w:szCs w:val="32"/>
        </w:rPr>
        <w:t>公里，高速公路里程达4</w:t>
      </w:r>
      <w:r>
        <w:rPr>
          <w:color w:val="000000"/>
          <w:sz w:val="32"/>
          <w:szCs w:val="32"/>
        </w:rPr>
        <w:t>3</w:t>
      </w:r>
      <w:r>
        <w:rPr>
          <w:rFonts w:hint="eastAsia"/>
          <w:color w:val="000000"/>
          <w:sz w:val="32"/>
          <w:szCs w:val="32"/>
        </w:rPr>
        <w:t>公里，境内以国、省道为骨干，农村公路为基础的干支相连、布局合理的“四纵五横”综合运输通道主框架更加成熟，综合交通体系相对完善。</w:t>
      </w:r>
    </w:p>
    <w:p w14:paraId="04C3ECC5">
      <w:pPr>
        <w:spacing w:line="360" w:lineRule="auto"/>
        <w:ind w:firstLine="640" w:firstLineChars="200"/>
        <w:rPr>
          <w:color w:val="000000"/>
          <w:sz w:val="32"/>
          <w:szCs w:val="32"/>
        </w:rPr>
      </w:pPr>
      <w:r>
        <w:rPr>
          <w:color w:val="000000"/>
          <w:sz w:val="32"/>
          <w:szCs w:val="32"/>
        </w:rPr>
        <w:t>——</w:t>
      </w:r>
      <w:r>
        <w:rPr>
          <w:rFonts w:hint="eastAsia"/>
          <w:color w:val="000000"/>
          <w:sz w:val="32"/>
          <w:szCs w:val="32"/>
        </w:rPr>
        <w:t>港口。一是完成乳山港扩建一期工程竣工验收工作。</w:t>
      </w:r>
    </w:p>
    <w:p w14:paraId="77708AD1">
      <w:pPr>
        <w:spacing w:line="360" w:lineRule="auto"/>
        <w:ind w:firstLine="640" w:firstLineChars="200"/>
        <w:rPr>
          <w:color w:val="000000"/>
          <w:sz w:val="32"/>
          <w:szCs w:val="32"/>
        </w:rPr>
      </w:pPr>
      <w:r>
        <w:rPr>
          <w:rFonts w:hint="eastAsia"/>
          <w:color w:val="000000"/>
          <w:sz w:val="32"/>
          <w:szCs w:val="32"/>
        </w:rPr>
        <w:t>二是乳山港航道工程步入正轨。乳山港航道工程主要建设 2 万吨级单向航道，航道总长 11.2 公里，配布导、助航设施灯浮标 24个，工程概算总投资 1.65 亿元。目前航道疏浚工程已完成，2020年底前完成航标布设工作。</w:t>
      </w:r>
    </w:p>
    <w:p w14:paraId="1E23DCBF">
      <w:pPr>
        <w:spacing w:line="360" w:lineRule="auto"/>
        <w:ind w:firstLine="640" w:firstLineChars="200"/>
        <w:rPr>
          <w:rFonts w:ascii="仿宋" w:hAnsi="仿宋" w:eastAsia="仿宋" w:cs="仿宋"/>
          <w:color w:val="000000"/>
          <w:sz w:val="32"/>
          <w:szCs w:val="32"/>
        </w:rPr>
      </w:pPr>
      <w:r>
        <w:rPr>
          <w:rFonts w:hint="eastAsia"/>
          <w:color w:val="000000"/>
          <w:sz w:val="32"/>
          <w:szCs w:val="32"/>
        </w:rPr>
        <w:t>三是编制完成《威海港乳山口港区总体规划修订》。目前已完成了《总体规划修订》的编制，正在进行行业审查。</w:t>
      </w:r>
    </w:p>
    <w:p w14:paraId="6AEC5FA6">
      <w:pPr>
        <w:spacing w:line="360" w:lineRule="auto"/>
        <w:ind w:firstLine="640" w:firstLineChars="200"/>
        <w:rPr>
          <w:color w:val="000000"/>
          <w:sz w:val="32"/>
          <w:szCs w:val="32"/>
        </w:rPr>
      </w:pPr>
      <w:r>
        <w:rPr>
          <w:rFonts w:hint="eastAsia"/>
          <w:color w:val="000000"/>
          <w:sz w:val="32"/>
          <w:szCs w:val="32"/>
        </w:rPr>
        <w:t>四是锚地工程前期手续稳步推进。乳山口港区新增检疫锚地和避风锚地，共11.6平方公里，已通过国家海事局批准，并发布了航行通告。</w:t>
      </w:r>
    </w:p>
    <w:p w14:paraId="3A34E461">
      <w:pPr>
        <w:spacing w:line="360" w:lineRule="auto"/>
        <w:ind w:firstLine="640" w:firstLineChars="200"/>
        <w:rPr>
          <w:rFonts w:hint="eastAsia" w:ascii="宋体" w:hAnsi="宋体" w:cs="宋体"/>
          <w:color w:val="000000"/>
          <w:sz w:val="32"/>
          <w:szCs w:val="32"/>
        </w:rPr>
      </w:pPr>
      <w:r>
        <w:rPr>
          <w:rFonts w:hint="eastAsia" w:ascii="宋体" w:hAnsi="宋体" w:cs="宋体"/>
          <w:color w:val="000000"/>
          <w:sz w:val="32"/>
          <w:szCs w:val="32"/>
        </w:rPr>
        <w:t>五是口岸开放成绩斐然。乳山港口岸查验设施工程已完</w:t>
      </w:r>
    </w:p>
    <w:p w14:paraId="2B3F65A9">
      <w:pPr>
        <w:spacing w:line="360" w:lineRule="auto"/>
        <w:rPr>
          <w:rFonts w:hint="eastAsia" w:ascii="宋体" w:hAnsi="宋体" w:cs="宋体"/>
          <w:color w:val="000000"/>
          <w:sz w:val="32"/>
          <w:szCs w:val="32"/>
        </w:rPr>
      </w:pPr>
      <w:r>
        <w:rPr>
          <w:rFonts w:hint="eastAsia" w:ascii="宋体" w:hAnsi="宋体" w:cs="宋体"/>
          <w:color w:val="000000"/>
          <w:sz w:val="32"/>
          <w:szCs w:val="32"/>
        </w:rPr>
        <w:t>成立项核准、施工图审批、施工许可等开工手续办理；于 2019年 11 月正式开工建设，目前口岸查验设施工程的专业技术用房建设、查验场地硬化、机关用房装修、监管设备安装等工作已建设完成，2020 年12月通过省级验收组验收，标志着威海港口岸乳山口港区正式对外开放。</w:t>
      </w:r>
    </w:p>
    <w:p w14:paraId="2AAB74F3">
      <w:pPr>
        <w:spacing w:line="360" w:lineRule="auto"/>
        <w:ind w:firstLine="640" w:firstLineChars="200"/>
        <w:rPr>
          <w:color w:val="000000"/>
          <w:sz w:val="32"/>
          <w:szCs w:val="32"/>
        </w:rPr>
      </w:pPr>
      <w:r>
        <w:rPr>
          <w:color w:val="000000"/>
          <w:sz w:val="32"/>
          <w:szCs w:val="32"/>
        </w:rPr>
        <w:t>——</w:t>
      </w:r>
      <w:r>
        <w:rPr>
          <w:rFonts w:hint="eastAsia"/>
          <w:color w:val="000000"/>
          <w:sz w:val="32"/>
          <w:szCs w:val="32"/>
        </w:rPr>
        <w:t>公交。</w:t>
      </w:r>
      <w:r>
        <w:rPr>
          <w:rFonts w:hint="eastAsia" w:ascii="宋体" w:hAnsi="宋体" w:cs="宋体"/>
          <w:color w:val="000000"/>
          <w:sz w:val="32"/>
          <w:szCs w:val="32"/>
        </w:rPr>
        <w:t>公交客运量每年约1000万人次</w:t>
      </w:r>
      <w:r>
        <w:rPr>
          <w:rFonts w:hint="eastAsia"/>
          <w:color w:val="000000"/>
          <w:sz w:val="32"/>
          <w:szCs w:val="32"/>
        </w:rPr>
        <w:t>，“十三五”期间乳山市在实现了城乡公交一体化改造的基础上，不断发展完善，公共交通系统建设不断加强，解决了个体挂靠经营存在的管理难、服务差、票价高等问题，构筑了“以市区为中心，辐射全市所有乡镇、办事处599个行政村（全市共601个行政村，2个海岛村通船）”的公共交通网，实现了城乡公交无缝衔接。</w:t>
      </w:r>
    </w:p>
    <w:p w14:paraId="5E042659">
      <w:pPr>
        <w:spacing w:line="360" w:lineRule="auto"/>
        <w:ind w:firstLine="640" w:firstLineChars="200"/>
        <w:rPr>
          <w:color w:val="000000"/>
          <w:sz w:val="32"/>
          <w:szCs w:val="32"/>
        </w:rPr>
      </w:pPr>
      <w:r>
        <w:rPr>
          <w:rFonts w:hint="eastAsia"/>
          <w:color w:val="000000"/>
          <w:sz w:val="32"/>
          <w:szCs w:val="32"/>
        </w:rPr>
        <w:t>一是对公交线路进行调整，将原有97条线路优化调整为79条，共计安排配置公交车346辆，运力实载率比城乡公交一体化改造前提高32%。</w:t>
      </w:r>
    </w:p>
    <w:p w14:paraId="7BDAF1F3">
      <w:pPr>
        <w:spacing w:line="360" w:lineRule="auto"/>
        <w:ind w:firstLine="640" w:firstLineChars="200"/>
        <w:rPr>
          <w:color w:val="000000"/>
          <w:sz w:val="32"/>
          <w:szCs w:val="32"/>
        </w:rPr>
      </w:pPr>
      <w:r>
        <w:rPr>
          <w:rFonts w:hint="eastAsia" w:ascii="宋体" w:hAnsi="宋体" w:cs="宋体"/>
          <w:color w:val="000000"/>
          <w:sz w:val="32"/>
          <w:szCs w:val="32"/>
        </w:rPr>
        <w:t>二是增建公交站亭站牌，截至2020年底，全市公交站亭站牌总数1686个，其中市区站亭128个、站牌138个，银滩站亭61个、站牌127个；乡镇站亭445个、站牌787个</w:t>
      </w:r>
      <w:r>
        <w:rPr>
          <w:rFonts w:hint="eastAsia"/>
          <w:color w:val="000000"/>
          <w:sz w:val="32"/>
          <w:szCs w:val="32"/>
        </w:rPr>
        <w:t>。</w:t>
      </w:r>
    </w:p>
    <w:p w14:paraId="06134DED">
      <w:pPr>
        <w:spacing w:line="360" w:lineRule="auto"/>
        <w:ind w:firstLine="640" w:firstLineChars="200"/>
        <w:rPr>
          <w:color w:val="000000"/>
          <w:sz w:val="32"/>
          <w:szCs w:val="32"/>
        </w:rPr>
      </w:pPr>
      <w:r>
        <w:rPr>
          <w:rFonts w:hint="eastAsia"/>
          <w:color w:val="000000"/>
          <w:sz w:val="32"/>
          <w:szCs w:val="32"/>
        </w:rPr>
        <w:t>三是推广公交卡及开发“乳山出行”APP线上应用，实现了刷卡支付和手机支付，不仅为市民乘车提供了极大便利，也进一步改善公交运营管理，推动智慧公交建设。</w:t>
      </w:r>
    </w:p>
    <w:p w14:paraId="38455AE3">
      <w:pPr>
        <w:spacing w:line="360" w:lineRule="auto"/>
        <w:ind w:firstLine="640" w:firstLineChars="200"/>
        <w:rPr>
          <w:color w:val="000000"/>
          <w:sz w:val="32"/>
          <w:szCs w:val="32"/>
        </w:rPr>
      </w:pPr>
      <w:r>
        <w:rPr>
          <w:rFonts w:hint="eastAsia"/>
          <w:color w:val="000000"/>
          <w:sz w:val="32"/>
          <w:szCs w:val="32"/>
        </w:rPr>
        <w:t>四是在北外环、久久发、义乌商品城规划建设了三处纯电动公交车充电场站，共计投资7</w:t>
      </w:r>
      <w:r>
        <w:rPr>
          <w:color w:val="000000"/>
          <w:sz w:val="32"/>
          <w:szCs w:val="32"/>
        </w:rPr>
        <w:t>09</w:t>
      </w:r>
      <w:r>
        <w:rPr>
          <w:rFonts w:hint="eastAsia"/>
          <w:color w:val="000000"/>
          <w:sz w:val="32"/>
          <w:szCs w:val="32"/>
        </w:rPr>
        <w:t>万元，占地1</w:t>
      </w:r>
      <w:r>
        <w:rPr>
          <w:color w:val="000000"/>
          <w:sz w:val="32"/>
          <w:szCs w:val="32"/>
        </w:rPr>
        <w:t>1830</w:t>
      </w:r>
      <w:r>
        <w:rPr>
          <w:rFonts w:hint="eastAsia"/>
          <w:color w:val="000000"/>
          <w:sz w:val="32"/>
          <w:szCs w:val="32"/>
        </w:rPr>
        <w:t>平方米，可同时为1</w:t>
      </w:r>
      <w:r>
        <w:rPr>
          <w:color w:val="000000"/>
          <w:sz w:val="32"/>
          <w:szCs w:val="32"/>
        </w:rPr>
        <w:t>28</w:t>
      </w:r>
      <w:r>
        <w:rPr>
          <w:rFonts w:hint="eastAsia"/>
          <w:color w:val="000000"/>
          <w:sz w:val="32"/>
          <w:szCs w:val="32"/>
        </w:rPr>
        <w:t>辆车充电。在青山路北首规划建设了总用地面积44819.6平方米（67.2亩），集办公、车辆维修保养、公交车换乘、车辆充电及驾驶员培训于一体的智能化交通综合枢纽站。</w:t>
      </w:r>
    </w:p>
    <w:p w14:paraId="42A21C74">
      <w:pPr>
        <w:spacing w:line="360" w:lineRule="auto"/>
        <w:ind w:firstLine="640" w:firstLineChars="200"/>
        <w:rPr>
          <w:color w:val="000000"/>
          <w:sz w:val="32"/>
          <w:szCs w:val="32"/>
        </w:rPr>
      </w:pPr>
      <w:r>
        <w:rPr>
          <w:rFonts w:hint="eastAsia"/>
          <w:color w:val="000000"/>
          <w:sz w:val="32"/>
          <w:szCs w:val="32"/>
        </w:rPr>
        <w:t>五是优化运力结构，通过收购私人承包车辆、购入新能源公交车辆等方式对城乡客运公交进行改造，规范公交客运行业运营，使城乡客运公交化模式运营比例到达1</w:t>
      </w:r>
      <w:r>
        <w:rPr>
          <w:color w:val="000000"/>
          <w:sz w:val="32"/>
          <w:szCs w:val="32"/>
        </w:rPr>
        <w:t>00</w:t>
      </w:r>
      <w:r>
        <w:rPr>
          <w:rFonts w:hint="eastAsia"/>
          <w:color w:val="000000"/>
          <w:sz w:val="32"/>
          <w:szCs w:val="32"/>
        </w:rPr>
        <w:t>%。提高新能源车辆在现有公交系统中的比例，服务水平得到提升。</w:t>
      </w:r>
    </w:p>
    <w:p w14:paraId="155A6F58">
      <w:pPr>
        <w:spacing w:line="560" w:lineRule="exact"/>
        <w:ind w:firstLine="640" w:firstLineChars="200"/>
        <w:rPr>
          <w:color w:val="000000"/>
          <w:sz w:val="32"/>
          <w:szCs w:val="32"/>
        </w:rPr>
      </w:pPr>
      <w:r>
        <w:rPr>
          <w:color w:val="000000"/>
          <w:sz w:val="32"/>
          <w:szCs w:val="32"/>
        </w:rPr>
        <w:t>——</w:t>
      </w:r>
      <w:r>
        <w:rPr>
          <w:rFonts w:hint="eastAsia"/>
          <w:color w:val="000000"/>
          <w:sz w:val="32"/>
          <w:szCs w:val="32"/>
        </w:rPr>
        <w:t>客货运输。乳山市现有一级客运站1个（乳山汽车站），五级客运站2个（乳山和银滩候机楼），客运公司4个，营运客车1</w:t>
      </w:r>
      <w:r>
        <w:rPr>
          <w:color w:val="000000"/>
          <w:sz w:val="32"/>
          <w:szCs w:val="32"/>
        </w:rPr>
        <w:t>60</w:t>
      </w:r>
      <w:r>
        <w:rPr>
          <w:rFonts w:hint="eastAsia"/>
          <w:color w:val="000000"/>
          <w:sz w:val="32"/>
          <w:szCs w:val="32"/>
        </w:rPr>
        <w:t>辆。</w:t>
      </w:r>
    </w:p>
    <w:p w14:paraId="5FF23FCB">
      <w:pPr>
        <w:adjustRightInd w:val="0"/>
        <w:snapToGrid w:val="0"/>
        <w:spacing w:line="560" w:lineRule="exact"/>
        <w:ind w:firstLine="640" w:firstLineChars="200"/>
        <w:rPr>
          <w:color w:val="000000"/>
          <w:sz w:val="32"/>
          <w:szCs w:val="32"/>
        </w:rPr>
      </w:pPr>
      <w:r>
        <w:rPr>
          <w:rFonts w:hint="eastAsia"/>
          <w:color w:val="000000"/>
          <w:sz w:val="32"/>
          <w:szCs w:val="32"/>
        </w:rPr>
        <w:t>“十三五”期间，旅客发送量为65万人次，长途客运量35万人次。从整体上看，“十三五”期间乳山市长途客运量总体平稳，但公路客运总量呈递减态势，主要</w:t>
      </w:r>
      <w:r>
        <w:rPr>
          <w:rFonts w:hint="eastAsia"/>
          <w:color w:val="000000"/>
          <w:sz w:val="32"/>
          <w:szCs w:val="32"/>
          <w:lang w:eastAsia="zh-CN"/>
        </w:rPr>
        <w:t>原因是</w:t>
      </w:r>
      <w:r>
        <w:rPr>
          <w:rFonts w:hint="eastAsia"/>
          <w:color w:val="000000"/>
          <w:sz w:val="32"/>
          <w:szCs w:val="32"/>
        </w:rPr>
        <w:t>随着周边高铁、飞机、火车运线的布局班次增加，并且私家车辆逐年增多，从而导致了客运量尤其是长途客运的减少。</w:t>
      </w:r>
    </w:p>
    <w:p w14:paraId="490146FD">
      <w:pPr>
        <w:adjustRightInd w:val="0"/>
        <w:snapToGrid w:val="0"/>
        <w:spacing w:line="560" w:lineRule="exact"/>
        <w:ind w:firstLine="640" w:firstLineChars="200"/>
        <w:rPr>
          <w:color w:val="000000"/>
          <w:sz w:val="32"/>
          <w:szCs w:val="32"/>
        </w:rPr>
      </w:pPr>
      <w:r>
        <w:rPr>
          <w:rFonts w:hint="eastAsia"/>
          <w:color w:val="000000"/>
          <w:sz w:val="32"/>
          <w:szCs w:val="32"/>
        </w:rPr>
        <w:t>“</w:t>
      </w:r>
      <w:r>
        <w:rPr>
          <w:rFonts w:hint="eastAsia" w:ascii="宋体" w:hAnsi="宋体" w:cs="宋体"/>
          <w:color w:val="000000"/>
          <w:sz w:val="32"/>
          <w:szCs w:val="32"/>
        </w:rPr>
        <w:t>十三五”期间，乳山市拥有营运货运车辆1600余辆，完成货运量2000万吨左右，货运周转量18亿吨·公里，货运发展总体保持平稳态势</w:t>
      </w:r>
      <w:r>
        <w:rPr>
          <w:rFonts w:hint="eastAsia"/>
          <w:color w:val="000000"/>
          <w:sz w:val="32"/>
          <w:szCs w:val="32"/>
        </w:rPr>
        <w:t>。</w:t>
      </w:r>
    </w:p>
    <w:p w14:paraId="75F33C4C">
      <w:pPr>
        <w:adjustRightInd w:val="0"/>
        <w:snapToGrid w:val="0"/>
        <w:spacing w:line="560" w:lineRule="exact"/>
        <w:ind w:firstLine="640" w:firstLineChars="200"/>
        <w:rPr>
          <w:color w:val="000000"/>
          <w:sz w:val="32"/>
          <w:szCs w:val="32"/>
        </w:rPr>
      </w:pPr>
      <w:r>
        <w:rPr>
          <w:color w:val="000000"/>
          <w:sz w:val="32"/>
          <w:szCs w:val="32"/>
        </w:rPr>
        <w:t>——</w:t>
      </w:r>
      <w:r>
        <w:rPr>
          <w:rFonts w:hint="eastAsia"/>
          <w:color w:val="000000"/>
          <w:sz w:val="32"/>
          <w:szCs w:val="32"/>
        </w:rPr>
        <w:t>物流。目前华润物流园为乳山市初具规模的物流园区，位于乳山市西外环路，占地面积120余亩，主要经营仓储、货运配载、货运信息、货运站场、三农物资配送等业务，其运力、运能和物流设施设备初具规模。威海交运乳山商贸物流中心也在蓬勃发展中，基本满足全市货物的运输需求。</w:t>
      </w:r>
    </w:p>
    <w:p w14:paraId="4F1B058B">
      <w:pPr>
        <w:pStyle w:val="20"/>
        <w:rPr>
          <w:color w:val="000000"/>
          <w:sz w:val="32"/>
        </w:rPr>
      </w:pPr>
      <w:bookmarkStart w:id="13" w:name="_Toc89371362"/>
      <w:r>
        <w:rPr>
          <w:rFonts w:hint="eastAsia"/>
          <w:color w:val="000000"/>
          <w:sz w:val="32"/>
        </w:rPr>
        <w:t>（二）存在问题</w:t>
      </w:r>
      <w:bookmarkEnd w:id="13"/>
    </w:p>
    <w:p w14:paraId="044A15D4">
      <w:pPr>
        <w:spacing w:line="360" w:lineRule="auto"/>
        <w:ind w:firstLine="640" w:firstLineChars="200"/>
        <w:rPr>
          <w:color w:val="000000"/>
          <w:sz w:val="32"/>
          <w:szCs w:val="32"/>
        </w:rPr>
      </w:pPr>
      <w:r>
        <w:rPr>
          <w:rFonts w:hint="eastAsia"/>
          <w:color w:val="000000"/>
          <w:sz w:val="32"/>
          <w:szCs w:val="32"/>
        </w:rPr>
        <w:t>“十三五”时期，乳山市交通“基础设施供给能力、综合运输服务能力、可持续发展能力、行业治理能力”四个能力稳步推进，总体</w:t>
      </w:r>
      <w:r>
        <w:rPr>
          <w:color w:val="000000"/>
          <w:sz w:val="32"/>
          <w:szCs w:val="32"/>
        </w:rPr>
        <w:t>适应全</w:t>
      </w:r>
      <w:r>
        <w:rPr>
          <w:rFonts w:hint="eastAsia"/>
          <w:color w:val="000000"/>
          <w:sz w:val="32"/>
          <w:szCs w:val="32"/>
        </w:rPr>
        <w:t>市</w:t>
      </w:r>
      <w:r>
        <w:rPr>
          <w:color w:val="000000"/>
          <w:sz w:val="32"/>
          <w:szCs w:val="32"/>
        </w:rPr>
        <w:t>经济社会发展的需要。</w:t>
      </w:r>
      <w:r>
        <w:rPr>
          <w:rFonts w:hint="eastAsia"/>
          <w:color w:val="000000"/>
          <w:sz w:val="32"/>
          <w:szCs w:val="32"/>
        </w:rPr>
        <w:t>但仍存在</w:t>
      </w:r>
      <w:bookmarkStart w:id="14" w:name="_Hlk38046376"/>
      <w:r>
        <w:rPr>
          <w:rFonts w:hint="eastAsia"/>
          <w:color w:val="000000"/>
          <w:sz w:val="32"/>
          <w:szCs w:val="32"/>
        </w:rPr>
        <w:t>区域间、运输方式间、城乡间发展不平衡、不充分、不衔接等问题。</w:t>
      </w:r>
    </w:p>
    <w:bookmarkEnd w:id="14"/>
    <w:p w14:paraId="775FB286">
      <w:pPr>
        <w:spacing w:line="360" w:lineRule="auto"/>
        <w:ind w:firstLine="640" w:firstLineChars="200"/>
        <w:rPr>
          <w:color w:val="000000"/>
          <w:sz w:val="32"/>
          <w:szCs w:val="32"/>
        </w:rPr>
      </w:pPr>
      <w:r>
        <w:rPr>
          <w:rFonts w:hint="eastAsia"/>
          <w:color w:val="000000"/>
          <w:sz w:val="32"/>
          <w:szCs w:val="32"/>
        </w:rPr>
        <w:t>一是</w:t>
      </w:r>
      <w:r>
        <w:rPr>
          <w:color w:val="000000"/>
          <w:sz w:val="32"/>
          <w:szCs w:val="32"/>
        </w:rPr>
        <w:t>城乡交通统筹发展效果仍不明显</w:t>
      </w:r>
      <w:r>
        <w:rPr>
          <w:rFonts w:hint="eastAsia"/>
          <w:color w:val="000000"/>
          <w:sz w:val="32"/>
          <w:szCs w:val="32"/>
        </w:rPr>
        <w:t>，</w:t>
      </w:r>
      <w:r>
        <w:rPr>
          <w:color w:val="000000"/>
          <w:sz w:val="32"/>
          <w:szCs w:val="32"/>
        </w:rPr>
        <w:t>公路网整体设施水平较低，农村基础设施建设仍存在提升空间</w:t>
      </w:r>
      <w:r>
        <w:rPr>
          <w:rFonts w:hint="eastAsia"/>
          <w:color w:val="000000"/>
          <w:sz w:val="32"/>
          <w:szCs w:val="32"/>
        </w:rPr>
        <w:t>。</w:t>
      </w:r>
      <w:r>
        <w:rPr>
          <w:color w:val="000000"/>
          <w:sz w:val="32"/>
          <w:szCs w:val="32"/>
        </w:rPr>
        <w:t>不同层次公路之间的衔接不畅</w:t>
      </w:r>
      <w:r>
        <w:rPr>
          <w:rFonts w:hint="eastAsia"/>
          <w:color w:val="000000"/>
          <w:sz w:val="32"/>
          <w:szCs w:val="32"/>
        </w:rPr>
        <w:t>；</w:t>
      </w:r>
      <w:r>
        <w:rPr>
          <w:color w:val="000000"/>
          <w:sz w:val="32"/>
          <w:szCs w:val="32"/>
        </w:rPr>
        <w:t>部分农村公路等级不高，车辆拥堵较为严重，公路公共服务水平亟待提升</w:t>
      </w:r>
      <w:r>
        <w:rPr>
          <w:rFonts w:hint="eastAsia"/>
          <w:color w:val="000000"/>
          <w:sz w:val="32"/>
          <w:szCs w:val="32"/>
        </w:rPr>
        <w:t>；</w:t>
      </w:r>
      <w:r>
        <w:rPr>
          <w:color w:val="000000"/>
          <w:sz w:val="32"/>
          <w:szCs w:val="32"/>
        </w:rPr>
        <w:t>部分农村公路仍存在四类五类危桥，抗灾害能力差</w:t>
      </w:r>
      <w:r>
        <w:rPr>
          <w:rFonts w:hint="eastAsia"/>
          <w:color w:val="000000"/>
          <w:sz w:val="32"/>
          <w:szCs w:val="32"/>
        </w:rPr>
        <w:t>；</w:t>
      </w:r>
      <w:r>
        <w:rPr>
          <w:color w:val="000000"/>
          <w:sz w:val="32"/>
          <w:szCs w:val="32"/>
        </w:rPr>
        <w:t>农村公路养护资金投入不足，仍有一部分道路养护不到位，并且</w:t>
      </w:r>
      <w:r>
        <w:rPr>
          <w:rFonts w:hint="eastAsia"/>
          <w:color w:val="000000"/>
          <w:sz w:val="32"/>
          <w:szCs w:val="32"/>
        </w:rPr>
        <w:t>农村公路</w:t>
      </w:r>
      <w:r>
        <w:rPr>
          <w:color w:val="000000"/>
          <w:sz w:val="32"/>
          <w:szCs w:val="32"/>
        </w:rPr>
        <w:t>日常养护机械化程度不高，还不够专业及规范。</w:t>
      </w:r>
    </w:p>
    <w:p w14:paraId="7BBEA44E">
      <w:pPr>
        <w:spacing w:line="360" w:lineRule="auto"/>
        <w:ind w:firstLine="640" w:firstLineChars="200"/>
        <w:rPr>
          <w:color w:val="000000"/>
          <w:sz w:val="32"/>
          <w:szCs w:val="32"/>
        </w:rPr>
      </w:pPr>
      <w:r>
        <w:rPr>
          <w:rFonts w:hint="eastAsia"/>
          <w:color w:val="000000"/>
          <w:sz w:val="32"/>
          <w:szCs w:val="32"/>
        </w:rPr>
        <w:t>二</w:t>
      </w:r>
      <w:r>
        <w:rPr>
          <w:color w:val="000000"/>
          <w:sz w:val="32"/>
          <w:szCs w:val="32"/>
        </w:rPr>
        <w:t>是运输能力快速提升与多种方式融合不够的矛盾，多种运输方式之间合理分工、相互衔接不够，发展多式联运基础相对薄弱；</w:t>
      </w:r>
      <w:bookmarkStart w:id="15" w:name="_Hlk38046425"/>
      <w:r>
        <w:rPr>
          <w:color w:val="000000"/>
          <w:sz w:val="32"/>
          <w:szCs w:val="32"/>
        </w:rPr>
        <w:t>公路运输比重偏大；干线铁路客货运</w:t>
      </w:r>
      <w:r>
        <w:rPr>
          <w:rFonts w:hint="eastAsia"/>
          <w:color w:val="000000"/>
          <w:sz w:val="32"/>
          <w:szCs w:val="32"/>
        </w:rPr>
        <w:t>发展缓慢</w:t>
      </w:r>
      <w:r>
        <w:rPr>
          <w:color w:val="000000"/>
          <w:sz w:val="32"/>
          <w:szCs w:val="32"/>
        </w:rPr>
        <w:t>，各种运输方式之间的换乘场站建设刚刚起步，综合交通运输体系尚未健全；主干公路与港口、铁路、城市道路之间衔接不够，导致公路客货运输与其他各种运输方式衔接不畅，综合运输效率不高。港航基础设施建设仍亟待加强。</w:t>
      </w:r>
    </w:p>
    <w:p w14:paraId="5F58CDA4">
      <w:pPr>
        <w:spacing w:line="360" w:lineRule="auto"/>
        <w:ind w:firstLine="640" w:firstLineChars="200"/>
        <w:rPr>
          <w:color w:val="000000"/>
          <w:sz w:val="32"/>
          <w:szCs w:val="32"/>
        </w:rPr>
      </w:pPr>
      <w:r>
        <w:rPr>
          <w:rFonts w:hint="eastAsia"/>
          <w:color w:val="000000"/>
          <w:sz w:val="32"/>
          <w:szCs w:val="32"/>
        </w:rPr>
        <w:t>三是</w:t>
      </w:r>
      <w:r>
        <w:rPr>
          <w:color w:val="000000"/>
          <w:sz w:val="32"/>
          <w:szCs w:val="32"/>
        </w:rPr>
        <w:t>县域物流设施建设尚有</w:t>
      </w:r>
      <w:r>
        <w:rPr>
          <w:rFonts w:hint="eastAsia"/>
          <w:color w:val="000000"/>
          <w:sz w:val="32"/>
          <w:szCs w:val="32"/>
        </w:rPr>
        <w:t>不足。</w:t>
      </w:r>
      <w:r>
        <w:rPr>
          <w:color w:val="000000"/>
          <w:sz w:val="32"/>
          <w:szCs w:val="32"/>
        </w:rPr>
        <w:t>公路物流园设施相对不足，市域范围内有一定规模的物流园区数量较少，且功能相对单一，对社会运输资源的调度和运力分配能力有限</w:t>
      </w:r>
      <w:r>
        <w:rPr>
          <w:rFonts w:hint="eastAsia"/>
          <w:color w:val="000000"/>
          <w:sz w:val="32"/>
          <w:szCs w:val="32"/>
        </w:rPr>
        <w:t>。</w:t>
      </w:r>
      <w:r>
        <w:rPr>
          <w:color w:val="000000"/>
          <w:sz w:val="32"/>
          <w:szCs w:val="32"/>
        </w:rPr>
        <w:t>大宗运输效率不高，港口集疏运铁路、物流园区等“公转铁”设施建设不足，大宗货物及中长距离货物运输向铁路和水运转移效率不高，公铁水空的多式联运模式未建立</w:t>
      </w:r>
      <w:r>
        <w:rPr>
          <w:rFonts w:hint="eastAsia"/>
          <w:color w:val="000000"/>
          <w:sz w:val="32"/>
          <w:szCs w:val="32"/>
        </w:rPr>
        <w:t>。</w:t>
      </w:r>
      <w:r>
        <w:rPr>
          <w:color w:val="000000"/>
          <w:sz w:val="32"/>
          <w:szCs w:val="32"/>
        </w:rPr>
        <w:t>农村配送网络与农村物流网络节点建设尚不健全，服务功能尚不完善，未形成以县级物流中心、乡镇服务站、村级服务点为框架的三级物流网络。</w:t>
      </w:r>
    </w:p>
    <w:p w14:paraId="7DF02058">
      <w:pPr>
        <w:spacing w:line="360" w:lineRule="auto"/>
        <w:ind w:firstLine="640" w:firstLineChars="200"/>
        <w:rPr>
          <w:color w:val="000000"/>
          <w:sz w:val="32"/>
          <w:szCs w:val="32"/>
        </w:rPr>
      </w:pPr>
      <w:r>
        <w:rPr>
          <w:rFonts w:hint="eastAsia"/>
          <w:color w:val="000000"/>
          <w:sz w:val="32"/>
          <w:szCs w:val="32"/>
        </w:rPr>
        <w:t>四</w:t>
      </w:r>
      <w:r>
        <w:rPr>
          <w:color w:val="000000"/>
          <w:sz w:val="32"/>
          <w:szCs w:val="32"/>
        </w:rPr>
        <w:t>是综合交通发展趋势与交通管理体制的矛盾，交通管理体制还不能较好适应各种运输方式融合发展需要，有待进一步</w:t>
      </w:r>
      <w:r>
        <w:rPr>
          <w:rFonts w:hint="eastAsia"/>
          <w:color w:val="000000"/>
          <w:sz w:val="32"/>
          <w:szCs w:val="32"/>
        </w:rPr>
        <w:t>调整</w:t>
      </w:r>
      <w:r>
        <w:rPr>
          <w:color w:val="000000"/>
          <w:sz w:val="32"/>
          <w:szCs w:val="32"/>
        </w:rPr>
        <w:t>和落实</w:t>
      </w:r>
      <w:bookmarkEnd w:id="15"/>
      <w:r>
        <w:rPr>
          <w:color w:val="000000"/>
          <w:sz w:val="32"/>
          <w:szCs w:val="32"/>
        </w:rPr>
        <w:t>。改善基础设置相对不平衡，彻底改革交通运输管理体制的复杂性和多头管理，优化交通运输行政管理机构的职能，强化交通运输部门的内部改革，统筹各运输方式的规划衔接，逐步提高交通能源管理、环境管理、安全管理水平，尽快形成完善的综合交通运输体系。</w:t>
      </w:r>
      <w:r>
        <w:rPr>
          <w:color w:val="000000"/>
          <w:sz w:val="32"/>
          <w:szCs w:val="32"/>
        </w:rPr>
        <w:br w:type="page"/>
      </w:r>
    </w:p>
    <w:p w14:paraId="6C910F6B">
      <w:pPr>
        <w:pStyle w:val="2"/>
        <w:jc w:val="center"/>
        <w:rPr>
          <w:rFonts w:ascii="黑体" w:hAnsi="黑体" w:eastAsia="黑体" w:cs="黑体"/>
          <w:color w:val="000000"/>
          <w:sz w:val="32"/>
          <w:szCs w:val="32"/>
        </w:rPr>
      </w:pPr>
      <w:bookmarkStart w:id="16" w:name="_Toc89371363"/>
      <w:r>
        <w:rPr>
          <w:rFonts w:hint="eastAsia" w:ascii="黑体" w:hAnsi="黑体" w:eastAsia="黑体" w:cs="黑体"/>
          <w:color w:val="000000"/>
          <w:sz w:val="32"/>
          <w:szCs w:val="32"/>
        </w:rPr>
        <w:t>第四章 交通需求特征分析</w:t>
      </w:r>
      <w:bookmarkEnd w:id="16"/>
    </w:p>
    <w:p w14:paraId="7A4950D6">
      <w:pPr>
        <w:pStyle w:val="20"/>
        <w:rPr>
          <w:color w:val="000000"/>
          <w:sz w:val="32"/>
        </w:rPr>
      </w:pPr>
      <w:bookmarkStart w:id="17" w:name="_Toc89371364"/>
      <w:r>
        <w:rPr>
          <w:rFonts w:hint="eastAsia"/>
          <w:color w:val="000000"/>
          <w:sz w:val="32"/>
        </w:rPr>
        <w:t>（一）</w:t>
      </w:r>
      <w:r>
        <w:rPr>
          <w:color w:val="000000"/>
          <w:sz w:val="32"/>
        </w:rPr>
        <w:t>内陆交通的末端，对外联通的前沿</w:t>
      </w:r>
      <w:bookmarkEnd w:id="17"/>
    </w:p>
    <w:p w14:paraId="4D8E2DA2">
      <w:pPr>
        <w:spacing w:line="360" w:lineRule="auto"/>
        <w:ind w:firstLine="640" w:firstLineChars="200"/>
        <w:rPr>
          <w:color w:val="000000"/>
          <w:sz w:val="32"/>
          <w:szCs w:val="32"/>
        </w:rPr>
      </w:pPr>
      <w:r>
        <w:rPr>
          <w:rFonts w:hint="eastAsia"/>
          <w:color w:val="000000"/>
          <w:sz w:val="32"/>
          <w:szCs w:val="32"/>
        </w:rPr>
        <w:t>乳山市位于山东半岛的东南部，</w:t>
      </w:r>
      <w:r>
        <w:rPr>
          <w:color w:val="000000"/>
          <w:sz w:val="32"/>
          <w:szCs w:val="32"/>
        </w:rPr>
        <w:t>是山东内陆交通运输的末端</w:t>
      </w:r>
      <w:r>
        <w:rPr>
          <w:rFonts w:hint="eastAsia"/>
          <w:color w:val="000000"/>
          <w:sz w:val="32"/>
          <w:szCs w:val="32"/>
        </w:rPr>
        <w:t>，</w:t>
      </w:r>
      <w:r>
        <w:rPr>
          <w:color w:val="000000"/>
          <w:sz w:val="32"/>
          <w:szCs w:val="32"/>
        </w:rPr>
        <w:t>同时偏离国家南北向沈海高速等沿海运输通道，通过陆路交通连接北、西、南部主要城市群均需要绕行，对外交通联系受到先天条件制约。随着</w:t>
      </w:r>
      <w:r>
        <w:rPr>
          <w:rFonts w:hint="eastAsia"/>
          <w:color w:val="000000"/>
          <w:sz w:val="32"/>
          <w:szCs w:val="32"/>
        </w:rPr>
        <w:t>“</w:t>
      </w:r>
      <w:r>
        <w:rPr>
          <w:color w:val="000000"/>
          <w:sz w:val="32"/>
          <w:szCs w:val="32"/>
        </w:rPr>
        <w:t>一带一路</w:t>
      </w:r>
      <w:r>
        <w:rPr>
          <w:rFonts w:hint="eastAsia"/>
          <w:color w:val="000000"/>
          <w:sz w:val="32"/>
          <w:szCs w:val="32"/>
        </w:rPr>
        <w:t>”</w:t>
      </w:r>
      <w:r>
        <w:rPr>
          <w:color w:val="000000"/>
          <w:sz w:val="32"/>
          <w:szCs w:val="32"/>
        </w:rPr>
        <w:t>、</w:t>
      </w:r>
      <w:r>
        <w:rPr>
          <w:rFonts w:hint="eastAsia"/>
          <w:color w:val="000000"/>
          <w:sz w:val="32"/>
          <w:szCs w:val="32"/>
        </w:rPr>
        <w:t>“</w:t>
      </w:r>
      <w:r>
        <w:rPr>
          <w:color w:val="000000"/>
          <w:sz w:val="32"/>
          <w:szCs w:val="32"/>
        </w:rPr>
        <w:t>中韩自由贸易区</w:t>
      </w:r>
      <w:r>
        <w:rPr>
          <w:rFonts w:hint="eastAsia"/>
          <w:color w:val="000000"/>
          <w:sz w:val="32"/>
          <w:szCs w:val="32"/>
        </w:rPr>
        <w:t>”</w:t>
      </w:r>
      <w:r>
        <w:rPr>
          <w:color w:val="000000"/>
          <w:sz w:val="32"/>
          <w:szCs w:val="32"/>
        </w:rPr>
        <w:t>等战略的实施，其末端劣势同时也是对外开放的地缘优势，是打造对内衔接、对外联通枢纽的坚实基础。</w:t>
      </w:r>
    </w:p>
    <w:p w14:paraId="1E0CB650">
      <w:pPr>
        <w:pStyle w:val="20"/>
        <w:rPr>
          <w:color w:val="000000"/>
          <w:sz w:val="32"/>
        </w:rPr>
      </w:pPr>
      <w:bookmarkStart w:id="18" w:name="_Toc89371365"/>
      <w:r>
        <w:rPr>
          <w:rFonts w:hint="eastAsia"/>
          <w:color w:val="000000"/>
          <w:sz w:val="32"/>
        </w:rPr>
        <w:t>（二）</w:t>
      </w:r>
      <w:r>
        <w:rPr>
          <w:color w:val="000000"/>
          <w:sz w:val="32"/>
        </w:rPr>
        <w:t>交通运输方式</w:t>
      </w:r>
      <w:r>
        <w:rPr>
          <w:rFonts w:hint="eastAsia"/>
          <w:color w:val="000000"/>
          <w:sz w:val="32"/>
        </w:rPr>
        <w:t>较</w:t>
      </w:r>
      <w:r>
        <w:rPr>
          <w:color w:val="000000"/>
          <w:sz w:val="32"/>
        </w:rPr>
        <w:t>齐全</w:t>
      </w:r>
      <w:bookmarkEnd w:id="18"/>
    </w:p>
    <w:p w14:paraId="412AA48F">
      <w:pPr>
        <w:spacing w:line="360" w:lineRule="auto"/>
        <w:ind w:firstLine="640" w:firstLineChars="200"/>
        <w:rPr>
          <w:color w:val="000000"/>
          <w:sz w:val="32"/>
          <w:szCs w:val="32"/>
        </w:rPr>
      </w:pPr>
      <w:r>
        <w:rPr>
          <w:rFonts w:hint="eastAsia"/>
          <w:color w:val="000000"/>
          <w:sz w:val="32"/>
          <w:szCs w:val="32"/>
        </w:rPr>
        <w:t>乳山</w:t>
      </w:r>
      <w:r>
        <w:rPr>
          <w:color w:val="000000"/>
          <w:sz w:val="32"/>
          <w:szCs w:val="32"/>
        </w:rPr>
        <w:t>市作为滨海城市，综合交通运输方式</w:t>
      </w:r>
      <w:r>
        <w:rPr>
          <w:rFonts w:hint="eastAsia"/>
          <w:color w:val="000000"/>
          <w:sz w:val="32"/>
          <w:szCs w:val="32"/>
        </w:rPr>
        <w:t>较</w:t>
      </w:r>
      <w:r>
        <w:rPr>
          <w:color w:val="000000"/>
          <w:sz w:val="32"/>
          <w:szCs w:val="32"/>
        </w:rPr>
        <w:t>齐全，公路、铁路、海运等运输方式共同构筑起对外开放、对内衔接的交通网络，有利于发挥综合交通运输效益。此外，作为著名的海滨旅游城市，多样化的运输方式、完善的对外交通网络也能给游客提供多样化的选择，增强了城市的吸引力。</w:t>
      </w:r>
    </w:p>
    <w:p w14:paraId="130279E0">
      <w:pPr>
        <w:pStyle w:val="20"/>
        <w:rPr>
          <w:color w:val="000000"/>
          <w:sz w:val="32"/>
        </w:rPr>
      </w:pPr>
      <w:bookmarkStart w:id="19" w:name="_Toc89371366"/>
      <w:r>
        <w:rPr>
          <w:rFonts w:hint="eastAsia"/>
          <w:color w:val="000000"/>
          <w:sz w:val="32"/>
        </w:rPr>
        <w:t>（三）潜在出行需求增加</w:t>
      </w:r>
      <w:bookmarkEnd w:id="19"/>
    </w:p>
    <w:p w14:paraId="3E9D547D">
      <w:pPr>
        <w:spacing w:line="360" w:lineRule="auto"/>
        <w:ind w:firstLine="640" w:firstLineChars="200"/>
        <w:rPr>
          <w:color w:val="000000"/>
          <w:sz w:val="32"/>
          <w:szCs w:val="32"/>
        </w:rPr>
      </w:pPr>
      <w:r>
        <w:rPr>
          <w:color w:val="000000"/>
          <w:sz w:val="32"/>
          <w:szCs w:val="32"/>
        </w:rPr>
        <w:t>通过分析，</w:t>
      </w:r>
      <w:r>
        <w:rPr>
          <w:rFonts w:hint="eastAsia"/>
          <w:color w:val="000000"/>
          <w:sz w:val="32"/>
          <w:szCs w:val="32"/>
        </w:rPr>
        <w:t>乳山</w:t>
      </w:r>
      <w:r>
        <w:rPr>
          <w:color w:val="000000"/>
          <w:sz w:val="32"/>
          <w:szCs w:val="32"/>
        </w:rPr>
        <w:t>市除向西与</w:t>
      </w:r>
      <w:r>
        <w:rPr>
          <w:rFonts w:hint="eastAsia"/>
          <w:color w:val="000000"/>
          <w:sz w:val="32"/>
          <w:szCs w:val="32"/>
        </w:rPr>
        <w:t>青岛</w:t>
      </w:r>
      <w:r>
        <w:rPr>
          <w:color w:val="000000"/>
          <w:sz w:val="32"/>
          <w:szCs w:val="32"/>
        </w:rPr>
        <w:t>、</w:t>
      </w:r>
      <w:r>
        <w:rPr>
          <w:rFonts w:hint="eastAsia"/>
          <w:color w:val="000000"/>
          <w:sz w:val="32"/>
          <w:szCs w:val="32"/>
        </w:rPr>
        <w:t>北</w:t>
      </w:r>
      <w:r>
        <w:rPr>
          <w:color w:val="000000"/>
          <w:sz w:val="32"/>
          <w:szCs w:val="32"/>
        </w:rPr>
        <w:t>与</w:t>
      </w:r>
      <w:r>
        <w:rPr>
          <w:rFonts w:hint="eastAsia"/>
          <w:color w:val="000000"/>
          <w:sz w:val="32"/>
          <w:szCs w:val="32"/>
        </w:rPr>
        <w:t>烟台、东与威海</w:t>
      </w:r>
      <w:r>
        <w:rPr>
          <w:color w:val="000000"/>
          <w:sz w:val="32"/>
          <w:szCs w:val="32"/>
        </w:rPr>
        <w:t>联系需求较大，</w:t>
      </w:r>
      <w:r>
        <w:rPr>
          <w:rFonts w:hint="eastAsia"/>
          <w:color w:val="000000"/>
          <w:sz w:val="32"/>
          <w:szCs w:val="32"/>
        </w:rPr>
        <w:t>南</w:t>
      </w:r>
      <w:r>
        <w:rPr>
          <w:color w:val="000000"/>
          <w:sz w:val="32"/>
          <w:szCs w:val="32"/>
        </w:rPr>
        <w:t>方向受海域限制，无公路对外联系需求，且</w:t>
      </w:r>
      <w:r>
        <w:rPr>
          <w:rFonts w:hint="eastAsia"/>
          <w:color w:val="000000"/>
          <w:sz w:val="32"/>
          <w:szCs w:val="32"/>
        </w:rPr>
        <w:t>乳山</w:t>
      </w:r>
      <w:r>
        <w:rPr>
          <w:color w:val="000000"/>
          <w:sz w:val="32"/>
          <w:szCs w:val="32"/>
        </w:rPr>
        <w:t>市产业</w:t>
      </w:r>
      <w:r>
        <w:rPr>
          <w:rFonts w:hint="eastAsia"/>
          <w:color w:val="000000"/>
          <w:sz w:val="32"/>
          <w:szCs w:val="32"/>
        </w:rPr>
        <w:t>以第二和第三产业为主</w:t>
      </w:r>
      <w:r>
        <w:rPr>
          <w:color w:val="000000"/>
          <w:sz w:val="32"/>
          <w:szCs w:val="32"/>
        </w:rPr>
        <w:t>，旅游业、渔业蓬勃发展</w:t>
      </w:r>
      <w:r>
        <w:rPr>
          <w:rFonts w:hint="eastAsia"/>
          <w:color w:val="000000"/>
          <w:sz w:val="32"/>
          <w:szCs w:val="32"/>
        </w:rPr>
        <w:t>。</w:t>
      </w:r>
      <w:r>
        <w:rPr>
          <w:color w:val="000000"/>
          <w:sz w:val="32"/>
          <w:szCs w:val="32"/>
        </w:rPr>
        <w:t>随着海铁联运的快速发展，</w:t>
      </w:r>
      <w:r>
        <w:rPr>
          <w:rFonts w:hint="eastAsia"/>
          <w:color w:val="000000"/>
          <w:sz w:val="32"/>
          <w:szCs w:val="32"/>
        </w:rPr>
        <w:t>客货运量稳步提升。</w:t>
      </w:r>
    </w:p>
    <w:p w14:paraId="3B62501E">
      <w:pPr>
        <w:spacing w:line="360" w:lineRule="auto"/>
        <w:ind w:firstLine="640" w:firstLineChars="200"/>
        <w:rPr>
          <w:color w:val="000000"/>
          <w:sz w:val="32"/>
          <w:szCs w:val="32"/>
        </w:rPr>
      </w:pPr>
      <w:r>
        <w:rPr>
          <w:rFonts w:hint="eastAsia"/>
          <w:color w:val="000000"/>
          <w:sz w:val="32"/>
          <w:szCs w:val="32"/>
        </w:rPr>
        <w:t>乳山市</w:t>
      </w:r>
      <w:r>
        <w:rPr>
          <w:color w:val="000000"/>
          <w:sz w:val="32"/>
          <w:szCs w:val="32"/>
        </w:rPr>
        <w:t>突出特色、整合资源、融合发展，推动红色文化资源与绿色生态资源紧密结合，促进文化旅游产业特色化、可持续发展</w:t>
      </w:r>
      <w:r>
        <w:rPr>
          <w:rFonts w:hint="eastAsia"/>
          <w:color w:val="000000"/>
          <w:sz w:val="32"/>
          <w:szCs w:val="32"/>
        </w:rPr>
        <w:t>，</w:t>
      </w:r>
      <w:r>
        <w:rPr>
          <w:color w:val="000000"/>
          <w:sz w:val="32"/>
          <w:szCs w:val="32"/>
        </w:rPr>
        <w:t>通过无中生有、点石成金，推动文化旅游产品开发新突破。综合考虑不同群体的需求，大力发展旅居养老、医养结合等新型业态，</w:t>
      </w:r>
      <w:r>
        <w:rPr>
          <w:rFonts w:hint="eastAsia"/>
          <w:color w:val="000000"/>
          <w:sz w:val="32"/>
          <w:szCs w:val="32"/>
        </w:rPr>
        <w:t>使</w:t>
      </w:r>
      <w:r>
        <w:rPr>
          <w:color w:val="000000"/>
          <w:sz w:val="32"/>
          <w:szCs w:val="32"/>
        </w:rPr>
        <w:t>旅游与养老产业融合发展</w:t>
      </w:r>
      <w:r>
        <w:rPr>
          <w:rFonts w:hint="eastAsia"/>
          <w:color w:val="000000"/>
          <w:sz w:val="32"/>
          <w:szCs w:val="32"/>
        </w:rPr>
        <w:t>。随着居民对精神文化生活的需求逐渐提高，康养文旅产生的交通需求正在进一步提升。</w:t>
      </w:r>
    </w:p>
    <w:p w14:paraId="13E8163C">
      <w:pPr>
        <w:spacing w:line="360" w:lineRule="auto"/>
        <w:ind w:firstLine="640" w:firstLineChars="200"/>
        <w:rPr>
          <w:color w:val="000000"/>
          <w:sz w:val="32"/>
          <w:szCs w:val="32"/>
        </w:rPr>
      </w:pPr>
      <w:r>
        <w:rPr>
          <w:color w:val="000000"/>
          <w:sz w:val="32"/>
          <w:szCs w:val="32"/>
        </w:rPr>
        <w:br w:type="page"/>
      </w:r>
    </w:p>
    <w:p w14:paraId="690D764D">
      <w:pPr>
        <w:pStyle w:val="2"/>
        <w:spacing w:before="312" w:beforeLines="100" w:after="312" w:afterLines="100" w:line="360" w:lineRule="auto"/>
        <w:jc w:val="center"/>
        <w:rPr>
          <w:rFonts w:ascii="黑体" w:hAnsi="黑体" w:eastAsia="黑体" w:cs="黑体"/>
          <w:color w:val="000000"/>
          <w:sz w:val="32"/>
          <w:szCs w:val="32"/>
        </w:rPr>
      </w:pPr>
      <w:bookmarkStart w:id="20" w:name="_Toc89371367"/>
      <w:bookmarkStart w:id="21" w:name="_Hlk38043046"/>
      <w:r>
        <w:rPr>
          <w:rFonts w:hint="eastAsia" w:ascii="黑体" w:hAnsi="黑体" w:eastAsia="黑体" w:cs="黑体"/>
          <w:color w:val="000000"/>
          <w:sz w:val="32"/>
          <w:szCs w:val="32"/>
        </w:rPr>
        <w:t>第五章 “十四五”交通运输发展目标</w:t>
      </w:r>
      <w:bookmarkEnd w:id="20"/>
      <w:bookmarkEnd w:id="21"/>
    </w:p>
    <w:p w14:paraId="6DFEAF27">
      <w:pPr>
        <w:rPr>
          <w:color w:val="000000"/>
          <w:sz w:val="32"/>
          <w:szCs w:val="32"/>
        </w:rPr>
      </w:pPr>
      <w:r>
        <w:rPr>
          <w:rFonts w:hint="eastAsia"/>
          <w:color w:val="000000"/>
        </w:rPr>
        <w:t xml:space="preserve"> </w:t>
      </w:r>
      <w:r>
        <w:rPr>
          <w:color w:val="000000"/>
        </w:rPr>
        <w:t xml:space="preserve">  </w:t>
      </w:r>
      <w:r>
        <w:rPr>
          <w:rFonts w:hint="eastAsia"/>
          <w:color w:val="000000"/>
          <w:sz w:val="32"/>
          <w:szCs w:val="32"/>
        </w:rPr>
        <w:t>目前，全省“三横四纵”综合运输大通道骨架基本形成。</w:t>
      </w:r>
    </w:p>
    <w:p w14:paraId="61F3122F">
      <w:pPr>
        <w:rPr>
          <w:color w:val="000000"/>
          <w:sz w:val="32"/>
          <w:szCs w:val="32"/>
        </w:rPr>
      </w:pPr>
      <w:r>
        <w:rPr>
          <w:rFonts w:hint="eastAsia"/>
          <w:color w:val="000000"/>
          <w:sz w:val="32"/>
          <w:szCs w:val="32"/>
        </w:rPr>
        <w:t>交通网络规模不断扩大、技术等级不断提升、网络布局不断优化、覆盖程度不断提高。针对我省现有综合立体交通发展现状，</w:t>
      </w:r>
      <w:r>
        <w:rPr>
          <w:color w:val="000000"/>
        </w:rPr>
        <w:t xml:space="preserve"> </w:t>
      </w:r>
      <w:r>
        <w:rPr>
          <w:rFonts w:hint="eastAsia"/>
          <w:color w:val="000000"/>
          <w:sz w:val="32"/>
          <w:szCs w:val="32"/>
        </w:rPr>
        <w:t>在“十四五”期间，乳山市综合立体交通基础设施在整体的规模、结构和一体化衔接效率方面应总体上满足经济社会的发展需求并适度超前。综合交通运输能够全面支撑交通强国战略纲要及乳山市现代化的经济建设，在基础支撑能力、引导产业能力、服务商贸能力等方面处于省内领先水平。建成以基础设施保证能力、综合运输服务能力、可持续发展能力和行业治理能力为亮点的综合立体交通网络骨架。</w:t>
      </w:r>
    </w:p>
    <w:p w14:paraId="1EF19665">
      <w:pPr>
        <w:pStyle w:val="20"/>
        <w:rPr>
          <w:color w:val="000000"/>
          <w:sz w:val="32"/>
        </w:rPr>
      </w:pPr>
      <w:bookmarkStart w:id="22" w:name="_Toc89371368"/>
      <w:r>
        <w:rPr>
          <w:rFonts w:hint="eastAsia"/>
          <w:color w:val="000000"/>
          <w:sz w:val="32"/>
        </w:rPr>
        <w:t>（一）基础设施保障能力</w:t>
      </w:r>
      <w:bookmarkEnd w:id="22"/>
    </w:p>
    <w:p w14:paraId="4620FFF6">
      <w:pPr>
        <w:spacing w:line="360" w:lineRule="auto"/>
        <w:ind w:firstLine="640" w:firstLineChars="200"/>
        <w:rPr>
          <w:color w:val="000000"/>
          <w:sz w:val="32"/>
          <w:szCs w:val="32"/>
        </w:rPr>
      </w:pPr>
      <w:r>
        <w:rPr>
          <w:rFonts w:hint="eastAsia"/>
          <w:color w:val="000000"/>
          <w:sz w:val="32"/>
          <w:szCs w:val="32"/>
        </w:rPr>
        <w:t>立</w:t>
      </w:r>
      <w:bookmarkStart w:id="23" w:name="_Hlk38046699"/>
      <w:r>
        <w:rPr>
          <w:rFonts w:hint="eastAsia"/>
          <w:color w:val="000000"/>
          <w:sz w:val="32"/>
          <w:szCs w:val="32"/>
        </w:rPr>
        <w:t>足设施规模、网络覆盖、安全生命防护、设施结构、设施养护、路政管理等方面，完善提高路网结构，提升乳山市基础设施规模、结构、质量和养护管理水平。</w:t>
      </w:r>
      <w:bookmarkEnd w:id="23"/>
      <w:r>
        <w:rPr>
          <w:rFonts w:hint="eastAsia"/>
          <w:color w:val="000000"/>
          <w:sz w:val="32"/>
          <w:szCs w:val="32"/>
        </w:rPr>
        <w:t>提升基础设施智能化水平，将信息化、智能化发展贯穿于交通基础设施建设、管理、养护、运行各环节。尊重城市发展规律，完善快速路、主次干路、支路级配和结构合理的城市道路网，打通道路微循环，提高到路通达性。大力发展乡村振兴战略，促进交通建设与农村地区资源开发，完善片区规划，建设美丽乡村，加强旅游景区建设。加强农村邮政等基础设施建设。推进城市公共交通设施建设。</w:t>
      </w:r>
    </w:p>
    <w:p w14:paraId="6D97530A">
      <w:pPr>
        <w:pStyle w:val="21"/>
        <w:rPr>
          <w:color w:val="000000"/>
          <w:sz w:val="32"/>
        </w:rPr>
      </w:pPr>
      <w:bookmarkStart w:id="24" w:name="_Toc89371369"/>
      <w:r>
        <w:rPr>
          <w:rFonts w:hint="eastAsia"/>
          <w:color w:val="000000"/>
          <w:sz w:val="32"/>
        </w:rPr>
        <w:t>1</w:t>
      </w:r>
      <w:r>
        <w:rPr>
          <w:color w:val="000000"/>
          <w:sz w:val="32"/>
        </w:rPr>
        <w:t>.</w:t>
      </w:r>
      <w:r>
        <w:rPr>
          <w:rFonts w:hint="eastAsia"/>
          <w:color w:val="000000"/>
          <w:sz w:val="32"/>
        </w:rPr>
        <w:t>设施规模</w:t>
      </w:r>
      <w:bookmarkEnd w:id="24"/>
    </w:p>
    <w:p w14:paraId="4BFDC72E">
      <w:pPr>
        <w:spacing w:line="360" w:lineRule="auto"/>
        <w:ind w:firstLine="640" w:firstLineChars="200"/>
        <w:rPr>
          <w:color w:val="000000"/>
          <w:sz w:val="32"/>
          <w:szCs w:val="32"/>
        </w:rPr>
      </w:pPr>
      <w:r>
        <w:rPr>
          <w:rFonts w:hint="eastAsia"/>
          <w:color w:val="000000"/>
          <w:sz w:val="32"/>
          <w:szCs w:val="32"/>
        </w:rPr>
        <w:t>依据《</w:t>
      </w:r>
      <w:r>
        <w:rPr>
          <w:color w:val="000000"/>
          <w:sz w:val="32"/>
          <w:szCs w:val="32"/>
        </w:rPr>
        <w:t>山东省综合交通网中长期发展规划</w:t>
      </w:r>
      <w:r>
        <w:rPr>
          <w:rFonts w:hint="eastAsia"/>
          <w:color w:val="000000"/>
          <w:sz w:val="32"/>
          <w:szCs w:val="32"/>
        </w:rPr>
        <w:t>（2</w:t>
      </w:r>
      <w:r>
        <w:rPr>
          <w:color w:val="000000"/>
          <w:sz w:val="32"/>
          <w:szCs w:val="32"/>
        </w:rPr>
        <w:t>018-2035</w:t>
      </w:r>
      <w:r>
        <w:rPr>
          <w:rFonts w:hint="eastAsia"/>
          <w:color w:val="000000"/>
          <w:sz w:val="32"/>
          <w:szCs w:val="32"/>
        </w:rPr>
        <w:t>年）》，我省“三横四纵双枢纽多节点”综合交通网主骨架基本形成，总体水平处于全国前列。</w:t>
      </w:r>
    </w:p>
    <w:p w14:paraId="19092B22">
      <w:pPr>
        <w:ind w:firstLine="640" w:firstLineChars="200"/>
        <w:rPr>
          <w:color w:val="000000"/>
          <w:sz w:val="32"/>
          <w:szCs w:val="32"/>
        </w:rPr>
      </w:pPr>
      <w:r>
        <w:rPr>
          <w:rFonts w:hint="eastAsia"/>
          <w:color w:val="000000"/>
          <w:sz w:val="32"/>
          <w:szCs w:val="32"/>
        </w:rPr>
        <w:t>在公路方面，我省普通国省道干线已覆盖所有县级以上节点，公路通车里程位居全国第三。</w:t>
      </w:r>
    </w:p>
    <w:p w14:paraId="7DE0907A">
      <w:pPr>
        <w:jc w:val="center"/>
        <w:rPr>
          <w:color w:val="000000"/>
        </w:rPr>
      </w:pPr>
      <w:r>
        <w:rPr>
          <w:color w:val="000000"/>
        </w:rPr>
        <w:drawing>
          <wp:anchor distT="0" distB="0" distL="0" distR="0" simplePos="0" relativeHeight="251659264" behindDoc="0" locked="0" layoutInCell="1" allowOverlap="1">
            <wp:simplePos x="0" y="0"/>
            <wp:positionH relativeFrom="column">
              <wp:posOffset>2985770</wp:posOffset>
            </wp:positionH>
            <wp:positionV relativeFrom="paragraph">
              <wp:posOffset>220980</wp:posOffset>
            </wp:positionV>
            <wp:extent cx="2200910" cy="1541780"/>
            <wp:effectExtent l="0" t="0" r="8890" b="1270"/>
            <wp:wrapTopAndBottom/>
            <wp:docPr id="1026" name="图片 9"/>
            <wp:cNvGraphicFramePr/>
            <a:graphic xmlns:a="http://schemas.openxmlformats.org/drawingml/2006/main">
              <a:graphicData uri="http://schemas.openxmlformats.org/drawingml/2006/picture">
                <pic:pic xmlns:pic="http://schemas.openxmlformats.org/drawingml/2006/picture">
                  <pic:nvPicPr>
                    <pic:cNvPr id="1026" name="图片 9"/>
                    <pic:cNvPicPr/>
                  </pic:nvPicPr>
                  <pic:blipFill>
                    <a:blip r:embed="rId10" cstate="print"/>
                    <a:srcRect/>
                    <a:stretch>
                      <a:fillRect/>
                    </a:stretch>
                  </pic:blipFill>
                  <pic:spPr>
                    <a:xfrm>
                      <a:off x="0" y="0"/>
                      <a:ext cx="2200910" cy="1541780"/>
                    </a:xfrm>
                    <a:prstGeom prst="rect">
                      <a:avLst/>
                    </a:prstGeom>
                    <a:ln>
                      <a:noFill/>
                    </a:ln>
                  </pic:spPr>
                </pic:pic>
              </a:graphicData>
            </a:graphic>
          </wp:anchor>
        </w:drawing>
      </w:r>
      <w:r>
        <w:rPr>
          <w:color w:val="000000"/>
        </w:rPr>
        <w:drawing>
          <wp:anchor distT="0" distB="0" distL="0" distR="0" simplePos="0" relativeHeight="251659264" behindDoc="0" locked="0" layoutInCell="1" allowOverlap="1">
            <wp:simplePos x="0" y="0"/>
            <wp:positionH relativeFrom="column">
              <wp:posOffset>316230</wp:posOffset>
            </wp:positionH>
            <wp:positionV relativeFrom="paragraph">
              <wp:posOffset>197485</wp:posOffset>
            </wp:positionV>
            <wp:extent cx="2200910" cy="1541780"/>
            <wp:effectExtent l="0" t="0" r="8890" b="1270"/>
            <wp:wrapTopAndBottom/>
            <wp:docPr id="1027" name="图片 8"/>
            <wp:cNvGraphicFramePr/>
            <a:graphic xmlns:a="http://schemas.openxmlformats.org/drawingml/2006/main">
              <a:graphicData uri="http://schemas.openxmlformats.org/drawingml/2006/picture">
                <pic:pic xmlns:pic="http://schemas.openxmlformats.org/drawingml/2006/picture">
                  <pic:nvPicPr>
                    <pic:cNvPr id="1027" name="图片 8"/>
                    <pic:cNvPicPr/>
                  </pic:nvPicPr>
                  <pic:blipFill>
                    <a:blip r:embed="rId11" cstate="print"/>
                    <a:srcRect/>
                    <a:stretch>
                      <a:fillRect/>
                    </a:stretch>
                  </pic:blipFill>
                  <pic:spPr>
                    <a:xfrm>
                      <a:off x="0" y="0"/>
                      <a:ext cx="2200910" cy="1541779"/>
                    </a:xfrm>
                    <a:prstGeom prst="rect">
                      <a:avLst/>
                    </a:prstGeom>
                    <a:ln>
                      <a:noFill/>
                    </a:ln>
                  </pic:spPr>
                </pic:pic>
              </a:graphicData>
            </a:graphic>
          </wp:anchor>
        </w:drawing>
      </w:r>
    </w:p>
    <w:p w14:paraId="247D2241">
      <w:pPr>
        <w:spacing w:line="360" w:lineRule="auto"/>
        <w:jc w:val="center"/>
        <w:rPr>
          <w:rFonts w:eastAsia="楷体"/>
          <w:color w:val="000000"/>
          <w:sz w:val="24"/>
        </w:rPr>
      </w:pPr>
      <w:r>
        <w:rPr>
          <w:rFonts w:hint="eastAsia" w:eastAsia="楷体"/>
          <w:color w:val="000000"/>
          <w:sz w:val="24"/>
        </w:rPr>
        <w:t>图1</w:t>
      </w:r>
      <w:r>
        <w:rPr>
          <w:rFonts w:eastAsia="楷体"/>
          <w:color w:val="000000"/>
          <w:sz w:val="24"/>
        </w:rPr>
        <w:t xml:space="preserve"> </w:t>
      </w:r>
      <w:r>
        <w:rPr>
          <w:rFonts w:hint="eastAsia" w:eastAsia="楷体"/>
          <w:color w:val="000000"/>
          <w:sz w:val="24"/>
        </w:rPr>
        <w:t>山东省公路网结构</w:t>
      </w:r>
    </w:p>
    <w:p w14:paraId="7172EE38">
      <w:pPr>
        <w:spacing w:line="360" w:lineRule="auto"/>
        <w:rPr>
          <w:color w:val="000000"/>
          <w:sz w:val="32"/>
          <w:szCs w:val="32"/>
        </w:rPr>
      </w:pPr>
      <w:r>
        <w:rPr>
          <w:rFonts w:hint="eastAsia"/>
          <w:color w:val="000000"/>
          <w:sz w:val="32"/>
          <w:szCs w:val="32"/>
        </w:rPr>
        <w:t>“九纵五横一环七连”的高速公路网骨架已基本形成，除长岛外、全省所有县（市、区）均可实现3</w:t>
      </w:r>
      <w:r>
        <w:rPr>
          <w:color w:val="000000"/>
          <w:sz w:val="32"/>
          <w:szCs w:val="32"/>
        </w:rPr>
        <w:t>0</w:t>
      </w:r>
      <w:r>
        <w:rPr>
          <w:rFonts w:hint="eastAsia"/>
          <w:color w:val="000000"/>
          <w:sz w:val="32"/>
          <w:szCs w:val="32"/>
        </w:rPr>
        <w:t>分钟上高速；同时，我省深入推进“四好农村路”建设，全省农村公路的通达水平和服务功能进一步提升。</w:t>
      </w:r>
    </w:p>
    <w:p w14:paraId="1807D27B">
      <w:pPr>
        <w:jc w:val="center"/>
        <w:rPr>
          <w:color w:val="000000"/>
          <w:kern w:val="0"/>
          <w:sz w:val="24"/>
        </w:rPr>
      </w:pPr>
      <w:r>
        <w:rPr>
          <w:color w:val="000000"/>
        </w:rPr>
        <w:drawing>
          <wp:inline distT="0" distB="0" distL="0" distR="0">
            <wp:extent cx="4784725" cy="3136900"/>
            <wp:effectExtent l="0" t="0" r="0" b="6350"/>
            <wp:docPr id="1028" name="图片 2"/>
            <wp:cNvGraphicFramePr/>
            <a:graphic xmlns:a="http://schemas.openxmlformats.org/drawingml/2006/main">
              <a:graphicData uri="http://schemas.openxmlformats.org/drawingml/2006/picture">
                <pic:pic xmlns:pic="http://schemas.openxmlformats.org/drawingml/2006/picture">
                  <pic:nvPicPr>
                    <pic:cNvPr id="1028" name="图片 2"/>
                    <pic:cNvPicPr/>
                  </pic:nvPicPr>
                  <pic:blipFill>
                    <a:blip r:embed="rId12" cstate="print"/>
                    <a:srcRect/>
                    <a:stretch>
                      <a:fillRect/>
                    </a:stretch>
                  </pic:blipFill>
                  <pic:spPr>
                    <a:xfrm>
                      <a:off x="0" y="0"/>
                      <a:ext cx="4784725" cy="3136900"/>
                    </a:xfrm>
                    <a:prstGeom prst="rect">
                      <a:avLst/>
                    </a:prstGeom>
                    <a:ln>
                      <a:noFill/>
                    </a:ln>
                  </pic:spPr>
                </pic:pic>
              </a:graphicData>
            </a:graphic>
          </wp:inline>
        </w:drawing>
      </w:r>
    </w:p>
    <w:p w14:paraId="4324B0BE">
      <w:pPr>
        <w:spacing w:line="360" w:lineRule="auto"/>
        <w:jc w:val="center"/>
        <w:rPr>
          <w:rFonts w:eastAsia="楷体"/>
          <w:color w:val="000000"/>
          <w:sz w:val="24"/>
        </w:rPr>
      </w:pPr>
      <w:r>
        <w:rPr>
          <w:rFonts w:hint="eastAsia" w:eastAsia="楷体"/>
          <w:color w:val="000000"/>
          <w:sz w:val="24"/>
        </w:rPr>
        <w:t>图2</w:t>
      </w:r>
      <w:r>
        <w:rPr>
          <w:rFonts w:eastAsia="楷体"/>
          <w:color w:val="000000"/>
          <w:sz w:val="24"/>
        </w:rPr>
        <w:t xml:space="preserve"> </w:t>
      </w:r>
      <w:r>
        <w:rPr>
          <w:rFonts w:hint="eastAsia" w:eastAsia="楷体"/>
          <w:color w:val="000000"/>
          <w:sz w:val="24"/>
        </w:rPr>
        <w:t>山东省高速公路现状布局示意图</w:t>
      </w:r>
    </w:p>
    <w:p w14:paraId="3F265F97">
      <w:pPr>
        <w:spacing w:line="360" w:lineRule="auto"/>
        <w:ind w:firstLine="640" w:firstLineChars="200"/>
        <w:rPr>
          <w:color w:val="000000"/>
          <w:sz w:val="32"/>
          <w:szCs w:val="32"/>
        </w:rPr>
      </w:pPr>
      <w:r>
        <w:rPr>
          <w:rFonts w:hint="eastAsia"/>
          <w:color w:val="000000"/>
          <w:sz w:val="32"/>
          <w:szCs w:val="32"/>
        </w:rPr>
        <w:t>铁路方面，全省铁路运输营运路网密度达到3</w:t>
      </w:r>
      <w:r>
        <w:rPr>
          <w:color w:val="000000"/>
          <w:sz w:val="32"/>
          <w:szCs w:val="32"/>
        </w:rPr>
        <w:t>.96</w:t>
      </w:r>
      <w:r>
        <w:rPr>
          <w:rFonts w:hint="eastAsia"/>
          <w:color w:val="000000"/>
          <w:sz w:val="32"/>
          <w:szCs w:val="32"/>
        </w:rPr>
        <w:t>公里/百平方公里，铁路营运里程、面积密度均居全国第五位，其中高铁营运里程稳步提升。</w:t>
      </w:r>
    </w:p>
    <w:p w14:paraId="7F41264A">
      <w:pPr>
        <w:jc w:val="center"/>
        <w:rPr>
          <w:color w:val="000000"/>
          <w:kern w:val="0"/>
          <w:sz w:val="24"/>
        </w:rPr>
      </w:pPr>
      <w:r>
        <w:rPr>
          <w:color w:val="000000"/>
        </w:rPr>
        <w:drawing>
          <wp:inline distT="0" distB="0" distL="0" distR="0">
            <wp:extent cx="4678045" cy="3019425"/>
            <wp:effectExtent l="0" t="0" r="8255" b="9525"/>
            <wp:docPr id="1029" name="图片 5"/>
            <wp:cNvGraphicFramePr/>
            <a:graphic xmlns:a="http://schemas.openxmlformats.org/drawingml/2006/main">
              <a:graphicData uri="http://schemas.openxmlformats.org/drawingml/2006/picture">
                <pic:pic xmlns:pic="http://schemas.openxmlformats.org/drawingml/2006/picture">
                  <pic:nvPicPr>
                    <pic:cNvPr id="1029" name="图片 5"/>
                    <pic:cNvPicPr/>
                  </pic:nvPicPr>
                  <pic:blipFill>
                    <a:blip r:embed="rId13" cstate="print"/>
                    <a:srcRect/>
                    <a:stretch>
                      <a:fillRect/>
                    </a:stretch>
                  </pic:blipFill>
                  <pic:spPr>
                    <a:xfrm>
                      <a:off x="0" y="0"/>
                      <a:ext cx="4678045" cy="3019425"/>
                    </a:xfrm>
                    <a:prstGeom prst="rect">
                      <a:avLst/>
                    </a:prstGeom>
                    <a:ln>
                      <a:noFill/>
                    </a:ln>
                  </pic:spPr>
                </pic:pic>
              </a:graphicData>
            </a:graphic>
          </wp:inline>
        </w:drawing>
      </w:r>
    </w:p>
    <w:p w14:paraId="34D8FC09">
      <w:pPr>
        <w:spacing w:line="360" w:lineRule="auto"/>
        <w:jc w:val="center"/>
        <w:rPr>
          <w:rFonts w:eastAsia="楷体"/>
          <w:color w:val="000000"/>
          <w:sz w:val="24"/>
        </w:rPr>
      </w:pPr>
      <w:r>
        <w:rPr>
          <w:rFonts w:hint="eastAsia" w:eastAsia="楷体"/>
          <w:color w:val="000000"/>
          <w:sz w:val="24"/>
        </w:rPr>
        <w:t>图3</w:t>
      </w:r>
      <w:r>
        <w:rPr>
          <w:rFonts w:eastAsia="楷体"/>
          <w:color w:val="000000"/>
          <w:sz w:val="24"/>
        </w:rPr>
        <w:t xml:space="preserve"> </w:t>
      </w:r>
      <w:r>
        <w:rPr>
          <w:rFonts w:hint="eastAsia" w:eastAsia="楷体"/>
          <w:color w:val="000000"/>
          <w:sz w:val="24"/>
        </w:rPr>
        <w:t>山东省既有铁路布局示意图</w:t>
      </w:r>
    </w:p>
    <w:p w14:paraId="6437626F">
      <w:pPr>
        <w:spacing w:line="360" w:lineRule="auto"/>
        <w:ind w:firstLine="640" w:firstLineChars="200"/>
        <w:rPr>
          <w:color w:val="000000"/>
          <w:sz w:val="32"/>
          <w:szCs w:val="32"/>
        </w:rPr>
      </w:pPr>
      <w:r>
        <w:rPr>
          <w:rFonts w:hint="eastAsia"/>
          <w:color w:val="000000"/>
          <w:sz w:val="32"/>
          <w:szCs w:val="32"/>
        </w:rPr>
        <w:t>水运方面，我省拥有超过3个4亿吨大港，全国唯一。全省形成了主次分明的地区性重要港口发展格局，各地港口服务水平和服务能力大大增强，对青岛、烟台、日照三港形成了重要补充。</w:t>
      </w:r>
    </w:p>
    <w:p w14:paraId="53665371">
      <w:pPr>
        <w:rPr>
          <w:color w:val="000000"/>
          <w:kern w:val="0"/>
          <w:sz w:val="24"/>
        </w:rPr>
      </w:pPr>
      <w:r>
        <w:rPr>
          <w:color w:val="000000"/>
        </w:rPr>
        <w:drawing>
          <wp:anchor distT="0" distB="0" distL="0" distR="0" simplePos="0" relativeHeight="251659264" behindDoc="0" locked="0" layoutInCell="1" allowOverlap="1">
            <wp:simplePos x="0" y="0"/>
            <wp:positionH relativeFrom="margin">
              <wp:align>left</wp:align>
            </wp:positionH>
            <wp:positionV relativeFrom="paragraph">
              <wp:posOffset>41910</wp:posOffset>
            </wp:positionV>
            <wp:extent cx="5103495" cy="3317240"/>
            <wp:effectExtent l="0" t="0" r="1905" b="0"/>
            <wp:wrapTopAndBottom/>
            <wp:docPr id="1030" name="图片 7"/>
            <wp:cNvGraphicFramePr/>
            <a:graphic xmlns:a="http://schemas.openxmlformats.org/drawingml/2006/main">
              <a:graphicData uri="http://schemas.openxmlformats.org/drawingml/2006/picture">
                <pic:pic xmlns:pic="http://schemas.openxmlformats.org/drawingml/2006/picture">
                  <pic:nvPicPr>
                    <pic:cNvPr id="1030" name="图片 7"/>
                    <pic:cNvPicPr/>
                  </pic:nvPicPr>
                  <pic:blipFill>
                    <a:blip r:embed="rId14" cstate="print"/>
                    <a:srcRect/>
                    <a:stretch>
                      <a:fillRect/>
                    </a:stretch>
                  </pic:blipFill>
                  <pic:spPr>
                    <a:xfrm>
                      <a:off x="0" y="0"/>
                      <a:ext cx="5103495" cy="3317240"/>
                    </a:xfrm>
                    <a:prstGeom prst="rect">
                      <a:avLst/>
                    </a:prstGeom>
                    <a:ln>
                      <a:noFill/>
                    </a:ln>
                  </pic:spPr>
                </pic:pic>
              </a:graphicData>
            </a:graphic>
          </wp:anchor>
        </w:drawing>
      </w:r>
    </w:p>
    <w:p w14:paraId="60F4A59F">
      <w:pPr>
        <w:spacing w:line="360" w:lineRule="auto"/>
        <w:jc w:val="center"/>
        <w:rPr>
          <w:rFonts w:eastAsia="楷体"/>
          <w:color w:val="000000"/>
          <w:sz w:val="24"/>
        </w:rPr>
      </w:pPr>
      <w:r>
        <w:rPr>
          <w:rFonts w:hint="eastAsia" w:eastAsia="楷体"/>
          <w:color w:val="000000"/>
          <w:sz w:val="24"/>
        </w:rPr>
        <w:t>图4</w:t>
      </w:r>
      <w:r>
        <w:rPr>
          <w:rFonts w:eastAsia="楷体"/>
          <w:color w:val="000000"/>
          <w:sz w:val="24"/>
        </w:rPr>
        <w:t xml:space="preserve"> </w:t>
      </w:r>
      <w:r>
        <w:rPr>
          <w:rFonts w:hint="eastAsia" w:eastAsia="楷体"/>
          <w:color w:val="000000"/>
          <w:sz w:val="24"/>
        </w:rPr>
        <w:t>山东省沿海与内河港口现状布局示意图</w:t>
      </w:r>
    </w:p>
    <w:p w14:paraId="2CFE11CB">
      <w:pPr>
        <w:spacing w:line="360" w:lineRule="auto"/>
        <w:ind w:firstLine="640" w:firstLineChars="200"/>
        <w:rPr>
          <w:color w:val="000000"/>
          <w:sz w:val="32"/>
          <w:szCs w:val="32"/>
        </w:rPr>
      </w:pPr>
      <w:r>
        <w:rPr>
          <w:rFonts w:hint="eastAsia"/>
          <w:color w:val="000000"/>
          <w:sz w:val="32"/>
          <w:szCs w:val="32"/>
        </w:rPr>
        <w:t>航空方面，我省运输机场数量位列全国第六，是华东地区运输机场数量最多的省份，密度方面每万平方公里分布0.58个机场，位居全国第8位，有力地支撑了全省民航业发展。</w:t>
      </w:r>
    </w:p>
    <w:p w14:paraId="232D8F22">
      <w:pPr>
        <w:jc w:val="center"/>
        <w:rPr>
          <w:color w:val="000000"/>
          <w:kern w:val="0"/>
          <w:sz w:val="24"/>
        </w:rPr>
      </w:pPr>
      <w:r>
        <w:rPr>
          <w:color w:val="000000"/>
        </w:rPr>
        <w:drawing>
          <wp:inline distT="0" distB="0" distL="0" distR="0">
            <wp:extent cx="5018405" cy="3284855"/>
            <wp:effectExtent l="0" t="0" r="0" b="0"/>
            <wp:docPr id="1031" name="图片 4"/>
            <wp:cNvGraphicFramePr/>
            <a:graphic xmlns:a="http://schemas.openxmlformats.org/drawingml/2006/main">
              <a:graphicData uri="http://schemas.openxmlformats.org/drawingml/2006/picture">
                <pic:pic xmlns:pic="http://schemas.openxmlformats.org/drawingml/2006/picture">
                  <pic:nvPicPr>
                    <pic:cNvPr id="1031" name="图片 4"/>
                    <pic:cNvPicPr/>
                  </pic:nvPicPr>
                  <pic:blipFill>
                    <a:blip r:embed="rId15" cstate="print"/>
                    <a:srcRect/>
                    <a:stretch>
                      <a:fillRect/>
                    </a:stretch>
                  </pic:blipFill>
                  <pic:spPr>
                    <a:xfrm>
                      <a:off x="0" y="0"/>
                      <a:ext cx="5018405" cy="3285489"/>
                    </a:xfrm>
                    <a:prstGeom prst="rect">
                      <a:avLst/>
                    </a:prstGeom>
                    <a:ln>
                      <a:noFill/>
                    </a:ln>
                  </pic:spPr>
                </pic:pic>
              </a:graphicData>
            </a:graphic>
          </wp:inline>
        </w:drawing>
      </w:r>
    </w:p>
    <w:p w14:paraId="42AFE89E">
      <w:pPr>
        <w:spacing w:line="360" w:lineRule="auto"/>
        <w:jc w:val="center"/>
        <w:rPr>
          <w:rFonts w:eastAsia="楷体"/>
          <w:color w:val="000000"/>
          <w:sz w:val="24"/>
        </w:rPr>
      </w:pPr>
      <w:r>
        <w:rPr>
          <w:rFonts w:hint="eastAsia" w:eastAsia="楷体"/>
          <w:color w:val="000000"/>
          <w:sz w:val="24"/>
        </w:rPr>
        <w:t>图5</w:t>
      </w:r>
      <w:r>
        <w:rPr>
          <w:rFonts w:eastAsia="楷体"/>
          <w:color w:val="000000"/>
          <w:sz w:val="24"/>
        </w:rPr>
        <w:t xml:space="preserve"> 山东省</w:t>
      </w:r>
      <w:r>
        <w:rPr>
          <w:rFonts w:hint="eastAsia" w:eastAsia="楷体"/>
          <w:color w:val="000000"/>
          <w:sz w:val="24"/>
        </w:rPr>
        <w:t>民航机场现状</w:t>
      </w:r>
      <w:r>
        <w:rPr>
          <w:rFonts w:eastAsia="楷体"/>
          <w:color w:val="000000"/>
          <w:sz w:val="24"/>
        </w:rPr>
        <w:t>布局示意图</w:t>
      </w:r>
    </w:p>
    <w:p w14:paraId="730BCA0C">
      <w:pPr>
        <w:spacing w:line="360" w:lineRule="auto"/>
        <w:ind w:firstLine="640" w:firstLineChars="200"/>
        <w:rPr>
          <w:color w:val="000000"/>
          <w:sz w:val="32"/>
          <w:szCs w:val="32"/>
        </w:rPr>
      </w:pPr>
      <w:r>
        <w:rPr>
          <w:rFonts w:hint="eastAsia"/>
          <w:color w:val="000000"/>
          <w:sz w:val="32"/>
          <w:szCs w:val="32"/>
        </w:rPr>
        <w:t>省委、省政府历来重视交通基础设施建设，经过多年的发展与建设，我省已具备了由量的积累转向质的提升的物质基础。交通运输发展虽已获得重大成就，但对照新时代建设交通强国的新要求，我省综合交通仍存在网络布局不够密、标准等级不够高、交通衔接不够紧、城市交通不够畅等方面的问题。主要表现在交通网络布局亟需完善，双向六车道及以上高速公路占比远低于江苏、广东等省份的水平，港口基础设施存量优化、改造提升进展滞后，民用航空对外联通能力不足，铁路、公路、水路、民航相互之间衔接不够紧密，距离客运“零距离换乘”、货运无缝衔接的目标差距较大。为响应省委、省政府优化提升综合交通网络布局、建设交通强省的战略部署，现对乳山市交通运输设施规模作出如下规划：</w:t>
      </w:r>
    </w:p>
    <w:p w14:paraId="0CA27896">
      <w:pPr>
        <w:spacing w:line="360" w:lineRule="auto"/>
        <w:ind w:firstLine="640" w:firstLineChars="200"/>
        <w:rPr>
          <w:color w:val="000000"/>
          <w:sz w:val="32"/>
          <w:szCs w:val="32"/>
        </w:rPr>
      </w:pPr>
      <w:r>
        <w:rPr>
          <w:color w:val="000000"/>
          <w:sz w:val="32"/>
          <w:szCs w:val="32"/>
        </w:rPr>
        <w:t>——</w:t>
      </w:r>
      <w:r>
        <w:rPr>
          <w:rFonts w:hint="eastAsia"/>
          <w:color w:val="000000"/>
          <w:sz w:val="32"/>
          <w:szCs w:val="32"/>
        </w:rPr>
        <w:t>公路：改造县乡路里程1</w:t>
      </w:r>
      <w:r>
        <w:rPr>
          <w:color w:val="000000"/>
          <w:sz w:val="32"/>
          <w:szCs w:val="32"/>
        </w:rPr>
        <w:t>20.619</w:t>
      </w:r>
      <w:r>
        <w:rPr>
          <w:rFonts w:hint="eastAsia"/>
          <w:color w:val="000000"/>
          <w:sz w:val="32"/>
          <w:szCs w:val="32"/>
        </w:rPr>
        <w:t>公里，建设战备公路1</w:t>
      </w:r>
      <w:r>
        <w:rPr>
          <w:color w:val="000000"/>
          <w:sz w:val="32"/>
          <w:szCs w:val="32"/>
        </w:rPr>
        <w:t>7</w:t>
      </w:r>
      <w:r>
        <w:rPr>
          <w:rFonts w:hint="eastAsia"/>
          <w:color w:val="000000"/>
          <w:sz w:val="32"/>
          <w:szCs w:val="32"/>
        </w:rPr>
        <w:t>公里，建设文莱高速连接线3</w:t>
      </w:r>
      <w:r>
        <w:rPr>
          <w:color w:val="000000"/>
          <w:sz w:val="32"/>
          <w:szCs w:val="32"/>
        </w:rPr>
        <w:t>.797</w:t>
      </w:r>
      <w:r>
        <w:rPr>
          <w:rFonts w:hint="eastAsia"/>
          <w:color w:val="000000"/>
          <w:sz w:val="32"/>
          <w:szCs w:val="32"/>
        </w:rPr>
        <w:t>公里。</w:t>
      </w:r>
    </w:p>
    <w:p w14:paraId="22D75D2B">
      <w:pPr>
        <w:spacing w:line="360" w:lineRule="auto"/>
        <w:ind w:firstLine="640" w:firstLineChars="200"/>
        <w:rPr>
          <w:color w:val="000000"/>
          <w:sz w:val="32"/>
          <w:szCs w:val="32"/>
        </w:rPr>
      </w:pPr>
      <w:r>
        <w:rPr>
          <w:color w:val="000000"/>
          <w:sz w:val="32"/>
          <w:szCs w:val="32"/>
        </w:rPr>
        <w:t>——</w:t>
      </w:r>
      <w:r>
        <w:rPr>
          <w:rFonts w:hint="eastAsia"/>
          <w:color w:val="000000"/>
          <w:sz w:val="32"/>
          <w:szCs w:val="32"/>
        </w:rPr>
        <w:t>港口：建设</w:t>
      </w:r>
      <w:r>
        <w:rPr>
          <w:color w:val="000000"/>
          <w:sz w:val="32"/>
          <w:szCs w:val="32"/>
        </w:rPr>
        <w:t>2</w:t>
      </w:r>
      <w:r>
        <w:rPr>
          <w:rFonts w:hint="eastAsia"/>
          <w:color w:val="000000"/>
          <w:sz w:val="32"/>
          <w:szCs w:val="32"/>
        </w:rPr>
        <w:t>个2万吨级多用途泊位，码头岸线长4</w:t>
      </w:r>
      <w:r>
        <w:rPr>
          <w:color w:val="000000"/>
          <w:sz w:val="32"/>
          <w:szCs w:val="32"/>
        </w:rPr>
        <w:t>20</w:t>
      </w:r>
      <w:r>
        <w:rPr>
          <w:rFonts w:hint="eastAsia"/>
          <w:color w:val="000000"/>
          <w:sz w:val="32"/>
          <w:szCs w:val="32"/>
        </w:rPr>
        <w:t>米。对陆岛交通码头进行升级扩建。</w:t>
      </w:r>
    </w:p>
    <w:p w14:paraId="52DEFBAC">
      <w:pPr>
        <w:spacing w:line="360" w:lineRule="auto"/>
        <w:ind w:firstLine="640" w:firstLineChars="200"/>
        <w:rPr>
          <w:color w:val="000000"/>
          <w:sz w:val="32"/>
          <w:szCs w:val="32"/>
        </w:rPr>
      </w:pPr>
      <w:r>
        <w:rPr>
          <w:color w:val="000000"/>
          <w:sz w:val="32"/>
          <w:szCs w:val="32"/>
        </w:rPr>
        <w:t>——</w:t>
      </w:r>
      <w:r>
        <w:rPr>
          <w:rFonts w:hint="eastAsia"/>
          <w:color w:val="000000"/>
          <w:sz w:val="32"/>
          <w:szCs w:val="32"/>
        </w:rPr>
        <w:t>铁路：建设荣莱高铁乳山段。</w:t>
      </w:r>
    </w:p>
    <w:p w14:paraId="41B171F1">
      <w:pPr>
        <w:spacing w:line="360" w:lineRule="auto"/>
        <w:ind w:firstLine="640" w:firstLineChars="200"/>
        <w:rPr>
          <w:color w:val="000000"/>
          <w:sz w:val="32"/>
          <w:szCs w:val="32"/>
        </w:rPr>
      </w:pPr>
      <w:r>
        <w:rPr>
          <w:color w:val="000000"/>
          <w:sz w:val="32"/>
          <w:szCs w:val="32"/>
        </w:rPr>
        <w:t>——</w:t>
      </w:r>
      <w:r>
        <w:rPr>
          <w:rFonts w:hint="eastAsia"/>
          <w:color w:val="000000"/>
          <w:sz w:val="32"/>
          <w:szCs w:val="32"/>
        </w:rPr>
        <w:t>航空：建设一处通用机场。</w:t>
      </w:r>
    </w:p>
    <w:p w14:paraId="0D242728">
      <w:pPr>
        <w:spacing w:line="360" w:lineRule="auto"/>
        <w:ind w:firstLine="640" w:firstLineChars="200"/>
        <w:rPr>
          <w:color w:val="000000"/>
          <w:sz w:val="32"/>
          <w:szCs w:val="32"/>
        </w:rPr>
      </w:pPr>
      <w:r>
        <w:rPr>
          <w:color w:val="000000"/>
          <w:sz w:val="32"/>
          <w:szCs w:val="32"/>
        </w:rPr>
        <w:t>——</w:t>
      </w:r>
      <w:r>
        <w:rPr>
          <w:rFonts w:hint="eastAsia"/>
          <w:color w:val="000000"/>
          <w:sz w:val="32"/>
          <w:szCs w:val="32"/>
        </w:rPr>
        <w:t>综合客运枢纽：建设高铁换乘枢纽站和乳山市交通综合枢纽站。</w:t>
      </w:r>
    </w:p>
    <w:p w14:paraId="13C4E68F">
      <w:pPr>
        <w:pStyle w:val="21"/>
        <w:rPr>
          <w:color w:val="000000"/>
          <w:sz w:val="32"/>
        </w:rPr>
      </w:pPr>
      <w:bookmarkStart w:id="25" w:name="_Toc89371370"/>
      <w:r>
        <w:rPr>
          <w:rFonts w:hint="eastAsia"/>
          <w:color w:val="000000"/>
          <w:sz w:val="32"/>
        </w:rPr>
        <w:t>2</w:t>
      </w:r>
      <w:r>
        <w:rPr>
          <w:color w:val="000000"/>
          <w:sz w:val="32"/>
        </w:rPr>
        <w:t>.</w:t>
      </w:r>
      <w:r>
        <w:rPr>
          <w:rFonts w:hint="eastAsia"/>
          <w:color w:val="000000"/>
          <w:sz w:val="32"/>
        </w:rPr>
        <w:t>网络覆盖</w:t>
      </w:r>
      <w:bookmarkEnd w:id="25"/>
    </w:p>
    <w:p w14:paraId="66CA5CBF">
      <w:pPr>
        <w:spacing w:line="360" w:lineRule="auto"/>
        <w:ind w:firstLine="640" w:firstLineChars="200"/>
        <w:rPr>
          <w:color w:val="000000"/>
          <w:sz w:val="32"/>
          <w:szCs w:val="32"/>
        </w:rPr>
      </w:pPr>
      <w:r>
        <w:rPr>
          <w:color w:val="000000"/>
          <w:sz w:val="32"/>
          <w:szCs w:val="32"/>
        </w:rPr>
        <w:t>——</w:t>
      </w:r>
      <w:r>
        <w:rPr>
          <w:rFonts w:hint="eastAsia"/>
          <w:color w:val="000000"/>
          <w:sz w:val="32"/>
          <w:szCs w:val="32"/>
        </w:rPr>
        <w:t>农村物流：实现农村物流服务覆盖率达到1</w:t>
      </w:r>
      <w:r>
        <w:rPr>
          <w:color w:val="000000"/>
          <w:sz w:val="32"/>
          <w:szCs w:val="32"/>
        </w:rPr>
        <w:t>00</w:t>
      </w:r>
      <w:r>
        <w:rPr>
          <w:rFonts w:hint="eastAsia"/>
          <w:color w:val="000000"/>
          <w:sz w:val="32"/>
          <w:szCs w:val="32"/>
        </w:rPr>
        <w:t>%。</w:t>
      </w:r>
    </w:p>
    <w:p w14:paraId="589D11E1">
      <w:pPr>
        <w:spacing w:line="360" w:lineRule="auto"/>
        <w:ind w:firstLine="640" w:firstLineChars="200"/>
        <w:rPr>
          <w:color w:val="000000"/>
          <w:sz w:val="32"/>
          <w:szCs w:val="32"/>
        </w:rPr>
      </w:pPr>
      <w:r>
        <w:rPr>
          <w:color w:val="000000"/>
          <w:sz w:val="32"/>
          <w:szCs w:val="32"/>
        </w:rPr>
        <w:t>——</w:t>
      </w:r>
      <w:r>
        <w:rPr>
          <w:rFonts w:hint="eastAsia"/>
          <w:color w:val="000000"/>
          <w:sz w:val="32"/>
          <w:szCs w:val="32"/>
        </w:rPr>
        <w:t>中心城区公交站点500米覆盖率达到</w:t>
      </w:r>
      <w:r>
        <w:rPr>
          <w:color w:val="000000"/>
          <w:sz w:val="32"/>
          <w:szCs w:val="32"/>
        </w:rPr>
        <w:t>100</w:t>
      </w:r>
      <w:r>
        <w:rPr>
          <w:rFonts w:hint="eastAsia"/>
          <w:color w:val="000000"/>
          <w:sz w:val="32"/>
          <w:szCs w:val="32"/>
        </w:rPr>
        <w:t>%。</w:t>
      </w:r>
    </w:p>
    <w:p w14:paraId="0A61FBEE">
      <w:pPr>
        <w:pStyle w:val="21"/>
        <w:rPr>
          <w:color w:val="000000"/>
          <w:sz w:val="32"/>
        </w:rPr>
      </w:pPr>
      <w:bookmarkStart w:id="26" w:name="_Toc89371371"/>
      <w:r>
        <w:rPr>
          <w:rFonts w:hint="eastAsia"/>
          <w:color w:val="000000"/>
          <w:sz w:val="32"/>
        </w:rPr>
        <w:t>3</w:t>
      </w:r>
      <w:r>
        <w:rPr>
          <w:color w:val="000000"/>
          <w:sz w:val="32"/>
        </w:rPr>
        <w:t>.</w:t>
      </w:r>
      <w:r>
        <w:rPr>
          <w:rFonts w:hint="eastAsia"/>
          <w:color w:val="000000"/>
          <w:sz w:val="32"/>
        </w:rPr>
        <w:t>设施结构</w:t>
      </w:r>
      <w:bookmarkEnd w:id="26"/>
    </w:p>
    <w:p w14:paraId="636F9C22">
      <w:pPr>
        <w:spacing w:line="360" w:lineRule="auto"/>
        <w:ind w:firstLine="640" w:firstLineChars="200"/>
        <w:rPr>
          <w:color w:val="000000"/>
          <w:sz w:val="32"/>
          <w:szCs w:val="32"/>
        </w:rPr>
      </w:pPr>
      <w:r>
        <w:rPr>
          <w:color w:val="000000"/>
          <w:sz w:val="32"/>
          <w:szCs w:val="32"/>
        </w:rPr>
        <w:t>——</w:t>
      </w:r>
      <w:r>
        <w:rPr>
          <w:rFonts w:hint="eastAsia"/>
          <w:color w:val="000000"/>
          <w:sz w:val="32"/>
          <w:szCs w:val="32"/>
        </w:rPr>
        <w:t>农村公路县乡道三级及以上占比逐年提升，危桥数量逐年下降。</w:t>
      </w:r>
    </w:p>
    <w:p w14:paraId="3914C3A9">
      <w:pPr>
        <w:spacing w:line="360" w:lineRule="auto"/>
        <w:ind w:firstLine="640" w:firstLineChars="200"/>
        <w:rPr>
          <w:color w:val="000000"/>
          <w:sz w:val="32"/>
          <w:szCs w:val="32"/>
        </w:rPr>
      </w:pPr>
      <w:r>
        <w:rPr>
          <w:color w:val="000000"/>
          <w:sz w:val="32"/>
          <w:szCs w:val="32"/>
        </w:rPr>
        <w:t>——</w:t>
      </w:r>
      <w:r>
        <w:rPr>
          <w:rFonts w:hint="eastAsia"/>
          <w:color w:val="000000"/>
          <w:sz w:val="32"/>
          <w:szCs w:val="32"/>
        </w:rPr>
        <w:t>新建沿海港口万吨级以上泊位2个。</w:t>
      </w:r>
    </w:p>
    <w:p w14:paraId="4499EAE2">
      <w:pPr>
        <w:pStyle w:val="21"/>
        <w:rPr>
          <w:color w:val="000000"/>
          <w:sz w:val="32"/>
        </w:rPr>
      </w:pPr>
      <w:bookmarkStart w:id="27" w:name="_Toc89371372"/>
      <w:r>
        <w:rPr>
          <w:rFonts w:hint="eastAsia"/>
          <w:color w:val="000000"/>
          <w:sz w:val="32"/>
        </w:rPr>
        <w:t>4</w:t>
      </w:r>
      <w:r>
        <w:rPr>
          <w:color w:val="000000"/>
          <w:sz w:val="32"/>
        </w:rPr>
        <w:t>.</w:t>
      </w:r>
      <w:r>
        <w:rPr>
          <w:rFonts w:hint="eastAsia"/>
          <w:color w:val="000000"/>
          <w:sz w:val="32"/>
        </w:rPr>
        <w:t>管理养护</w:t>
      </w:r>
      <w:bookmarkEnd w:id="27"/>
    </w:p>
    <w:p w14:paraId="44B31F76">
      <w:pPr>
        <w:spacing w:line="360" w:lineRule="auto"/>
        <w:ind w:firstLine="640" w:firstLineChars="200"/>
        <w:rPr>
          <w:color w:val="000000"/>
          <w:sz w:val="32"/>
          <w:szCs w:val="32"/>
        </w:rPr>
      </w:pPr>
      <w:r>
        <w:rPr>
          <w:rFonts w:hint="eastAsia"/>
          <w:color w:val="000000"/>
          <w:sz w:val="32"/>
          <w:szCs w:val="32"/>
        </w:rPr>
        <w:t>提升公路基础设施的建养品质。按照全寿命周期管理要求，在精益建造的基础上落实精准管理与精细养护，推动公路基础设施建设向长寿命、标准化方向发展。重视公路交通基础设施逐步老化的趋势，提高公路交通基础设施养护质量，延长使用寿命。</w:t>
      </w:r>
    </w:p>
    <w:p w14:paraId="46B435D8">
      <w:pPr>
        <w:spacing w:line="360" w:lineRule="auto"/>
        <w:ind w:firstLine="640" w:firstLineChars="200"/>
        <w:rPr>
          <w:color w:val="000000"/>
          <w:sz w:val="32"/>
          <w:szCs w:val="32"/>
        </w:rPr>
      </w:pPr>
      <w:r>
        <w:rPr>
          <w:color w:val="000000"/>
          <w:sz w:val="32"/>
          <w:szCs w:val="32"/>
        </w:rPr>
        <w:t>——</w:t>
      </w:r>
      <w:r>
        <w:rPr>
          <w:rFonts w:hint="eastAsia"/>
          <w:color w:val="000000"/>
          <w:sz w:val="32"/>
          <w:szCs w:val="32"/>
        </w:rPr>
        <w:t>公路安全生命防护工程：在完成全面隐患排查基础上，优化提升生命防护工程体系质量，逐步完善农村公路的交通安全设施及标志标线设置，</w:t>
      </w:r>
      <w:r>
        <w:rPr>
          <w:color w:val="000000"/>
          <w:sz w:val="32"/>
          <w:szCs w:val="32"/>
        </w:rPr>
        <w:t>实现农村公路交通安全基础设施明显改善、安全防护水平显著提高</w:t>
      </w:r>
      <w:r>
        <w:rPr>
          <w:rFonts w:hint="eastAsia"/>
          <w:color w:val="000000"/>
          <w:sz w:val="32"/>
          <w:szCs w:val="32"/>
        </w:rPr>
        <w:t>、</w:t>
      </w:r>
      <w:r>
        <w:rPr>
          <w:color w:val="000000"/>
          <w:sz w:val="32"/>
          <w:szCs w:val="32"/>
        </w:rPr>
        <w:t>交通安全综合治理能力全面提升。</w:t>
      </w:r>
    </w:p>
    <w:p w14:paraId="2D88B631">
      <w:pPr>
        <w:spacing w:line="360" w:lineRule="auto"/>
        <w:ind w:firstLine="640" w:firstLineChars="200"/>
        <w:rPr>
          <w:color w:val="000000"/>
          <w:sz w:val="32"/>
          <w:szCs w:val="32"/>
        </w:rPr>
      </w:pPr>
      <w:r>
        <w:rPr>
          <w:color w:val="000000"/>
          <w:sz w:val="32"/>
          <w:szCs w:val="32"/>
        </w:rPr>
        <w:t>——</w:t>
      </w:r>
      <w:r>
        <w:rPr>
          <w:rFonts w:hint="eastAsia"/>
          <w:color w:val="000000"/>
          <w:sz w:val="32"/>
          <w:szCs w:val="32"/>
        </w:rPr>
        <w:t>加强农村公路路政管理工程建设：建立健全路长制工作实施方案。完善农村公路法制建设，实施路警联合执法体制，建立非现场执法点。</w:t>
      </w:r>
    </w:p>
    <w:p w14:paraId="1D589557">
      <w:pPr>
        <w:spacing w:line="360" w:lineRule="auto"/>
        <w:ind w:firstLine="640" w:firstLineChars="200"/>
        <w:rPr>
          <w:color w:val="000000"/>
          <w:sz w:val="32"/>
          <w:szCs w:val="32"/>
        </w:rPr>
      </w:pPr>
      <w:r>
        <w:rPr>
          <w:color w:val="000000"/>
          <w:sz w:val="32"/>
          <w:szCs w:val="32"/>
        </w:rPr>
        <w:t>——</w:t>
      </w:r>
      <w:r>
        <w:rPr>
          <w:rFonts w:hint="eastAsia"/>
          <w:color w:val="000000"/>
          <w:sz w:val="32"/>
          <w:szCs w:val="32"/>
        </w:rPr>
        <w:t>农村公路养护规划：按照“节约高效、实事求是、保障水平”原则，遵循“全寿命周期”的养护理念，组织交通运输、财政等部门科学编制区域农村公路养护发展规划，做好农村路网年度养护计划，准确测算确保路网技术状况达到国家规定水平的必要投入。</w:t>
      </w:r>
    </w:p>
    <w:p w14:paraId="33D22798">
      <w:pPr>
        <w:spacing w:line="360" w:lineRule="auto"/>
        <w:ind w:firstLine="640" w:firstLineChars="200"/>
        <w:rPr>
          <w:color w:val="000000"/>
          <w:sz w:val="32"/>
          <w:szCs w:val="32"/>
        </w:rPr>
      </w:pPr>
      <w:r>
        <w:rPr>
          <w:color w:val="000000"/>
          <w:sz w:val="32"/>
          <w:szCs w:val="32"/>
        </w:rPr>
        <w:t>——</w:t>
      </w:r>
      <w:r>
        <w:rPr>
          <w:rFonts w:hint="eastAsia"/>
          <w:color w:val="000000"/>
          <w:sz w:val="32"/>
          <w:szCs w:val="32"/>
        </w:rPr>
        <w:t>农村公路管理养护体制机制：</w:t>
      </w:r>
      <w:r>
        <w:rPr>
          <w:color w:val="000000"/>
          <w:sz w:val="32"/>
          <w:szCs w:val="32"/>
        </w:rPr>
        <w:t>形成财政投入职责明确、社会力量积极参与的格局</w:t>
      </w:r>
      <w:r>
        <w:rPr>
          <w:rFonts w:hint="eastAsia"/>
          <w:color w:val="000000"/>
          <w:sz w:val="32"/>
          <w:szCs w:val="32"/>
        </w:rPr>
        <w:t>。推进农村公路养护常态化，强化养护责任单位及人员交流培训，积极利用“互联网+”等现代化手段，全面提高农村公路信息化、智能化养护水平，实现“有路必养、养必到位”的目标。实现</w:t>
      </w:r>
      <w:r>
        <w:rPr>
          <w:color w:val="000000"/>
          <w:sz w:val="32"/>
          <w:szCs w:val="32"/>
        </w:rPr>
        <w:t>农村公路治理能力明显提高，治理体系初步形成</w:t>
      </w:r>
      <w:r>
        <w:rPr>
          <w:rFonts w:hint="eastAsia"/>
          <w:color w:val="000000"/>
          <w:sz w:val="32"/>
          <w:szCs w:val="32"/>
        </w:rPr>
        <w:t>，</w:t>
      </w:r>
      <w:r>
        <w:rPr>
          <w:color w:val="000000"/>
          <w:sz w:val="32"/>
          <w:szCs w:val="32"/>
        </w:rPr>
        <w:t>农村公路通行条件和路域环境明显提升，交通保障能力显著增强。农村公路</w:t>
      </w:r>
      <w:r>
        <w:rPr>
          <w:rFonts w:hint="eastAsia"/>
          <w:color w:val="000000"/>
          <w:sz w:val="32"/>
          <w:szCs w:val="32"/>
        </w:rPr>
        <w:t>年均养护大、中修工程比例达到7%以上，中等路以上比例不低于75%</w:t>
      </w:r>
      <w:r>
        <w:rPr>
          <w:color w:val="000000"/>
          <w:sz w:val="32"/>
          <w:szCs w:val="32"/>
        </w:rPr>
        <w:t>，列养率达到100%。</w:t>
      </w:r>
    </w:p>
    <w:p w14:paraId="086D99F6">
      <w:pPr>
        <w:spacing w:line="360" w:lineRule="auto"/>
        <w:ind w:firstLine="640" w:firstLineChars="200"/>
        <w:rPr>
          <w:color w:val="000000"/>
          <w:sz w:val="32"/>
          <w:szCs w:val="32"/>
        </w:rPr>
      </w:pPr>
      <w:r>
        <w:rPr>
          <w:color w:val="000000"/>
          <w:sz w:val="32"/>
          <w:szCs w:val="32"/>
        </w:rPr>
        <w:t>——</w:t>
      </w:r>
      <w:r>
        <w:rPr>
          <w:rFonts w:hint="eastAsia"/>
          <w:color w:val="000000"/>
          <w:sz w:val="32"/>
          <w:szCs w:val="32"/>
        </w:rPr>
        <w:t>推广养护创新：牢固树立农村公路绿色养护、生态发展理念，加强与科研院所技术合作，不断创新养护方法，积极推广应用新材料、新技术、新设备，稳妥推进农村公路路面自动化检测、小型通用养护机械研发等工作，探索废旧材料循环利用，及时将成本低、效率高、效果好的养护技术总结上升为地方行业标准，不断完善农村公路建设、养护标准化技术体系，大力提升养护管理质量和资金使用效益。</w:t>
      </w:r>
    </w:p>
    <w:p w14:paraId="0F8AB702">
      <w:pPr>
        <w:pStyle w:val="20"/>
        <w:rPr>
          <w:color w:val="000000"/>
          <w:sz w:val="32"/>
        </w:rPr>
      </w:pPr>
      <w:bookmarkStart w:id="28" w:name="_Toc89371373"/>
      <w:r>
        <w:rPr>
          <w:rFonts w:hint="eastAsia"/>
          <w:color w:val="000000"/>
          <w:sz w:val="32"/>
        </w:rPr>
        <w:t>（二）综合运输服务能力</w:t>
      </w:r>
      <w:bookmarkEnd w:id="28"/>
    </w:p>
    <w:p w14:paraId="3CB57123">
      <w:pPr>
        <w:spacing w:line="360" w:lineRule="auto"/>
        <w:ind w:firstLine="640" w:firstLineChars="200"/>
        <w:rPr>
          <w:color w:val="000000"/>
          <w:sz w:val="32"/>
          <w:szCs w:val="32"/>
        </w:rPr>
      </w:pPr>
      <w:r>
        <w:rPr>
          <w:rFonts w:hint="eastAsia"/>
          <w:color w:val="000000"/>
          <w:sz w:val="32"/>
          <w:szCs w:val="32"/>
        </w:rPr>
        <w:t>从运输能力、运输装备、运输服务着手，提升综合交通运输服务能力。</w:t>
      </w:r>
    </w:p>
    <w:p w14:paraId="6C7BD759">
      <w:pPr>
        <w:pStyle w:val="21"/>
        <w:rPr>
          <w:color w:val="000000"/>
          <w:sz w:val="32"/>
        </w:rPr>
      </w:pPr>
      <w:bookmarkStart w:id="29" w:name="_Toc89371374"/>
      <w:r>
        <w:rPr>
          <w:rFonts w:hint="eastAsia"/>
          <w:color w:val="000000"/>
          <w:sz w:val="32"/>
        </w:rPr>
        <w:t>1</w:t>
      </w:r>
      <w:r>
        <w:rPr>
          <w:color w:val="000000"/>
          <w:sz w:val="32"/>
        </w:rPr>
        <w:t>.</w:t>
      </w:r>
      <w:r>
        <w:rPr>
          <w:rFonts w:hint="eastAsia"/>
          <w:color w:val="000000"/>
          <w:sz w:val="32"/>
        </w:rPr>
        <w:t>运输规模</w:t>
      </w:r>
      <w:bookmarkEnd w:id="29"/>
    </w:p>
    <w:p w14:paraId="54E843AB">
      <w:pPr>
        <w:spacing w:line="360" w:lineRule="auto"/>
        <w:ind w:firstLine="640" w:firstLineChars="200"/>
        <w:rPr>
          <w:color w:val="000000"/>
          <w:sz w:val="32"/>
          <w:szCs w:val="32"/>
        </w:rPr>
      </w:pPr>
      <w:r>
        <w:rPr>
          <w:color w:val="000000"/>
          <w:sz w:val="32"/>
          <w:szCs w:val="32"/>
        </w:rPr>
        <w:t>——</w:t>
      </w:r>
      <w:r>
        <w:rPr>
          <w:rFonts w:hint="eastAsia"/>
          <w:color w:val="000000"/>
          <w:sz w:val="32"/>
          <w:szCs w:val="32"/>
        </w:rPr>
        <w:t>货运方面，沿海港口与铁路物流的服务水平和服务能力大大增强，沿海港口货物吞吐量、集装箱吞吐量稳步提升；铁路物流稳步发展，现代铁路物流运输能力不断提高。</w:t>
      </w:r>
    </w:p>
    <w:p w14:paraId="39F8BF2D">
      <w:pPr>
        <w:spacing w:line="360" w:lineRule="auto"/>
        <w:ind w:firstLine="640" w:firstLineChars="200"/>
        <w:rPr>
          <w:color w:val="000000"/>
          <w:sz w:val="32"/>
          <w:szCs w:val="32"/>
        </w:rPr>
      </w:pPr>
      <w:r>
        <w:rPr>
          <w:color w:val="000000"/>
          <w:sz w:val="32"/>
          <w:szCs w:val="32"/>
        </w:rPr>
        <w:t>——</w:t>
      </w:r>
      <w:r>
        <w:rPr>
          <w:rFonts w:hint="eastAsia"/>
          <w:color w:val="000000"/>
          <w:sz w:val="32"/>
          <w:szCs w:val="32"/>
        </w:rPr>
        <w:t>客运方面，科学制定城乡交通运输一体化发展规划，不断优化城乡客运（公交）线网布局，结合每条线路实际确定运营方式、车型、票价，逐步提升覆盖广度、通达深度。</w:t>
      </w:r>
    </w:p>
    <w:p w14:paraId="742271D8">
      <w:pPr>
        <w:pStyle w:val="21"/>
        <w:rPr>
          <w:bCs w:val="0"/>
          <w:color w:val="000000"/>
          <w:sz w:val="32"/>
        </w:rPr>
      </w:pPr>
      <w:bookmarkStart w:id="30" w:name="_Toc89371375"/>
      <w:r>
        <w:rPr>
          <w:rFonts w:hint="eastAsia"/>
          <w:bCs w:val="0"/>
          <w:color w:val="000000"/>
          <w:sz w:val="32"/>
        </w:rPr>
        <w:t>2.运输装备</w:t>
      </w:r>
      <w:bookmarkEnd w:id="30"/>
    </w:p>
    <w:p w14:paraId="68DA22F7">
      <w:pPr>
        <w:spacing w:line="360" w:lineRule="auto"/>
        <w:ind w:firstLine="640" w:firstLineChars="200"/>
        <w:rPr>
          <w:color w:val="000000"/>
          <w:sz w:val="32"/>
          <w:szCs w:val="32"/>
        </w:rPr>
      </w:pPr>
      <w:r>
        <w:rPr>
          <w:color w:val="000000"/>
          <w:sz w:val="32"/>
          <w:szCs w:val="32"/>
        </w:rPr>
        <w:t>——</w:t>
      </w:r>
      <w:r>
        <w:rPr>
          <w:rFonts w:hint="eastAsia"/>
          <w:color w:val="000000"/>
          <w:sz w:val="32"/>
          <w:szCs w:val="32"/>
        </w:rPr>
        <w:t>补充增加清洁能源及新能源公交车数量，</w:t>
      </w:r>
      <w:r>
        <w:rPr>
          <w:color w:val="000000"/>
          <w:sz w:val="32"/>
          <w:szCs w:val="32"/>
        </w:rPr>
        <w:t>现有的柴油车先作为协调预留车辆，后逐渐淘汰</w:t>
      </w:r>
      <w:r>
        <w:rPr>
          <w:rFonts w:hint="eastAsia"/>
          <w:color w:val="000000"/>
          <w:sz w:val="32"/>
          <w:szCs w:val="32"/>
        </w:rPr>
        <w:t>，保持现有出租车数量。</w:t>
      </w:r>
    </w:p>
    <w:p w14:paraId="06BF7FCC">
      <w:pPr>
        <w:pStyle w:val="21"/>
        <w:rPr>
          <w:bCs w:val="0"/>
          <w:color w:val="000000"/>
          <w:sz w:val="32"/>
        </w:rPr>
      </w:pPr>
      <w:bookmarkStart w:id="31" w:name="_Toc89371376"/>
      <w:r>
        <w:rPr>
          <w:rFonts w:hint="eastAsia"/>
          <w:bCs w:val="0"/>
          <w:color w:val="000000"/>
          <w:sz w:val="32"/>
        </w:rPr>
        <w:t>3.运输服务</w:t>
      </w:r>
      <w:bookmarkEnd w:id="31"/>
    </w:p>
    <w:p w14:paraId="7241867A">
      <w:pPr>
        <w:spacing w:line="360" w:lineRule="auto"/>
        <w:ind w:firstLine="640" w:firstLineChars="200"/>
        <w:rPr>
          <w:color w:val="000000"/>
          <w:sz w:val="32"/>
          <w:szCs w:val="32"/>
        </w:rPr>
      </w:pPr>
      <w:r>
        <w:rPr>
          <w:rFonts w:hint="eastAsia"/>
          <w:color w:val="000000"/>
          <w:sz w:val="32"/>
          <w:szCs w:val="32"/>
        </w:rPr>
        <w:t xml:space="preserve">坚持绿色低碳发展，优化交通出行结构，从增强公共交通竞争力入手，构建符合乳山市城乡空间特征的农村客运体系，发展宜居便行的小城镇客运，推进城镇客运班线公交化运营，推进城乡交通一体化，提升公共服务均等化水平。 </w:t>
      </w:r>
    </w:p>
    <w:p w14:paraId="0AB5D213">
      <w:pPr>
        <w:spacing w:line="360" w:lineRule="auto"/>
        <w:ind w:firstLine="640" w:firstLineChars="200"/>
        <w:rPr>
          <w:color w:val="000000"/>
          <w:sz w:val="32"/>
          <w:szCs w:val="32"/>
        </w:rPr>
      </w:pPr>
      <w:r>
        <w:rPr>
          <w:rFonts w:hint="eastAsia"/>
          <w:color w:val="000000"/>
          <w:sz w:val="32"/>
          <w:szCs w:val="32"/>
        </w:rPr>
        <w:t>基本建成体制机制顺畅、结构科学合理、组织集约高效、能力总体适应、技术先进适用、安全保障有力、生态环境友好的农村公路交通服务体系，为老百姓提供安全、便捷、舒适的出行环境。</w:t>
      </w:r>
    </w:p>
    <w:p w14:paraId="5A20845B">
      <w:pPr>
        <w:spacing w:line="360" w:lineRule="auto"/>
        <w:ind w:firstLine="640" w:firstLineChars="200"/>
        <w:rPr>
          <w:color w:val="000000"/>
          <w:sz w:val="32"/>
          <w:szCs w:val="32"/>
        </w:rPr>
      </w:pPr>
      <w:r>
        <w:rPr>
          <w:color w:val="000000"/>
          <w:sz w:val="32"/>
          <w:szCs w:val="32"/>
        </w:rPr>
        <w:t>——</w:t>
      </w:r>
      <w:r>
        <w:rPr>
          <w:rFonts w:hint="eastAsia"/>
          <w:color w:val="000000"/>
          <w:sz w:val="32"/>
          <w:szCs w:val="32"/>
        </w:rPr>
        <w:t>提高城乡居民对公交车辆的利用率，平衡出行结构，降低私人交通使用率，减少通勤高峰期交通拥堵和交通事故的发生，将公交分担率提高到</w:t>
      </w:r>
      <w:r>
        <w:rPr>
          <w:color w:val="000000"/>
          <w:sz w:val="32"/>
          <w:szCs w:val="32"/>
        </w:rPr>
        <w:t>15%</w:t>
      </w:r>
      <w:r>
        <w:rPr>
          <w:rFonts w:hint="eastAsia"/>
          <w:color w:val="000000"/>
          <w:sz w:val="32"/>
          <w:szCs w:val="32"/>
        </w:rPr>
        <w:t>。</w:t>
      </w:r>
    </w:p>
    <w:p w14:paraId="5037A8F0">
      <w:pPr>
        <w:spacing w:line="360" w:lineRule="auto"/>
        <w:ind w:firstLine="640" w:firstLineChars="200"/>
        <w:rPr>
          <w:color w:val="000000"/>
          <w:sz w:val="32"/>
          <w:szCs w:val="32"/>
        </w:rPr>
      </w:pPr>
      <w:r>
        <w:rPr>
          <w:color w:val="000000"/>
          <w:sz w:val="32"/>
          <w:szCs w:val="32"/>
        </w:rPr>
        <w:t>——</w:t>
      </w:r>
      <w:r>
        <w:rPr>
          <w:rFonts w:hint="eastAsia"/>
          <w:color w:val="000000"/>
          <w:sz w:val="32"/>
          <w:szCs w:val="32"/>
        </w:rPr>
        <w:t>城乡客运公交化率达到1</w:t>
      </w:r>
      <w:r>
        <w:rPr>
          <w:color w:val="000000"/>
          <w:sz w:val="32"/>
          <w:szCs w:val="32"/>
        </w:rPr>
        <w:t>00%</w:t>
      </w:r>
      <w:r>
        <w:rPr>
          <w:rFonts w:hint="eastAsia"/>
          <w:color w:val="000000"/>
          <w:sz w:val="32"/>
          <w:szCs w:val="32"/>
        </w:rPr>
        <w:t>，提高现有公交线网密度，提高公交站点覆盖率，方便居民换乘，提高公交吸引力。</w:t>
      </w:r>
    </w:p>
    <w:p w14:paraId="13EEFEA3">
      <w:pPr>
        <w:spacing w:line="360" w:lineRule="auto"/>
        <w:ind w:firstLine="640" w:firstLineChars="200"/>
        <w:rPr>
          <w:color w:val="000000"/>
          <w:sz w:val="32"/>
          <w:szCs w:val="32"/>
        </w:rPr>
      </w:pPr>
      <w:r>
        <w:rPr>
          <w:color w:val="000000"/>
          <w:sz w:val="32"/>
          <w:szCs w:val="32"/>
        </w:rPr>
        <w:t>——</w:t>
      </w:r>
      <w:r>
        <w:rPr>
          <w:rFonts w:hint="eastAsia"/>
          <w:color w:val="000000"/>
          <w:sz w:val="32"/>
          <w:szCs w:val="32"/>
        </w:rPr>
        <w:t>公交车种以灵活机动、周转方便的单机车为主，大、中、小型车辆合理搭配，</w:t>
      </w:r>
      <w:r>
        <w:rPr>
          <w:color w:val="000000"/>
          <w:sz w:val="32"/>
          <w:szCs w:val="32"/>
        </w:rPr>
        <w:t>100%</w:t>
      </w:r>
      <w:r>
        <w:rPr>
          <w:rFonts w:hint="eastAsia"/>
          <w:color w:val="000000"/>
          <w:sz w:val="32"/>
          <w:szCs w:val="32"/>
        </w:rPr>
        <w:t>配置空调车辆，提高公交舒适度，满足多种乘客的乘车需求。</w:t>
      </w:r>
    </w:p>
    <w:p w14:paraId="12315F8D">
      <w:pPr>
        <w:spacing w:line="360" w:lineRule="auto"/>
        <w:ind w:firstLine="640" w:firstLineChars="200"/>
        <w:rPr>
          <w:color w:val="000000"/>
          <w:sz w:val="32"/>
          <w:szCs w:val="32"/>
        </w:rPr>
      </w:pPr>
      <w:r>
        <w:rPr>
          <w:color w:val="000000"/>
          <w:sz w:val="32"/>
          <w:szCs w:val="32"/>
        </w:rPr>
        <w:t>——</w:t>
      </w:r>
      <w:r>
        <w:rPr>
          <w:rFonts w:hint="eastAsia"/>
          <w:color w:val="000000"/>
          <w:sz w:val="32"/>
          <w:szCs w:val="32"/>
        </w:rPr>
        <w:t>站点设置电子站牌，开通手机APP和网站等多种公交查询系统，城乡公交准点率达到9</w:t>
      </w:r>
      <w:r>
        <w:rPr>
          <w:color w:val="000000"/>
          <w:sz w:val="32"/>
          <w:szCs w:val="32"/>
        </w:rPr>
        <w:t>5</w:t>
      </w:r>
      <w:r>
        <w:rPr>
          <w:rFonts w:hint="eastAsia"/>
          <w:color w:val="000000"/>
          <w:sz w:val="32"/>
          <w:szCs w:val="32"/>
        </w:rPr>
        <w:t>%以上。</w:t>
      </w:r>
    </w:p>
    <w:p w14:paraId="06192F18">
      <w:pPr>
        <w:spacing w:line="360" w:lineRule="auto"/>
        <w:ind w:firstLine="640" w:firstLineChars="200"/>
        <w:rPr>
          <w:color w:val="000000"/>
          <w:sz w:val="32"/>
          <w:szCs w:val="32"/>
        </w:rPr>
      </w:pPr>
      <w:r>
        <w:rPr>
          <w:color w:val="000000"/>
          <w:sz w:val="32"/>
          <w:szCs w:val="32"/>
        </w:rPr>
        <w:t>——</w:t>
      </w:r>
      <w:r>
        <w:rPr>
          <w:rFonts w:hint="eastAsia"/>
          <w:color w:val="000000"/>
          <w:sz w:val="32"/>
          <w:szCs w:val="32"/>
        </w:rPr>
        <w:t>推进城乡公交信息化建设，建成乳山市交通信息服务中心，1</w:t>
      </w:r>
      <w:r>
        <w:rPr>
          <w:color w:val="000000"/>
          <w:sz w:val="32"/>
          <w:szCs w:val="32"/>
        </w:rPr>
        <w:t>00</w:t>
      </w:r>
      <w:r>
        <w:rPr>
          <w:rFonts w:hint="eastAsia"/>
          <w:color w:val="000000"/>
          <w:sz w:val="32"/>
          <w:szCs w:val="32"/>
        </w:rPr>
        <w:t>%公交安装GPS和视频监控。</w:t>
      </w:r>
    </w:p>
    <w:p w14:paraId="0FFB4C43">
      <w:pPr>
        <w:spacing w:line="360" w:lineRule="auto"/>
        <w:ind w:firstLine="640" w:firstLineChars="200"/>
        <w:rPr>
          <w:color w:val="000000"/>
          <w:sz w:val="32"/>
          <w:szCs w:val="32"/>
        </w:rPr>
      </w:pPr>
      <w:r>
        <w:rPr>
          <w:color w:val="000000"/>
          <w:sz w:val="32"/>
          <w:szCs w:val="32"/>
        </w:rPr>
        <w:t>——</w:t>
      </w:r>
      <w:r>
        <w:rPr>
          <w:rFonts w:hint="eastAsia"/>
          <w:color w:val="000000"/>
          <w:sz w:val="32"/>
          <w:szCs w:val="32"/>
        </w:rPr>
        <w:t>探索学生班车、周末班车、预约班车等多种服务模式。</w:t>
      </w:r>
    </w:p>
    <w:p w14:paraId="248A1F82">
      <w:pPr>
        <w:spacing w:line="360" w:lineRule="auto"/>
        <w:ind w:firstLine="640" w:firstLineChars="200"/>
        <w:rPr>
          <w:color w:val="000000"/>
          <w:sz w:val="32"/>
          <w:szCs w:val="32"/>
        </w:rPr>
      </w:pPr>
      <w:r>
        <w:rPr>
          <w:color w:val="000000"/>
          <w:sz w:val="32"/>
          <w:szCs w:val="32"/>
        </w:rPr>
        <w:t>——</w:t>
      </w:r>
      <w:r>
        <w:rPr>
          <w:rFonts w:hint="eastAsia"/>
          <w:color w:val="000000"/>
          <w:sz w:val="32"/>
          <w:szCs w:val="32"/>
        </w:rPr>
        <w:t>建制村通邮率达到100%。</w:t>
      </w:r>
    </w:p>
    <w:p w14:paraId="015000E5">
      <w:pPr>
        <w:spacing w:line="360" w:lineRule="auto"/>
        <w:ind w:firstLine="640" w:firstLineChars="200"/>
        <w:rPr>
          <w:color w:val="000000"/>
          <w:sz w:val="32"/>
          <w:szCs w:val="32"/>
        </w:rPr>
      </w:pPr>
      <w:r>
        <w:rPr>
          <w:color w:val="000000"/>
          <w:sz w:val="32"/>
          <w:szCs w:val="32"/>
        </w:rPr>
        <w:t>——</w:t>
      </w:r>
      <w:r>
        <w:rPr>
          <w:rFonts w:hint="eastAsia"/>
          <w:color w:val="000000"/>
          <w:sz w:val="32"/>
          <w:szCs w:val="32"/>
        </w:rPr>
        <w:t>公路客货运部分转移至水运及铁路运输。</w:t>
      </w:r>
    </w:p>
    <w:p w14:paraId="1666F32E">
      <w:pPr>
        <w:pStyle w:val="20"/>
        <w:rPr>
          <w:color w:val="000000"/>
          <w:sz w:val="32"/>
        </w:rPr>
      </w:pPr>
      <w:bookmarkStart w:id="32" w:name="_Toc45563603"/>
      <w:bookmarkStart w:id="33" w:name="_Toc89371377"/>
      <w:r>
        <w:rPr>
          <w:rFonts w:hint="eastAsia"/>
          <w:color w:val="000000"/>
          <w:sz w:val="32"/>
        </w:rPr>
        <w:t>（三）可持续发展能力</w:t>
      </w:r>
      <w:bookmarkEnd w:id="32"/>
      <w:bookmarkEnd w:id="33"/>
    </w:p>
    <w:p w14:paraId="7925B188">
      <w:pPr>
        <w:spacing w:line="360" w:lineRule="auto"/>
        <w:ind w:firstLine="640" w:firstLineChars="200"/>
        <w:rPr>
          <w:color w:val="000000"/>
          <w:sz w:val="32"/>
          <w:szCs w:val="32"/>
        </w:rPr>
      </w:pPr>
      <w:r>
        <w:rPr>
          <w:rFonts w:hint="eastAsia"/>
          <w:color w:val="000000"/>
          <w:sz w:val="32"/>
          <w:szCs w:val="32"/>
        </w:rPr>
        <w:t>从科技信息化、安全应急、绿色环保发力，确保全市交通运输智慧高效、安全、绿色发展。稳步提升绿色交通发展水平，推动绿色交通基础设施建设，推广和应用清洁交通运输装备与设施。推动交通科技创新和成果转化，提升智慧出行的服务水平。</w:t>
      </w:r>
    </w:p>
    <w:p w14:paraId="2A4626E2">
      <w:pPr>
        <w:spacing w:line="360" w:lineRule="auto"/>
        <w:ind w:firstLine="640" w:firstLineChars="200"/>
        <w:rPr>
          <w:color w:val="000000"/>
          <w:sz w:val="32"/>
          <w:szCs w:val="32"/>
        </w:rPr>
      </w:pPr>
      <w:r>
        <w:rPr>
          <w:color w:val="000000"/>
          <w:sz w:val="32"/>
          <w:szCs w:val="32"/>
        </w:rPr>
        <w:t>——利用“互联网+”大力推进</w:t>
      </w:r>
      <w:r>
        <w:rPr>
          <w:rFonts w:hint="eastAsia"/>
          <w:color w:val="000000"/>
          <w:sz w:val="32"/>
          <w:szCs w:val="32"/>
        </w:rPr>
        <w:t>智能</w:t>
      </w:r>
      <w:r>
        <w:rPr>
          <w:color w:val="000000"/>
          <w:sz w:val="32"/>
          <w:szCs w:val="32"/>
        </w:rPr>
        <w:t>运营水平，建立城乡公交车辆智能调度监控系统</w:t>
      </w:r>
      <w:r>
        <w:rPr>
          <w:rFonts w:hint="eastAsia"/>
          <w:color w:val="000000"/>
          <w:sz w:val="32"/>
          <w:szCs w:val="32"/>
        </w:rPr>
        <w:t>。</w:t>
      </w:r>
    </w:p>
    <w:p w14:paraId="58E0ECB8">
      <w:pPr>
        <w:spacing w:line="360" w:lineRule="auto"/>
        <w:ind w:firstLine="640" w:firstLineChars="200"/>
        <w:rPr>
          <w:color w:val="000000"/>
          <w:sz w:val="32"/>
          <w:szCs w:val="32"/>
        </w:rPr>
      </w:pPr>
      <w:r>
        <w:rPr>
          <w:color w:val="000000"/>
          <w:sz w:val="32"/>
          <w:szCs w:val="32"/>
        </w:rPr>
        <w:t>——</w:t>
      </w:r>
      <w:r>
        <w:rPr>
          <w:rFonts w:hint="eastAsia"/>
          <w:color w:val="000000"/>
          <w:sz w:val="32"/>
          <w:szCs w:val="32"/>
        </w:rPr>
        <w:t>综合交通出行信息服务及二级及以上客运站联网售票率达到100%。</w:t>
      </w:r>
    </w:p>
    <w:p w14:paraId="15D7F68A">
      <w:pPr>
        <w:spacing w:line="360" w:lineRule="auto"/>
        <w:ind w:firstLine="640" w:firstLineChars="200"/>
        <w:rPr>
          <w:color w:val="000000"/>
          <w:sz w:val="32"/>
          <w:szCs w:val="32"/>
        </w:rPr>
      </w:pPr>
      <w:r>
        <w:rPr>
          <w:color w:val="000000"/>
          <w:sz w:val="32"/>
          <w:szCs w:val="32"/>
        </w:rPr>
        <w:t>——</w:t>
      </w:r>
      <w:r>
        <w:rPr>
          <w:rFonts w:hint="eastAsia"/>
          <w:color w:val="000000"/>
          <w:sz w:val="32"/>
          <w:szCs w:val="32"/>
        </w:rPr>
        <w:t>提高公交卡的普及率，明确站牌指示信息，方便乘客获取换乘信息以及公交车辆</w:t>
      </w:r>
      <w:r>
        <w:rPr>
          <w:color w:val="000000"/>
          <w:sz w:val="32"/>
          <w:szCs w:val="32"/>
        </w:rPr>
        <w:t>100%</w:t>
      </w:r>
      <w:r>
        <w:rPr>
          <w:rFonts w:hint="eastAsia"/>
          <w:color w:val="000000"/>
          <w:sz w:val="32"/>
          <w:szCs w:val="32"/>
        </w:rPr>
        <w:t>可以使用支付宝微信等电子支付手段。</w:t>
      </w:r>
    </w:p>
    <w:p w14:paraId="0987BAB6">
      <w:pPr>
        <w:spacing w:line="360" w:lineRule="auto"/>
        <w:ind w:firstLine="640" w:firstLineChars="200"/>
        <w:rPr>
          <w:color w:val="000000"/>
          <w:sz w:val="32"/>
          <w:szCs w:val="32"/>
        </w:rPr>
      </w:pPr>
      <w:r>
        <w:rPr>
          <w:color w:val="000000"/>
          <w:sz w:val="32"/>
          <w:szCs w:val="32"/>
        </w:rPr>
        <w:t>——</w:t>
      </w:r>
      <w:r>
        <w:rPr>
          <w:rFonts w:hint="eastAsia"/>
          <w:color w:val="000000"/>
          <w:sz w:val="32"/>
          <w:szCs w:val="32"/>
        </w:rPr>
        <w:t>促进新能源客运车辆使用，制定道路材料环保标准，严禁报废车辆使用。</w:t>
      </w:r>
    </w:p>
    <w:p w14:paraId="5E6BFE9E">
      <w:pPr>
        <w:spacing w:line="360" w:lineRule="auto"/>
        <w:ind w:firstLine="640" w:firstLineChars="200"/>
        <w:rPr>
          <w:color w:val="000000"/>
          <w:sz w:val="32"/>
          <w:szCs w:val="32"/>
        </w:rPr>
      </w:pPr>
      <w:r>
        <w:rPr>
          <w:color w:val="000000"/>
          <w:sz w:val="32"/>
          <w:szCs w:val="32"/>
        </w:rPr>
        <w:t>——</w:t>
      </w:r>
      <w:r>
        <w:rPr>
          <w:rFonts w:hint="eastAsia"/>
          <w:color w:val="000000"/>
          <w:sz w:val="32"/>
          <w:szCs w:val="32"/>
        </w:rPr>
        <w:t>完善新能源产业发展政策，加大新能源汽车在公交车和出租车中推广应用力度。促进清洁能源货运车辆使用。</w:t>
      </w:r>
    </w:p>
    <w:p w14:paraId="7A27647F">
      <w:pPr>
        <w:pStyle w:val="20"/>
        <w:rPr>
          <w:color w:val="FF0000"/>
          <w:sz w:val="32"/>
          <w:szCs w:val="40"/>
        </w:rPr>
      </w:pPr>
      <w:bookmarkStart w:id="34" w:name="_Toc89371378"/>
      <w:r>
        <w:rPr>
          <w:rFonts w:hint="eastAsia"/>
          <w:color w:val="FF0000"/>
          <w:sz w:val="32"/>
          <w:szCs w:val="40"/>
        </w:rPr>
        <w:t>（四）交通数字化能力</w:t>
      </w:r>
      <w:bookmarkEnd w:id="34"/>
    </w:p>
    <w:p w14:paraId="269D4EC6">
      <w:pPr>
        <w:spacing w:line="360" w:lineRule="auto"/>
        <w:ind w:firstLine="640" w:firstLineChars="200"/>
        <w:rPr>
          <w:color w:val="FF0000"/>
          <w:sz w:val="32"/>
          <w:szCs w:val="32"/>
        </w:rPr>
      </w:pPr>
      <w:r>
        <w:rPr>
          <w:rFonts w:hint="eastAsia"/>
          <w:color w:val="FF0000"/>
          <w:sz w:val="32"/>
          <w:szCs w:val="32"/>
        </w:rPr>
        <w:t>1.</w:t>
      </w:r>
      <w:r>
        <w:rPr>
          <w:color w:val="FF0000"/>
          <w:sz w:val="32"/>
          <w:szCs w:val="32"/>
        </w:rPr>
        <w:t xml:space="preserve"> </w:t>
      </w:r>
      <w:r>
        <w:rPr>
          <w:rFonts w:hint="eastAsia"/>
          <w:color w:val="FF0000"/>
          <w:sz w:val="32"/>
          <w:szCs w:val="32"/>
        </w:rPr>
        <w:t>打造综合交通运输数据“赋能中心”</w:t>
      </w:r>
    </w:p>
    <w:p w14:paraId="1C9FE9AB">
      <w:pPr>
        <w:spacing w:line="360" w:lineRule="auto"/>
        <w:ind w:firstLine="640" w:firstLineChars="200"/>
        <w:rPr>
          <w:color w:val="FF0000"/>
          <w:sz w:val="32"/>
          <w:szCs w:val="32"/>
        </w:rPr>
      </w:pPr>
      <w:r>
        <w:rPr>
          <w:rFonts w:hint="eastAsia"/>
          <w:color w:val="FF0000"/>
          <w:sz w:val="32"/>
          <w:szCs w:val="32"/>
        </w:rPr>
        <w:t>（1）完善综合交通运输数据支撑体系。积极参与建立全省交通全要素、多层级的综合交通运输信息资源目录。</w:t>
      </w:r>
    </w:p>
    <w:p w14:paraId="2BAEC157">
      <w:pPr>
        <w:spacing w:line="360" w:lineRule="auto"/>
        <w:ind w:firstLine="640" w:firstLineChars="200"/>
        <w:rPr>
          <w:color w:val="FF0000"/>
          <w:sz w:val="32"/>
          <w:szCs w:val="32"/>
        </w:rPr>
      </w:pPr>
      <w:r>
        <w:rPr>
          <w:rFonts w:hint="eastAsia"/>
          <w:color w:val="FF0000"/>
          <w:sz w:val="32"/>
          <w:szCs w:val="32"/>
        </w:rPr>
        <w:t>（2）推动各业务应用系统共建共用、智能协同和迭代完善。</w:t>
      </w:r>
    </w:p>
    <w:p w14:paraId="6F539A2C">
      <w:pPr>
        <w:spacing w:line="360" w:lineRule="auto"/>
        <w:ind w:firstLine="640" w:firstLineChars="200"/>
        <w:rPr>
          <w:color w:val="FF0000"/>
          <w:sz w:val="32"/>
          <w:szCs w:val="32"/>
        </w:rPr>
      </w:pPr>
      <w:r>
        <w:rPr>
          <w:rFonts w:hint="eastAsia"/>
          <w:color w:val="FF0000"/>
          <w:sz w:val="32"/>
          <w:szCs w:val="32"/>
        </w:rPr>
        <w:t>（3）完善交通运输公共信息资源开放机制，建立公共信息资源开放清单及更新制度。</w:t>
      </w:r>
    </w:p>
    <w:p w14:paraId="22DBF5CC">
      <w:pPr>
        <w:spacing w:line="360" w:lineRule="auto"/>
        <w:ind w:firstLine="640" w:firstLineChars="200"/>
        <w:rPr>
          <w:color w:val="FF0000"/>
          <w:sz w:val="32"/>
          <w:szCs w:val="32"/>
        </w:rPr>
      </w:pPr>
      <w:r>
        <w:rPr>
          <w:rFonts w:hint="eastAsia"/>
          <w:color w:val="FF0000"/>
          <w:sz w:val="32"/>
          <w:szCs w:val="32"/>
        </w:rPr>
        <w:t>2</w:t>
      </w:r>
      <w:r>
        <w:rPr>
          <w:color w:val="FF0000"/>
          <w:sz w:val="32"/>
          <w:szCs w:val="32"/>
        </w:rPr>
        <w:t xml:space="preserve">. </w:t>
      </w:r>
      <w:r>
        <w:rPr>
          <w:rFonts w:hint="eastAsia"/>
          <w:color w:val="FF0000"/>
          <w:sz w:val="32"/>
          <w:szCs w:val="32"/>
        </w:rPr>
        <w:t>推动公众出行服务智慧化</w:t>
      </w:r>
    </w:p>
    <w:p w14:paraId="16E91108">
      <w:pPr>
        <w:spacing w:line="360" w:lineRule="auto"/>
        <w:ind w:firstLine="640" w:firstLineChars="200"/>
        <w:rPr>
          <w:color w:val="FF0000"/>
          <w:sz w:val="32"/>
          <w:szCs w:val="32"/>
        </w:rPr>
      </w:pPr>
      <w:r>
        <w:rPr>
          <w:rFonts w:hint="eastAsia"/>
          <w:color w:val="FF0000"/>
          <w:sz w:val="32"/>
          <w:szCs w:val="32"/>
        </w:rPr>
        <w:t>推进全程服务数字化，推动客运枢纽智能化升级改造，推动城市客运智能化。</w:t>
      </w:r>
    </w:p>
    <w:p w14:paraId="3CFD2600">
      <w:pPr>
        <w:spacing w:line="360" w:lineRule="auto"/>
        <w:ind w:firstLine="640" w:firstLineChars="200"/>
        <w:rPr>
          <w:color w:val="FF0000"/>
          <w:sz w:val="32"/>
          <w:szCs w:val="32"/>
        </w:rPr>
      </w:pPr>
      <w:r>
        <w:rPr>
          <w:rFonts w:hint="eastAsia"/>
          <w:color w:val="FF0000"/>
          <w:sz w:val="32"/>
          <w:szCs w:val="32"/>
        </w:rPr>
        <w:t>3.</w:t>
      </w:r>
      <w:r>
        <w:rPr>
          <w:color w:val="FF0000"/>
          <w:sz w:val="32"/>
          <w:szCs w:val="32"/>
        </w:rPr>
        <w:t xml:space="preserve"> </w:t>
      </w:r>
      <w:r>
        <w:rPr>
          <w:rFonts w:hint="eastAsia"/>
          <w:color w:val="FF0000"/>
          <w:sz w:val="32"/>
          <w:szCs w:val="32"/>
        </w:rPr>
        <w:t>推动货运服务数字化提升</w:t>
      </w:r>
    </w:p>
    <w:p w14:paraId="0D14519F">
      <w:pPr>
        <w:spacing w:line="360" w:lineRule="auto"/>
        <w:ind w:firstLine="640" w:firstLineChars="200"/>
        <w:rPr>
          <w:color w:val="FF0000"/>
          <w:sz w:val="32"/>
          <w:szCs w:val="32"/>
        </w:rPr>
      </w:pPr>
      <w:r>
        <w:rPr>
          <w:rFonts w:hint="eastAsia"/>
          <w:color w:val="FF0000"/>
          <w:sz w:val="32"/>
          <w:szCs w:val="32"/>
        </w:rPr>
        <w:t>加强政策引导，创新智慧物流运营模式，推动“互联网+”高效物流发展，积极参与建设全省“一单到底”的高效多式联运体系。</w:t>
      </w:r>
    </w:p>
    <w:p w14:paraId="28E42C0C">
      <w:pPr>
        <w:pStyle w:val="20"/>
        <w:rPr>
          <w:color w:val="000000"/>
          <w:sz w:val="32"/>
          <w:szCs w:val="40"/>
        </w:rPr>
      </w:pPr>
      <w:bookmarkStart w:id="35" w:name="_Toc45563604"/>
      <w:bookmarkStart w:id="36" w:name="_Toc89371379"/>
      <w:r>
        <w:rPr>
          <w:rFonts w:hint="eastAsia"/>
          <w:color w:val="000000"/>
          <w:sz w:val="32"/>
          <w:szCs w:val="40"/>
        </w:rPr>
        <w:t>（五）行业治理能力</w:t>
      </w:r>
      <w:bookmarkEnd w:id="35"/>
      <w:bookmarkEnd w:id="36"/>
    </w:p>
    <w:p w14:paraId="4030FBC5">
      <w:pPr>
        <w:spacing w:line="360" w:lineRule="auto"/>
        <w:ind w:firstLine="645"/>
        <w:rPr>
          <w:color w:val="000000"/>
          <w:sz w:val="32"/>
          <w:szCs w:val="32"/>
        </w:rPr>
      </w:pPr>
      <w:r>
        <w:rPr>
          <w:rFonts w:hint="eastAsia"/>
          <w:color w:val="000000"/>
          <w:sz w:val="32"/>
          <w:szCs w:val="32"/>
        </w:rPr>
        <w:t>构建一体化的大交通管理体系，在具备构建综合交通运输体制的基础上，组建不同类别的交通运输事业服务中心，加快构建一体化的服务保障体系。同时提升业内人员的综合素质，推动行政执法、行业评价体制的建设，为综合交通运输健康发展提供保障。</w:t>
      </w:r>
    </w:p>
    <w:p w14:paraId="44864D74">
      <w:pPr>
        <w:spacing w:line="360" w:lineRule="auto"/>
        <w:ind w:firstLine="645"/>
        <w:rPr>
          <w:color w:val="000000"/>
          <w:sz w:val="32"/>
          <w:szCs w:val="32"/>
        </w:rPr>
      </w:pPr>
      <w:r>
        <w:rPr>
          <w:color w:val="000000"/>
          <w:sz w:val="32"/>
          <w:szCs w:val="32"/>
        </w:rPr>
        <w:t>——</w:t>
      </w:r>
      <w:r>
        <w:rPr>
          <w:rFonts w:hint="eastAsia"/>
          <w:color w:val="000000"/>
          <w:sz w:val="32"/>
          <w:szCs w:val="32"/>
        </w:rPr>
        <w:t>执法人员文化程度大专以上占比达到98%。</w:t>
      </w:r>
    </w:p>
    <w:p w14:paraId="7AC8C2B5">
      <w:pPr>
        <w:spacing w:line="360" w:lineRule="auto"/>
        <w:ind w:firstLine="645"/>
        <w:rPr>
          <w:color w:val="000000"/>
          <w:sz w:val="32"/>
          <w:szCs w:val="32"/>
        </w:rPr>
      </w:pPr>
      <w:r>
        <w:rPr>
          <w:color w:val="000000"/>
          <w:sz w:val="32"/>
          <w:szCs w:val="32"/>
        </w:rPr>
        <w:t>——</w:t>
      </w:r>
      <w:r>
        <w:rPr>
          <w:rFonts w:hint="eastAsia"/>
          <w:color w:val="000000"/>
          <w:sz w:val="32"/>
          <w:szCs w:val="32"/>
        </w:rPr>
        <w:t>行政执法机构标准化率达到80%。</w:t>
      </w:r>
    </w:p>
    <w:p w14:paraId="7B8BD890">
      <w:pPr>
        <w:spacing w:line="360" w:lineRule="auto"/>
        <w:ind w:firstLine="645"/>
        <w:rPr>
          <w:color w:val="000000"/>
          <w:sz w:val="32"/>
          <w:szCs w:val="32"/>
        </w:rPr>
      </w:pPr>
      <w:r>
        <w:rPr>
          <w:color w:val="000000"/>
          <w:sz w:val="32"/>
          <w:szCs w:val="32"/>
        </w:rPr>
        <w:t>——</w:t>
      </w:r>
      <w:r>
        <w:rPr>
          <w:rFonts w:hint="eastAsia"/>
          <w:color w:val="000000"/>
          <w:sz w:val="32"/>
          <w:szCs w:val="32"/>
        </w:rPr>
        <w:t>公众对交通运输行业满意度达到90%。</w:t>
      </w:r>
    </w:p>
    <w:p w14:paraId="2D9EC5B7">
      <w:pPr>
        <w:spacing w:line="360" w:lineRule="auto"/>
        <w:ind w:firstLine="645"/>
        <w:rPr>
          <w:color w:val="000000"/>
          <w:sz w:val="32"/>
          <w:szCs w:val="32"/>
        </w:rPr>
      </w:pPr>
      <w:r>
        <w:rPr>
          <w:color w:val="000000"/>
          <w:sz w:val="32"/>
          <w:szCs w:val="32"/>
        </w:rPr>
        <w:t>——</w:t>
      </w:r>
      <w:r>
        <w:rPr>
          <w:rFonts w:hint="eastAsia"/>
          <w:color w:val="000000"/>
          <w:sz w:val="32"/>
          <w:szCs w:val="32"/>
        </w:rPr>
        <w:t>营运车辆较大以上等级道路运输行车事故万车死亡人数下降率（平均值与“十三五”相比）达到2</w:t>
      </w:r>
      <w:r>
        <w:rPr>
          <w:color w:val="000000"/>
          <w:sz w:val="32"/>
          <w:szCs w:val="32"/>
        </w:rPr>
        <w:t>0%</w:t>
      </w:r>
      <w:r>
        <w:rPr>
          <w:rFonts w:hint="eastAsia"/>
          <w:color w:val="000000"/>
          <w:sz w:val="32"/>
          <w:szCs w:val="32"/>
        </w:rPr>
        <w:t>。</w:t>
      </w:r>
    </w:p>
    <w:p w14:paraId="4FBCCAF2">
      <w:pPr>
        <w:spacing w:line="360" w:lineRule="auto"/>
        <w:ind w:firstLine="645"/>
        <w:rPr>
          <w:color w:val="000000"/>
          <w:sz w:val="32"/>
          <w:szCs w:val="32"/>
        </w:rPr>
      </w:pPr>
      <w:r>
        <w:rPr>
          <w:color w:val="000000"/>
          <w:sz w:val="32"/>
          <w:szCs w:val="32"/>
        </w:rPr>
        <w:t>——</w:t>
      </w:r>
      <w:r>
        <w:rPr>
          <w:rFonts w:hint="eastAsia"/>
          <w:color w:val="000000"/>
          <w:sz w:val="32"/>
          <w:szCs w:val="32"/>
        </w:rPr>
        <w:t>新增和更新出租车清洁能源及新能源占比达到8</w:t>
      </w:r>
      <w:r>
        <w:rPr>
          <w:color w:val="000000"/>
          <w:sz w:val="32"/>
          <w:szCs w:val="32"/>
        </w:rPr>
        <w:t>0%</w:t>
      </w:r>
      <w:r>
        <w:rPr>
          <w:rFonts w:hint="eastAsia"/>
          <w:color w:val="000000"/>
          <w:sz w:val="32"/>
          <w:szCs w:val="32"/>
        </w:rPr>
        <w:t>。</w:t>
      </w:r>
    </w:p>
    <w:p w14:paraId="217EC5AC">
      <w:pPr>
        <w:spacing w:line="360" w:lineRule="auto"/>
        <w:ind w:firstLine="645"/>
        <w:rPr>
          <w:color w:val="000000"/>
          <w:sz w:val="32"/>
          <w:szCs w:val="32"/>
        </w:rPr>
      </w:pPr>
      <w:r>
        <w:rPr>
          <w:color w:val="000000"/>
          <w:sz w:val="32"/>
          <w:szCs w:val="32"/>
        </w:rPr>
        <w:t>——</w:t>
      </w:r>
      <w:r>
        <w:rPr>
          <w:rFonts w:hint="eastAsia"/>
          <w:color w:val="000000"/>
          <w:sz w:val="32"/>
          <w:szCs w:val="32"/>
        </w:rPr>
        <w:t>营运车辆单位运输周转量</w:t>
      </w:r>
      <m:oMath>
        <m:sSub>
          <m:sSubPr>
            <m:ctrlPr>
              <w:rPr>
                <w:rFonts w:ascii="Cambria Math" w:hAnsi="Cambria Math"/>
                <w:i/>
                <w:color w:val="000000"/>
                <w:sz w:val="32"/>
                <w:szCs w:val="32"/>
              </w:rPr>
            </m:ctrlPr>
          </m:sSubPr>
          <m:e>
            <m:r>
              <m:rPr/>
              <w:rPr>
                <w:rFonts w:hint="eastAsia" w:ascii="Cambria Math" w:hAnsi="Cambria Math"/>
                <w:color w:val="000000"/>
                <w:sz w:val="32"/>
                <w:szCs w:val="32"/>
              </w:rPr>
              <m:t>co</m:t>
            </m:r>
            <m:ctrlPr>
              <w:rPr>
                <w:rFonts w:ascii="Cambria Math" w:hAnsi="Cambria Math"/>
                <w:i/>
                <w:color w:val="000000"/>
                <w:sz w:val="32"/>
                <w:szCs w:val="32"/>
              </w:rPr>
            </m:ctrlPr>
          </m:e>
          <m:sub>
            <m:r>
              <m:rPr/>
              <w:rPr>
                <w:rFonts w:ascii="Cambria Math" w:hAnsi="Cambria Math"/>
                <w:color w:val="000000"/>
                <w:sz w:val="32"/>
                <w:szCs w:val="32"/>
              </w:rPr>
              <m:t>2</m:t>
            </m:r>
            <m:ctrlPr>
              <w:rPr>
                <w:rFonts w:ascii="Cambria Math" w:hAnsi="Cambria Math"/>
                <w:i/>
                <w:color w:val="000000"/>
                <w:sz w:val="32"/>
                <w:szCs w:val="32"/>
              </w:rPr>
            </m:ctrlPr>
          </m:sub>
        </m:sSub>
      </m:oMath>
      <w:r>
        <w:rPr>
          <w:rFonts w:hint="eastAsia"/>
          <w:color w:val="000000"/>
          <w:sz w:val="32"/>
          <w:szCs w:val="32"/>
        </w:rPr>
        <w:t>排放下降（比2</w:t>
      </w:r>
      <w:r>
        <w:rPr>
          <w:color w:val="000000"/>
          <w:sz w:val="32"/>
          <w:szCs w:val="32"/>
        </w:rPr>
        <w:t>020</w:t>
      </w:r>
      <w:r>
        <w:rPr>
          <w:rFonts w:hint="eastAsia"/>
          <w:color w:val="000000"/>
          <w:sz w:val="32"/>
          <w:szCs w:val="32"/>
        </w:rPr>
        <w:t>年）4</w:t>
      </w:r>
      <w:r>
        <w:rPr>
          <w:color w:val="000000"/>
          <w:sz w:val="32"/>
          <w:szCs w:val="32"/>
        </w:rPr>
        <w:t>%</w:t>
      </w:r>
      <w:r>
        <w:rPr>
          <w:rFonts w:hint="eastAsia"/>
          <w:color w:val="000000"/>
          <w:sz w:val="32"/>
          <w:szCs w:val="32"/>
        </w:rPr>
        <w:t>。</w:t>
      </w:r>
    </w:p>
    <w:p w14:paraId="7C88BB7F">
      <w:pPr>
        <w:spacing w:line="360" w:lineRule="auto"/>
        <w:ind w:firstLine="645"/>
        <w:rPr>
          <w:color w:val="000000"/>
          <w:sz w:val="32"/>
          <w:szCs w:val="32"/>
        </w:rPr>
      </w:pPr>
      <w:r>
        <w:rPr>
          <w:color w:val="000000"/>
          <w:sz w:val="32"/>
          <w:szCs w:val="32"/>
        </w:rPr>
        <w:t>——</w:t>
      </w:r>
      <w:r>
        <w:rPr>
          <w:rFonts w:hint="eastAsia"/>
          <w:color w:val="000000"/>
          <w:sz w:val="32"/>
          <w:szCs w:val="32"/>
        </w:rPr>
        <w:t>营运船舶单位运输周转量</w:t>
      </w:r>
      <m:oMath>
        <m:sSub>
          <m:sSubPr>
            <m:ctrlPr>
              <w:rPr>
                <w:rFonts w:ascii="Cambria Math" w:hAnsi="Cambria Math"/>
                <w:i/>
                <w:color w:val="000000"/>
                <w:sz w:val="32"/>
                <w:szCs w:val="32"/>
              </w:rPr>
            </m:ctrlPr>
          </m:sSubPr>
          <m:e>
            <m:r>
              <m:rPr/>
              <w:rPr>
                <w:rFonts w:hint="eastAsia" w:ascii="Cambria Math" w:hAnsi="Cambria Math"/>
                <w:color w:val="000000"/>
                <w:sz w:val="32"/>
                <w:szCs w:val="32"/>
              </w:rPr>
              <m:t>co</m:t>
            </m:r>
            <m:ctrlPr>
              <w:rPr>
                <w:rFonts w:ascii="Cambria Math" w:hAnsi="Cambria Math"/>
                <w:i/>
                <w:color w:val="000000"/>
                <w:sz w:val="32"/>
                <w:szCs w:val="32"/>
              </w:rPr>
            </m:ctrlPr>
          </m:e>
          <m:sub>
            <m:r>
              <m:rPr/>
              <w:rPr>
                <w:rFonts w:ascii="Cambria Math" w:hAnsi="Cambria Math"/>
                <w:color w:val="000000"/>
                <w:sz w:val="32"/>
                <w:szCs w:val="32"/>
              </w:rPr>
              <m:t>2</m:t>
            </m:r>
            <m:ctrlPr>
              <w:rPr>
                <w:rFonts w:ascii="Cambria Math" w:hAnsi="Cambria Math"/>
                <w:i/>
                <w:color w:val="000000"/>
                <w:sz w:val="32"/>
                <w:szCs w:val="32"/>
              </w:rPr>
            </m:ctrlPr>
          </m:sub>
        </m:sSub>
      </m:oMath>
      <w:r>
        <w:rPr>
          <w:rFonts w:hint="eastAsia"/>
          <w:color w:val="000000"/>
          <w:sz w:val="32"/>
          <w:szCs w:val="32"/>
        </w:rPr>
        <w:t>排放下降（比2</w:t>
      </w:r>
      <w:r>
        <w:rPr>
          <w:color w:val="000000"/>
          <w:sz w:val="32"/>
          <w:szCs w:val="32"/>
        </w:rPr>
        <w:t>020</w:t>
      </w:r>
      <w:r>
        <w:rPr>
          <w:rFonts w:hint="eastAsia"/>
          <w:color w:val="000000"/>
          <w:sz w:val="32"/>
          <w:szCs w:val="32"/>
        </w:rPr>
        <w:t>年）3</w:t>
      </w:r>
      <w:r>
        <w:rPr>
          <w:color w:val="000000"/>
          <w:sz w:val="32"/>
          <w:szCs w:val="32"/>
        </w:rPr>
        <w:t>.5%</w:t>
      </w:r>
      <w:r>
        <w:rPr>
          <w:rFonts w:hint="eastAsia"/>
          <w:color w:val="000000"/>
          <w:sz w:val="32"/>
          <w:szCs w:val="32"/>
        </w:rPr>
        <w:t>。</w:t>
      </w:r>
    </w:p>
    <w:p w14:paraId="37793291">
      <w:pPr>
        <w:spacing w:line="360" w:lineRule="auto"/>
        <w:ind w:firstLine="645"/>
        <w:rPr>
          <w:color w:val="000000"/>
          <w:sz w:val="32"/>
          <w:szCs w:val="32"/>
        </w:rPr>
      </w:pPr>
      <w:r>
        <w:rPr>
          <w:color w:val="000000"/>
          <w:sz w:val="32"/>
          <w:szCs w:val="32"/>
        </w:rPr>
        <w:t>——</w:t>
      </w:r>
      <w:r>
        <w:rPr>
          <w:rFonts w:hint="eastAsia"/>
          <w:color w:val="000000"/>
          <w:sz w:val="32"/>
          <w:szCs w:val="32"/>
        </w:rPr>
        <w:t>交通运输信用信息归集率达9</w:t>
      </w:r>
      <w:r>
        <w:rPr>
          <w:color w:val="000000"/>
          <w:sz w:val="32"/>
          <w:szCs w:val="32"/>
        </w:rPr>
        <w:t>0%</w:t>
      </w:r>
      <w:r>
        <w:rPr>
          <w:rFonts w:hint="eastAsia"/>
          <w:color w:val="000000"/>
          <w:sz w:val="32"/>
          <w:szCs w:val="32"/>
        </w:rPr>
        <w:t>。</w:t>
      </w:r>
    </w:p>
    <w:p w14:paraId="382DC62B">
      <w:pPr>
        <w:spacing w:line="360" w:lineRule="auto"/>
        <w:rPr>
          <w:color w:val="000000"/>
          <w:sz w:val="32"/>
          <w:szCs w:val="32"/>
        </w:rPr>
      </w:pPr>
      <w:r>
        <w:rPr>
          <w:rFonts w:hint="eastAsia"/>
          <w:color w:val="000000"/>
          <w:sz w:val="32"/>
          <w:szCs w:val="32"/>
        </w:rPr>
        <w:t>（五）文明交通环境</w:t>
      </w:r>
    </w:p>
    <w:p w14:paraId="33B335B1">
      <w:pPr>
        <w:spacing w:line="360" w:lineRule="auto"/>
        <w:ind w:firstLine="640" w:firstLineChars="200"/>
        <w:rPr>
          <w:color w:val="000000"/>
          <w:sz w:val="32"/>
          <w:szCs w:val="32"/>
        </w:rPr>
      </w:pPr>
      <w:r>
        <w:rPr>
          <w:rFonts w:hint="eastAsia"/>
          <w:color w:val="000000"/>
          <w:sz w:val="32"/>
          <w:szCs w:val="32"/>
        </w:rPr>
        <w:t>扩大社会参与，健全公共决策机制，实行依法决策、民主决策。鼓励交通行业组织积极参与行业治理，引导社会组织依法自治、规范自律，拓宽公众参与交通治理渠道。培育交通文明。在提升交通服务品质、满足市民出行需求的同时，全方位提升乳山市交通参与者文明素养，引导文明出行，推动全社会交通文明程度大幅提升。</w:t>
      </w:r>
    </w:p>
    <w:p w14:paraId="72E05DAF">
      <w:pPr>
        <w:spacing w:line="360" w:lineRule="auto"/>
        <w:ind w:firstLine="640" w:firstLineChars="200"/>
        <w:rPr>
          <w:color w:val="000000"/>
          <w:sz w:val="32"/>
          <w:szCs w:val="32"/>
        </w:rPr>
      </w:pPr>
      <w:r>
        <w:rPr>
          <w:color w:val="000000"/>
          <w:sz w:val="32"/>
          <w:szCs w:val="32"/>
        </w:rPr>
        <w:br w:type="page"/>
      </w:r>
    </w:p>
    <w:p w14:paraId="464D4BDB">
      <w:pPr>
        <w:pStyle w:val="2"/>
        <w:spacing w:before="312" w:beforeLines="100" w:after="312" w:afterLines="100" w:line="360" w:lineRule="auto"/>
        <w:jc w:val="center"/>
        <w:rPr>
          <w:rFonts w:ascii="黑体" w:hAnsi="黑体" w:eastAsia="黑体" w:cs="黑体"/>
          <w:color w:val="000000"/>
          <w:sz w:val="32"/>
          <w:szCs w:val="32"/>
        </w:rPr>
      </w:pPr>
      <w:bookmarkStart w:id="37" w:name="_Toc89371380"/>
      <w:bookmarkStart w:id="38" w:name="_Hlk38043138"/>
      <w:r>
        <w:rPr>
          <w:rFonts w:hint="eastAsia" w:ascii="黑体" w:hAnsi="黑体" w:eastAsia="黑体" w:cs="黑体"/>
          <w:color w:val="000000"/>
          <w:sz w:val="32"/>
          <w:szCs w:val="32"/>
        </w:rPr>
        <w:t>第六章 综合交通运输体系规划</w:t>
      </w:r>
      <w:bookmarkEnd w:id="37"/>
    </w:p>
    <w:bookmarkEnd w:id="38"/>
    <w:p w14:paraId="26B7D9C9">
      <w:pPr>
        <w:spacing w:line="360" w:lineRule="auto"/>
        <w:ind w:firstLine="640" w:firstLineChars="200"/>
        <w:rPr>
          <w:color w:val="000000"/>
          <w:sz w:val="32"/>
          <w:szCs w:val="32"/>
        </w:rPr>
      </w:pPr>
      <w:r>
        <w:rPr>
          <w:rFonts w:hint="eastAsia"/>
          <w:color w:val="000000"/>
          <w:sz w:val="32"/>
          <w:szCs w:val="32"/>
        </w:rPr>
        <w:t>近年来，我省交通运输取得长足发展，获得重大成就，单与省委省政府对交通运输工作的要求相比，与实现新旧动能转换和交通强省建设目标相比，与人民群众日益增长的高质量、高效率的交通运输需求相比，我省综合交通运输体系仍存在各层次网络布局不完善、各运输方式发展存在短板、综合交通衔接不顺畅等方面的问题。为对建设交通强省形成有效支撑，在“十四五”期间，乳山市立足于交通运输发展的阶段特征，以问题和目标为导向，集中力量加快推进综合交通运输体系建设。以交通基础设施建设为重心，以公路、铁路、港口、航空为主要抓手，结合客运枢纽、物流园区等多元素，深入整合优化机场、港口资源，强化“最后一公里”末端的通达效率，加大项目谋划力度，精选质量高、投资大、对地方经济社会发展有较大带动和支撑能力的交通项目，列入“十四五”期项目盘子重点推进。到202</w:t>
      </w:r>
      <w:r>
        <w:rPr>
          <w:color w:val="000000"/>
          <w:sz w:val="32"/>
          <w:szCs w:val="32"/>
        </w:rPr>
        <w:t>5</w:t>
      </w:r>
      <w:r>
        <w:rPr>
          <w:rFonts w:hint="eastAsia"/>
          <w:color w:val="000000"/>
          <w:sz w:val="32"/>
          <w:szCs w:val="32"/>
        </w:rPr>
        <w:t>年，初步构建能力充分、功能完备、内畅外联、水陆空立体衔接的现代化综合交通基础设施网络。</w:t>
      </w:r>
    </w:p>
    <w:p w14:paraId="03124FA8">
      <w:pPr>
        <w:spacing w:line="360" w:lineRule="auto"/>
        <w:ind w:firstLine="640" w:firstLineChars="200"/>
        <w:rPr>
          <w:color w:val="000000"/>
          <w:sz w:val="32"/>
          <w:szCs w:val="32"/>
        </w:rPr>
      </w:pPr>
      <w:r>
        <w:rPr>
          <w:rFonts w:hint="eastAsia"/>
          <w:color w:val="000000"/>
          <w:sz w:val="32"/>
          <w:szCs w:val="32"/>
        </w:rPr>
        <w:t>下图为“十四五”期乳山市重大交通项目区位示意图。</w:t>
      </w:r>
      <w:r>
        <w:rPr>
          <w:color w:val="000000"/>
        </w:rPr>
        <w:drawing>
          <wp:inline distT="0" distB="0" distL="0" distR="0">
            <wp:extent cx="5273675" cy="3406775"/>
            <wp:effectExtent l="0" t="0" r="3175" b="3175"/>
            <wp:docPr id="1032" name="图片 14"/>
            <wp:cNvGraphicFramePr/>
            <a:graphic xmlns:a="http://schemas.openxmlformats.org/drawingml/2006/main">
              <a:graphicData uri="http://schemas.openxmlformats.org/drawingml/2006/picture">
                <pic:pic xmlns:pic="http://schemas.openxmlformats.org/drawingml/2006/picture">
                  <pic:nvPicPr>
                    <pic:cNvPr id="1032" name="图片 14"/>
                    <pic:cNvPicPr/>
                  </pic:nvPicPr>
                  <pic:blipFill>
                    <a:blip r:embed="rId16" cstate="print"/>
                    <a:srcRect t="8632"/>
                    <a:stretch>
                      <a:fillRect/>
                    </a:stretch>
                  </pic:blipFill>
                  <pic:spPr>
                    <a:xfrm>
                      <a:off x="0" y="0"/>
                      <a:ext cx="5273675" cy="3406775"/>
                    </a:xfrm>
                    <a:prstGeom prst="rect">
                      <a:avLst/>
                    </a:prstGeom>
                    <a:ln>
                      <a:noFill/>
                    </a:ln>
                  </pic:spPr>
                </pic:pic>
              </a:graphicData>
            </a:graphic>
          </wp:inline>
        </w:drawing>
      </w:r>
    </w:p>
    <w:p w14:paraId="61C2E17E">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6</w:t>
      </w:r>
      <w:r>
        <w:rPr>
          <w:rFonts w:hint="eastAsia" w:eastAsia="楷体"/>
          <w:color w:val="000000"/>
          <w:sz w:val="24"/>
        </w:rPr>
        <w:t>“十四五”期乳山市重大交通项目区位示意图</w:t>
      </w:r>
    </w:p>
    <w:p w14:paraId="30B94E7B">
      <w:pPr>
        <w:pStyle w:val="20"/>
        <w:rPr>
          <w:color w:val="000000"/>
          <w:sz w:val="32"/>
        </w:rPr>
      </w:pPr>
      <w:bookmarkStart w:id="39" w:name="_Toc89371381"/>
      <w:r>
        <w:rPr>
          <w:rFonts w:hint="eastAsia"/>
          <w:color w:val="000000"/>
          <w:sz w:val="32"/>
        </w:rPr>
        <w:t>（一）优化网络结构</w:t>
      </w:r>
      <w:bookmarkEnd w:id="39"/>
    </w:p>
    <w:p w14:paraId="3630A616">
      <w:pPr>
        <w:pStyle w:val="21"/>
        <w:rPr>
          <w:color w:val="000000"/>
          <w:sz w:val="32"/>
        </w:rPr>
      </w:pPr>
      <w:bookmarkStart w:id="40" w:name="_Toc89371382"/>
      <w:r>
        <w:rPr>
          <w:rFonts w:hint="eastAsia"/>
          <w:color w:val="000000"/>
          <w:sz w:val="32"/>
        </w:rPr>
        <w:t>1.优化调整路网结构</w:t>
      </w:r>
      <w:bookmarkEnd w:id="40"/>
    </w:p>
    <w:p w14:paraId="27F709C4">
      <w:pPr>
        <w:spacing w:line="360" w:lineRule="auto"/>
        <w:rPr>
          <w:color w:val="000000"/>
          <w:sz w:val="32"/>
          <w:szCs w:val="32"/>
        </w:rPr>
      </w:pPr>
      <w:r>
        <w:rPr>
          <w:rFonts w:hint="eastAsia"/>
          <w:color w:val="000000"/>
          <w:sz w:val="32"/>
          <w:szCs w:val="32"/>
        </w:rPr>
        <w:t>（1）建设目标</w:t>
      </w:r>
    </w:p>
    <w:p w14:paraId="66148172">
      <w:pPr>
        <w:spacing w:line="360" w:lineRule="auto"/>
        <w:ind w:firstLine="640" w:firstLineChars="200"/>
        <w:rPr>
          <w:color w:val="000000"/>
          <w:sz w:val="32"/>
          <w:szCs w:val="32"/>
        </w:rPr>
      </w:pPr>
      <w:r>
        <w:rPr>
          <w:rFonts w:hint="eastAsia"/>
          <w:color w:val="000000"/>
          <w:sz w:val="32"/>
          <w:szCs w:val="32"/>
        </w:rPr>
        <w:t>“十四五”期间在现有经济社会发展规划、城镇体系布局的基础上，以交通需求为导向，充分考虑用好网络资源，统筹不同层级线网，结合高速公路、国道、省道，形成“四纵六横”市域道路网的结构布局，大力提升网络连接效能和通达水平。</w:t>
      </w:r>
    </w:p>
    <w:p w14:paraId="0A3B8E34">
      <w:pPr>
        <w:spacing w:line="360" w:lineRule="auto"/>
        <w:ind w:firstLine="640" w:firstLineChars="200"/>
        <w:rPr>
          <w:color w:val="000000"/>
          <w:sz w:val="32"/>
          <w:szCs w:val="32"/>
        </w:rPr>
      </w:pPr>
      <w:r>
        <w:rPr>
          <w:rFonts w:hint="eastAsia"/>
          <w:color w:val="000000"/>
          <w:sz w:val="32"/>
          <w:szCs w:val="32"/>
        </w:rPr>
        <w:t>1）建设高品质的快速网：由高速铁路、高速公路、民用航空组成，其规划发展思路主要结合国家高速铁路网、国家高速公路网、省内综合交通运输发展规划，布局未来快速网方案。</w:t>
      </w:r>
    </w:p>
    <w:p w14:paraId="0EFE3B5B">
      <w:pPr>
        <w:spacing w:line="360" w:lineRule="auto"/>
        <w:ind w:firstLine="640" w:firstLineChars="200"/>
        <w:rPr>
          <w:color w:val="000000"/>
          <w:sz w:val="32"/>
          <w:szCs w:val="32"/>
        </w:rPr>
      </w:pPr>
      <w:r>
        <w:rPr>
          <w:rFonts w:hint="eastAsia"/>
          <w:color w:val="000000"/>
          <w:sz w:val="32"/>
          <w:szCs w:val="32"/>
        </w:rPr>
        <w:t>2）建设完善的干线网：推进普通国省道升级改造，适度超前，提高拥挤路段通行能力；促进干线公路与城市干道的有机衔接，减少过境交通与城市交通相互干扰；加强普通国省道与通用机场以及产业园区、物流园区等有效衔接；按照“一主一备"的思路，加强高速公路连接线及普通国省道平行替代路线建设；加快推动港口布局优化。优化港口布局，推动资源整合，促进结构调整。</w:t>
      </w:r>
    </w:p>
    <w:p w14:paraId="178CC436">
      <w:pPr>
        <w:spacing w:line="360" w:lineRule="auto"/>
        <w:ind w:firstLine="640" w:firstLineChars="200"/>
        <w:rPr>
          <w:color w:val="000000"/>
          <w:sz w:val="32"/>
          <w:szCs w:val="32"/>
        </w:rPr>
      </w:pPr>
      <w:r>
        <w:rPr>
          <w:rFonts w:hint="eastAsia"/>
          <w:color w:val="000000"/>
          <w:sz w:val="32"/>
          <w:szCs w:val="32"/>
        </w:rPr>
        <w:t>3）建设广泛的基础网：以农村公路、支线铁路为主体，通用航空为补充，按照“广覆盖、重惠民、重养护”的发展思路，全面构建综合交通基础服务网络。</w:t>
      </w:r>
    </w:p>
    <w:p w14:paraId="1ACCA215">
      <w:pPr>
        <w:spacing w:line="360" w:lineRule="auto"/>
        <w:rPr>
          <w:color w:val="000000"/>
          <w:sz w:val="32"/>
          <w:szCs w:val="32"/>
        </w:rPr>
      </w:pPr>
      <w:r>
        <w:rPr>
          <w:rFonts w:hint="eastAsia"/>
          <w:color w:val="000000"/>
          <w:sz w:val="32"/>
          <w:szCs w:val="32"/>
        </w:rPr>
        <w:t>（2）布局规划</w:t>
      </w:r>
    </w:p>
    <w:p w14:paraId="697CBECC">
      <w:pPr>
        <w:spacing w:line="360" w:lineRule="auto"/>
        <w:ind w:firstLine="640" w:firstLineChars="200"/>
        <w:rPr>
          <w:color w:val="000000"/>
          <w:sz w:val="32"/>
          <w:szCs w:val="32"/>
        </w:rPr>
      </w:pPr>
      <w:r>
        <w:rPr>
          <w:rFonts w:hint="eastAsia"/>
          <w:color w:val="000000"/>
          <w:sz w:val="32"/>
          <w:szCs w:val="32"/>
        </w:rPr>
        <w:t>“四纵六横”：</w:t>
      </w:r>
    </w:p>
    <w:p w14:paraId="0AEE03E0">
      <w:pPr>
        <w:spacing w:line="360" w:lineRule="auto"/>
        <w:ind w:firstLine="640" w:firstLineChars="200"/>
        <w:rPr>
          <w:color w:val="000000"/>
          <w:sz w:val="32"/>
          <w:szCs w:val="32"/>
        </w:rPr>
      </w:pPr>
      <w:r>
        <w:rPr>
          <w:rFonts w:hint="eastAsia"/>
          <w:color w:val="000000"/>
          <w:sz w:val="32"/>
          <w:szCs w:val="32"/>
        </w:rPr>
        <w:t>1）“四纵”即烟海高速乳山段、S</w:t>
      </w:r>
      <w:r>
        <w:rPr>
          <w:color w:val="000000"/>
          <w:sz w:val="32"/>
          <w:szCs w:val="32"/>
        </w:rPr>
        <w:t>206</w:t>
      </w:r>
      <w:r>
        <w:rPr>
          <w:rFonts w:hint="eastAsia"/>
          <w:color w:val="000000"/>
          <w:sz w:val="32"/>
          <w:szCs w:val="32"/>
        </w:rPr>
        <w:t>乳山段、S</w:t>
      </w:r>
      <w:r>
        <w:rPr>
          <w:color w:val="000000"/>
          <w:sz w:val="32"/>
          <w:szCs w:val="32"/>
        </w:rPr>
        <w:t>207</w:t>
      </w:r>
      <w:r>
        <w:rPr>
          <w:rFonts w:hint="eastAsia"/>
          <w:color w:val="000000"/>
          <w:sz w:val="32"/>
          <w:szCs w:val="32"/>
        </w:rPr>
        <w:t>乳山段、S</w:t>
      </w:r>
      <w:r>
        <w:rPr>
          <w:color w:val="000000"/>
          <w:sz w:val="32"/>
          <w:szCs w:val="32"/>
        </w:rPr>
        <w:t>208</w:t>
      </w:r>
      <w:r>
        <w:rPr>
          <w:rFonts w:hint="eastAsia"/>
          <w:color w:val="000000"/>
          <w:sz w:val="32"/>
          <w:szCs w:val="32"/>
        </w:rPr>
        <w:t>乳山段</w:t>
      </w:r>
    </w:p>
    <w:p w14:paraId="5C89AD06">
      <w:pPr>
        <w:spacing w:line="360" w:lineRule="auto"/>
        <w:ind w:firstLine="640" w:firstLineChars="200"/>
        <w:rPr>
          <w:color w:val="000000"/>
          <w:sz w:val="32"/>
          <w:szCs w:val="32"/>
        </w:rPr>
      </w:pPr>
      <w:r>
        <w:rPr>
          <w:color w:val="000000"/>
          <w:sz w:val="32"/>
          <w:szCs w:val="32"/>
        </w:rPr>
        <w:t>2</w:t>
      </w:r>
      <w:r>
        <w:rPr>
          <w:rFonts w:hint="eastAsia"/>
          <w:color w:val="000000"/>
          <w:sz w:val="32"/>
          <w:szCs w:val="32"/>
        </w:rPr>
        <w:t>）“六横”即S</w:t>
      </w:r>
      <w:r>
        <w:rPr>
          <w:color w:val="000000"/>
          <w:sz w:val="32"/>
          <w:szCs w:val="32"/>
        </w:rPr>
        <w:t>202</w:t>
      </w:r>
      <w:r>
        <w:rPr>
          <w:rFonts w:hint="eastAsia"/>
          <w:color w:val="000000"/>
          <w:sz w:val="32"/>
          <w:szCs w:val="32"/>
        </w:rPr>
        <w:t>乳山段、文莱高速乳山段、S</w:t>
      </w:r>
      <w:r>
        <w:rPr>
          <w:color w:val="000000"/>
          <w:sz w:val="32"/>
          <w:szCs w:val="32"/>
        </w:rPr>
        <w:t>704</w:t>
      </w:r>
      <w:r>
        <w:rPr>
          <w:rFonts w:hint="eastAsia"/>
          <w:color w:val="000000"/>
          <w:sz w:val="32"/>
          <w:szCs w:val="32"/>
        </w:rPr>
        <w:t>乳山段、S</w:t>
      </w:r>
      <w:r>
        <w:rPr>
          <w:color w:val="000000"/>
          <w:sz w:val="32"/>
          <w:szCs w:val="32"/>
        </w:rPr>
        <w:t>206</w:t>
      </w:r>
      <w:r>
        <w:rPr>
          <w:rFonts w:hint="eastAsia"/>
          <w:color w:val="000000"/>
          <w:sz w:val="32"/>
          <w:szCs w:val="32"/>
        </w:rPr>
        <w:t>银金大道段、威青高速乳山段、G</w:t>
      </w:r>
      <w:r>
        <w:rPr>
          <w:color w:val="000000"/>
          <w:sz w:val="32"/>
          <w:szCs w:val="32"/>
        </w:rPr>
        <w:t>308</w:t>
      </w:r>
      <w:r>
        <w:rPr>
          <w:rFonts w:hint="eastAsia"/>
          <w:color w:val="000000"/>
          <w:sz w:val="32"/>
          <w:szCs w:val="32"/>
        </w:rPr>
        <w:t>乳山段。</w:t>
      </w:r>
    </w:p>
    <w:p w14:paraId="58147F7A">
      <w:pPr>
        <w:spacing w:line="360" w:lineRule="auto"/>
        <w:ind w:firstLine="640" w:firstLineChars="200"/>
        <w:rPr>
          <w:color w:val="000000"/>
          <w:sz w:val="32"/>
          <w:szCs w:val="32"/>
        </w:rPr>
      </w:pPr>
      <w:r>
        <w:rPr>
          <w:rFonts w:hint="eastAsia"/>
          <w:color w:val="000000"/>
          <w:sz w:val="32"/>
          <w:szCs w:val="32"/>
        </w:rPr>
        <w:t>公路网布局主要由国省道、高速公路构成，通过市域公路建设，加强市内和周边县、市的联系。</w:t>
      </w:r>
    </w:p>
    <w:p w14:paraId="0E4FBF4A">
      <w:pPr>
        <w:spacing w:line="360" w:lineRule="auto"/>
        <w:rPr>
          <w:color w:val="000000"/>
          <w:sz w:val="32"/>
          <w:szCs w:val="32"/>
        </w:rPr>
      </w:pPr>
      <w:r>
        <w:rPr>
          <w:rFonts w:hint="eastAsia"/>
          <w:color w:val="000000"/>
          <w:sz w:val="32"/>
          <w:szCs w:val="32"/>
        </w:rPr>
        <w:t>（3）重点任务</w:t>
      </w:r>
    </w:p>
    <w:p w14:paraId="2232155F">
      <w:pPr>
        <w:spacing w:line="360" w:lineRule="auto"/>
        <w:ind w:firstLine="640" w:firstLineChars="200"/>
        <w:rPr>
          <w:color w:val="000000"/>
          <w:sz w:val="32"/>
          <w:szCs w:val="32"/>
        </w:rPr>
      </w:pPr>
      <w:r>
        <w:rPr>
          <w:color w:val="000000"/>
          <w:sz w:val="32"/>
          <w:szCs w:val="32"/>
        </w:rPr>
        <w:t>——</w:t>
      </w:r>
      <w:r>
        <w:rPr>
          <w:rFonts w:hint="eastAsia"/>
          <w:color w:val="000000"/>
          <w:sz w:val="32"/>
          <w:szCs w:val="32"/>
        </w:rPr>
        <w:t>高速公路。建设文莱高速连接线工程。乳山境内设有两条连接线，按二级公路标准建设。</w:t>
      </w:r>
    </w:p>
    <w:p w14:paraId="7283593C">
      <w:pPr>
        <w:spacing w:line="360" w:lineRule="auto"/>
        <w:ind w:firstLine="640" w:firstLineChars="200"/>
        <w:rPr>
          <w:color w:val="000000"/>
          <w:sz w:val="32"/>
          <w:szCs w:val="32"/>
        </w:rPr>
      </w:pPr>
      <w:r>
        <w:rPr>
          <w:rFonts w:hint="eastAsia"/>
          <w:color w:val="000000"/>
          <w:sz w:val="32"/>
          <w:szCs w:val="32"/>
        </w:rPr>
        <w:t>一是下初连接线，长4</w:t>
      </w:r>
      <w:r>
        <w:rPr>
          <w:color w:val="000000"/>
          <w:sz w:val="32"/>
          <w:szCs w:val="32"/>
        </w:rPr>
        <w:t>.167</w:t>
      </w:r>
      <w:r>
        <w:rPr>
          <w:rFonts w:hint="eastAsia"/>
          <w:color w:val="000000"/>
          <w:sz w:val="32"/>
          <w:szCs w:val="32"/>
        </w:rPr>
        <w:t>公里，投资约3</w:t>
      </w:r>
      <w:r>
        <w:rPr>
          <w:color w:val="000000"/>
          <w:sz w:val="32"/>
          <w:szCs w:val="32"/>
        </w:rPr>
        <w:t>000</w:t>
      </w:r>
      <w:r>
        <w:rPr>
          <w:rFonts w:hint="eastAsia"/>
          <w:color w:val="000000"/>
          <w:sz w:val="32"/>
          <w:szCs w:val="32"/>
        </w:rPr>
        <w:t>万元，</w:t>
      </w:r>
      <w:r>
        <w:rPr>
          <w:color w:val="000000"/>
          <w:sz w:val="32"/>
          <w:szCs w:val="32"/>
        </w:rPr>
        <w:t>设计速度60km/h，路基宽度15.0m。路线走向：该连接线起点在北刘伶庄北接S206牟徐线，经北刘伶庄西，跨过消水河后向南止于G308</w:t>
      </w:r>
      <w:r>
        <w:rPr>
          <w:rFonts w:hint="eastAsia"/>
          <w:color w:val="000000"/>
          <w:sz w:val="32"/>
          <w:szCs w:val="32"/>
        </w:rPr>
        <w:t>文石线</w:t>
      </w:r>
      <w:r>
        <w:rPr>
          <w:color w:val="000000"/>
          <w:sz w:val="32"/>
          <w:szCs w:val="32"/>
        </w:rPr>
        <w:t>。建设规模：该连接线全长2.5km。路基土石方86.798千立方米；路基排水防护3.039千立方米；路面32.598千平方米；大桥147米/1座，涵洞3道。</w:t>
      </w:r>
    </w:p>
    <w:p w14:paraId="291B13E9">
      <w:pPr>
        <w:spacing w:line="360" w:lineRule="auto"/>
        <w:ind w:firstLine="640" w:firstLineChars="200"/>
        <w:rPr>
          <w:color w:val="000000"/>
          <w:sz w:val="32"/>
          <w:szCs w:val="32"/>
        </w:rPr>
      </w:pPr>
      <w:r>
        <w:rPr>
          <w:rFonts w:hint="eastAsia"/>
          <w:color w:val="000000"/>
          <w:sz w:val="32"/>
          <w:szCs w:val="32"/>
        </w:rPr>
        <w:t>二是圣水宫连接线，长3</w:t>
      </w:r>
      <w:r>
        <w:rPr>
          <w:color w:val="000000"/>
          <w:sz w:val="32"/>
          <w:szCs w:val="32"/>
        </w:rPr>
        <w:t>.797</w:t>
      </w:r>
      <w:r>
        <w:rPr>
          <w:rFonts w:hint="eastAsia"/>
          <w:color w:val="000000"/>
          <w:sz w:val="32"/>
          <w:szCs w:val="32"/>
        </w:rPr>
        <w:t>公里，投资约2</w:t>
      </w:r>
      <w:r>
        <w:rPr>
          <w:color w:val="000000"/>
          <w:sz w:val="32"/>
          <w:szCs w:val="32"/>
        </w:rPr>
        <w:t>800</w:t>
      </w:r>
      <w:r>
        <w:rPr>
          <w:rFonts w:hint="eastAsia"/>
          <w:color w:val="000000"/>
          <w:sz w:val="32"/>
          <w:szCs w:val="32"/>
        </w:rPr>
        <w:t>万元。</w:t>
      </w:r>
      <w:r>
        <w:rPr>
          <w:color w:val="000000"/>
          <w:sz w:val="32"/>
          <w:szCs w:val="32"/>
        </w:rPr>
        <w:t>设计速度60km/h，路基宽度15.0m。路线走向：该连接线起点在万家南接G308</w:t>
      </w:r>
      <w:r>
        <w:rPr>
          <w:rFonts w:hint="eastAsia"/>
          <w:color w:val="000000"/>
          <w:sz w:val="32"/>
          <w:szCs w:val="32"/>
        </w:rPr>
        <w:t>文石线</w:t>
      </w:r>
      <w:r>
        <w:rPr>
          <w:color w:val="000000"/>
          <w:sz w:val="32"/>
          <w:szCs w:val="32"/>
        </w:rPr>
        <w:t>，往北经王家庵南，穿观上冯家，经孔家西止于圣水宫景区。建设规模：该连接线全长4.8km。路基土石方190.56千立方米；路基排水防护5.909千立方米；路面64.292千平方米；大桥107米/1座，中桥55米/1座，涵洞7道。</w:t>
      </w:r>
    </w:p>
    <w:p w14:paraId="2934FA2B">
      <w:pPr>
        <w:spacing w:line="360" w:lineRule="auto"/>
        <w:ind w:firstLine="640" w:firstLineChars="200"/>
        <w:rPr>
          <w:color w:val="000000"/>
          <w:sz w:val="32"/>
          <w:szCs w:val="32"/>
        </w:rPr>
      </w:pPr>
      <w:r>
        <w:rPr>
          <w:rFonts w:hint="eastAsia"/>
          <w:color w:val="000000"/>
          <w:sz w:val="32"/>
          <w:szCs w:val="32"/>
        </w:rPr>
        <w:t>文莱高速连接线工程对加强镇区同城区联系，提高镇区交通运输水平，推动乡镇经济发展具有重要意义。</w:t>
      </w:r>
    </w:p>
    <w:p w14:paraId="52220220">
      <w:pPr>
        <w:spacing w:line="360" w:lineRule="auto"/>
        <w:jc w:val="center"/>
        <w:rPr>
          <w:color w:val="000000"/>
          <w:sz w:val="32"/>
          <w:szCs w:val="32"/>
        </w:rPr>
      </w:pPr>
      <w:r>
        <w:rPr>
          <w:color w:val="000000"/>
        </w:rPr>
        <w:drawing>
          <wp:inline distT="0" distB="0" distL="0" distR="0">
            <wp:extent cx="5273675" cy="3392170"/>
            <wp:effectExtent l="0" t="0" r="3175" b="0"/>
            <wp:docPr id="1033" name="图片 10"/>
            <wp:cNvGraphicFramePr/>
            <a:graphic xmlns:a="http://schemas.openxmlformats.org/drawingml/2006/main">
              <a:graphicData uri="http://schemas.openxmlformats.org/drawingml/2006/picture">
                <pic:pic xmlns:pic="http://schemas.openxmlformats.org/drawingml/2006/picture">
                  <pic:nvPicPr>
                    <pic:cNvPr id="1033" name="图片 10"/>
                    <pic:cNvPicPr/>
                  </pic:nvPicPr>
                  <pic:blipFill>
                    <a:blip r:embed="rId17" cstate="print"/>
                    <a:srcRect t="9025"/>
                    <a:stretch>
                      <a:fillRect/>
                    </a:stretch>
                  </pic:blipFill>
                  <pic:spPr>
                    <a:xfrm>
                      <a:off x="0" y="0"/>
                      <a:ext cx="5273675" cy="3392170"/>
                    </a:xfrm>
                    <a:prstGeom prst="rect">
                      <a:avLst/>
                    </a:prstGeom>
                    <a:ln>
                      <a:noFill/>
                    </a:ln>
                  </pic:spPr>
                </pic:pic>
              </a:graphicData>
            </a:graphic>
          </wp:inline>
        </w:drawing>
      </w:r>
    </w:p>
    <w:p w14:paraId="31720790">
      <w:pPr>
        <w:spacing w:line="360" w:lineRule="auto"/>
        <w:jc w:val="center"/>
        <w:rPr>
          <w:rFonts w:eastAsia="楷体"/>
          <w:color w:val="000000"/>
          <w:sz w:val="24"/>
        </w:rPr>
      </w:pPr>
      <w:r>
        <w:rPr>
          <w:rFonts w:eastAsia="楷体"/>
          <w:color w:val="000000"/>
          <w:sz w:val="24"/>
        </w:rPr>
        <w:t>图</w:t>
      </w:r>
      <w:r>
        <w:rPr>
          <w:rFonts w:hint="eastAsia" w:eastAsia="楷体"/>
          <w:color w:val="000000"/>
          <w:sz w:val="24"/>
        </w:rPr>
        <w:t>7</w:t>
      </w:r>
      <w:r>
        <w:rPr>
          <w:rFonts w:eastAsia="楷体"/>
          <w:color w:val="000000"/>
          <w:sz w:val="24"/>
        </w:rPr>
        <w:t>文莱高速</w:t>
      </w:r>
      <w:r>
        <w:rPr>
          <w:rFonts w:hint="eastAsia" w:eastAsia="楷体"/>
          <w:color w:val="000000"/>
          <w:sz w:val="24"/>
        </w:rPr>
        <w:t>连接线工程区位图</w:t>
      </w:r>
    </w:p>
    <w:p w14:paraId="51A998D7">
      <w:pPr>
        <w:spacing w:line="360" w:lineRule="auto"/>
        <w:ind w:firstLine="640" w:firstLineChars="200"/>
        <w:rPr>
          <w:color w:val="000000"/>
          <w:sz w:val="32"/>
          <w:szCs w:val="32"/>
        </w:rPr>
      </w:pPr>
      <w:r>
        <w:rPr>
          <w:color w:val="000000"/>
          <w:sz w:val="32"/>
          <w:szCs w:val="32"/>
        </w:rPr>
        <w:t>——</w:t>
      </w:r>
      <w:r>
        <w:rPr>
          <w:rFonts w:hint="eastAsia"/>
          <w:color w:val="000000"/>
          <w:sz w:val="32"/>
          <w:szCs w:val="32"/>
        </w:rPr>
        <w:t>普通国省道。</w:t>
      </w:r>
      <w:r>
        <w:rPr>
          <w:color w:val="000000"/>
          <w:sz w:val="32"/>
          <w:szCs w:val="32"/>
        </w:rPr>
        <w:t>结合年度养护检测数据，综合考虑未来需求，</w:t>
      </w:r>
      <w:r>
        <w:rPr>
          <w:rFonts w:hint="eastAsia"/>
          <w:color w:val="000000"/>
          <w:sz w:val="32"/>
          <w:szCs w:val="32"/>
        </w:rPr>
        <w:t>及时对普通国省道养护、建设。大修G308文石线文登界至诸往镇崖后村后1公里段、G228丹东线海阳所镇海阳所村至海阳所镇西山赵家村北、G308文石线诸往镇崖后村后1公里段至海阳界段，共计6</w:t>
      </w:r>
      <w:r>
        <w:rPr>
          <w:color w:val="000000"/>
          <w:sz w:val="32"/>
          <w:szCs w:val="32"/>
        </w:rPr>
        <w:t>8.36</w:t>
      </w:r>
      <w:r>
        <w:rPr>
          <w:rFonts w:hint="eastAsia"/>
          <w:color w:val="000000"/>
          <w:sz w:val="32"/>
          <w:szCs w:val="32"/>
        </w:rPr>
        <w:t>公里国道。</w:t>
      </w:r>
    </w:p>
    <w:p w14:paraId="073EE619">
      <w:pPr>
        <w:spacing w:line="360" w:lineRule="auto"/>
        <w:ind w:firstLine="640" w:firstLineChars="200"/>
        <w:rPr>
          <w:color w:val="000000"/>
          <w:sz w:val="32"/>
          <w:szCs w:val="32"/>
        </w:rPr>
      </w:pPr>
      <w:r>
        <w:rPr>
          <w:rFonts w:hint="eastAsia"/>
          <w:color w:val="000000"/>
          <w:sz w:val="32"/>
          <w:szCs w:val="32"/>
        </w:rPr>
        <w:t>改建S206牟徐线乳山南黄至东南耩段、改建S202威青线乳山绕城段、改建S208烟海线乳山绕城段、改建G308文石线与S207莱乳线节点、改建S</w:t>
      </w:r>
      <w:r>
        <w:rPr>
          <w:color w:val="000000"/>
          <w:sz w:val="32"/>
          <w:szCs w:val="32"/>
        </w:rPr>
        <w:t>207</w:t>
      </w:r>
      <w:r>
        <w:rPr>
          <w:rFonts w:hint="eastAsia"/>
          <w:color w:val="000000"/>
          <w:sz w:val="32"/>
          <w:szCs w:val="32"/>
        </w:rPr>
        <w:t>莱乳段乳山绕城段、大修S202威青线文登交界至迟家河东段、大修S207莱乳线乳山口镇秦家庄村至旗杆石村段、大修S</w:t>
      </w:r>
      <w:r>
        <w:rPr>
          <w:color w:val="000000"/>
          <w:sz w:val="32"/>
          <w:szCs w:val="32"/>
        </w:rPr>
        <w:t>208</w:t>
      </w:r>
      <w:r>
        <w:rPr>
          <w:rFonts w:hint="eastAsia"/>
          <w:color w:val="000000"/>
          <w:sz w:val="32"/>
          <w:szCs w:val="32"/>
        </w:rPr>
        <w:t>烟海线牟平界至诸往镇沟留家村后段、大修S</w:t>
      </w:r>
      <w:r>
        <w:rPr>
          <w:color w:val="000000"/>
          <w:sz w:val="32"/>
          <w:szCs w:val="32"/>
        </w:rPr>
        <w:t>208</w:t>
      </w:r>
      <w:r>
        <w:rPr>
          <w:rFonts w:hint="eastAsia"/>
          <w:color w:val="000000"/>
          <w:sz w:val="32"/>
          <w:szCs w:val="32"/>
        </w:rPr>
        <w:t>烟海线诸往镇姜格庄村北至乳山站大桥西丁字路口段、中修S</w:t>
      </w:r>
      <w:r>
        <w:rPr>
          <w:color w:val="000000"/>
          <w:sz w:val="32"/>
          <w:szCs w:val="32"/>
        </w:rPr>
        <w:t>208</w:t>
      </w:r>
      <w:r>
        <w:rPr>
          <w:rFonts w:hint="eastAsia"/>
          <w:color w:val="000000"/>
          <w:sz w:val="32"/>
          <w:szCs w:val="32"/>
        </w:rPr>
        <w:t>烟海线沪山河桥东至烟海线与世纪大道交叉口段、中修S</w:t>
      </w:r>
      <w:r>
        <w:rPr>
          <w:color w:val="000000"/>
          <w:sz w:val="32"/>
          <w:szCs w:val="32"/>
        </w:rPr>
        <w:t>208</w:t>
      </w:r>
      <w:r>
        <w:rPr>
          <w:rFonts w:hint="eastAsia"/>
          <w:color w:val="000000"/>
          <w:sz w:val="32"/>
          <w:szCs w:val="32"/>
        </w:rPr>
        <w:t>烟海线世纪大道交叉口至兰家庄村东段、中修S</w:t>
      </w:r>
      <w:r>
        <w:rPr>
          <w:color w:val="000000"/>
          <w:sz w:val="32"/>
          <w:szCs w:val="32"/>
        </w:rPr>
        <w:t>208</w:t>
      </w:r>
      <w:r>
        <w:rPr>
          <w:rFonts w:hint="eastAsia"/>
          <w:color w:val="000000"/>
          <w:sz w:val="32"/>
          <w:szCs w:val="32"/>
        </w:rPr>
        <w:t>烟海线兰家庄村东至海阳所镇海阳所村段，共计</w:t>
      </w:r>
      <w:r>
        <w:rPr>
          <w:color w:val="000000"/>
          <w:sz w:val="32"/>
          <w:szCs w:val="32"/>
        </w:rPr>
        <w:t>145.147</w:t>
      </w:r>
      <w:r>
        <w:rPr>
          <w:rFonts w:hint="eastAsia"/>
          <w:color w:val="000000"/>
          <w:sz w:val="32"/>
          <w:szCs w:val="32"/>
        </w:rPr>
        <w:t>公里省道。</w:t>
      </w:r>
    </w:p>
    <w:p w14:paraId="6DAA324A">
      <w:pPr>
        <w:spacing w:line="360" w:lineRule="auto"/>
        <w:ind w:firstLine="640" w:firstLineChars="200"/>
        <w:rPr>
          <w:color w:val="000000"/>
          <w:sz w:val="32"/>
          <w:szCs w:val="32"/>
        </w:rPr>
      </w:pPr>
      <w:r>
        <w:rPr>
          <w:color w:val="000000"/>
          <w:sz w:val="32"/>
          <w:szCs w:val="32"/>
        </w:rPr>
        <w:t>——</w:t>
      </w:r>
      <w:r>
        <w:rPr>
          <w:rFonts w:hint="eastAsia"/>
          <w:color w:val="000000"/>
          <w:sz w:val="32"/>
          <w:szCs w:val="32"/>
        </w:rPr>
        <w:t>桥梁。建设G</w:t>
      </w:r>
      <w:r>
        <w:rPr>
          <w:color w:val="000000"/>
          <w:sz w:val="32"/>
          <w:szCs w:val="32"/>
        </w:rPr>
        <w:t>228</w:t>
      </w:r>
      <w:r>
        <w:rPr>
          <w:rFonts w:hint="eastAsia"/>
          <w:color w:val="000000"/>
          <w:sz w:val="32"/>
          <w:szCs w:val="32"/>
        </w:rPr>
        <w:t>乳山口大桥。</w:t>
      </w:r>
    </w:p>
    <w:p w14:paraId="3834CB19">
      <w:pPr>
        <w:spacing w:line="360" w:lineRule="auto"/>
        <w:ind w:firstLine="640" w:firstLineChars="200"/>
        <w:rPr>
          <w:bCs/>
          <w:color w:val="000000"/>
          <w:sz w:val="32"/>
          <w:szCs w:val="32"/>
        </w:rPr>
      </w:pPr>
      <w:r>
        <w:rPr>
          <w:rFonts w:hint="eastAsia"/>
          <w:color w:val="000000"/>
          <w:sz w:val="32"/>
          <w:szCs w:val="32"/>
        </w:rPr>
        <w:t>乳山口大桥的建设将实现</w:t>
      </w:r>
      <w:r>
        <w:rPr>
          <w:color w:val="000000"/>
          <w:sz w:val="32"/>
          <w:szCs w:val="32"/>
        </w:rPr>
        <w:t>417公里的滨海旅游景观公路全线贯通，起到串联沿海城市发展空间的作用，对于完善威海市、山东省乃至国家公路网布局，改善沿海港口集疏运条件，促进区域社会经济发展，加快旅游资源开发等具有重要</w:t>
      </w:r>
      <w:r>
        <w:rPr>
          <w:rFonts w:hint="eastAsia"/>
          <w:color w:val="000000"/>
          <w:sz w:val="32"/>
          <w:szCs w:val="32"/>
        </w:rPr>
        <w:t>意义</w:t>
      </w:r>
      <w:r>
        <w:rPr>
          <w:color w:val="000000"/>
          <w:sz w:val="32"/>
          <w:szCs w:val="32"/>
        </w:rPr>
        <w:t>。</w:t>
      </w:r>
      <w:r>
        <w:rPr>
          <w:rFonts w:hint="eastAsia"/>
          <w:color w:val="000000"/>
          <w:sz w:val="32"/>
          <w:szCs w:val="32"/>
        </w:rPr>
        <w:t>项目建成后乳山南部沿海居民1小时即可到达青岛。</w:t>
      </w:r>
    </w:p>
    <w:p w14:paraId="40B7F79F">
      <w:pPr>
        <w:spacing w:line="360" w:lineRule="auto"/>
        <w:ind w:firstLine="640" w:firstLineChars="200"/>
        <w:rPr>
          <w:color w:val="000000"/>
          <w:sz w:val="32"/>
          <w:szCs w:val="32"/>
        </w:rPr>
      </w:pPr>
      <w:r>
        <w:rPr>
          <w:color w:val="000000"/>
          <w:sz w:val="32"/>
          <w:szCs w:val="32"/>
        </w:rPr>
        <w:t>1</w:t>
      </w:r>
      <w:r>
        <w:rPr>
          <w:rFonts w:hint="eastAsia"/>
          <w:color w:val="000000"/>
          <w:sz w:val="32"/>
          <w:szCs w:val="32"/>
        </w:rPr>
        <w:t>）路线布设：大桥路线起于大乳山猫头嘴（K239+115），接威海S704环海路乳山段，沿乳山湾边养虾池向南（大乳山风景区北），向西从湾口边的光顶山北侧跨越乳山湾口最窄的海湾至西岸的西乳山码头（K242+174），沿垛山腰展线向西至路线终点，接G228丹东线烟台段起点（K243+123.586），路线全长4008.5米，其中桥梁总长2715.56米（主桥为193+666+51.4米双跨连续钢箱梁悬索桥 ,东引桥为 33×40米Bulb-T梁 ,西引桥为5×40米 Bulb-T梁），路基总长1192.94米、隧道总长100.0米。乳山段连接线长度625.483米（均为路基长度，未含东侧引桥）</w:t>
      </w:r>
      <w:r>
        <w:rPr>
          <w:color w:val="000000"/>
          <w:sz w:val="32"/>
          <w:szCs w:val="32"/>
        </w:rPr>
        <w:t>。</w:t>
      </w:r>
    </w:p>
    <w:p w14:paraId="332D2B14">
      <w:pPr>
        <w:spacing w:line="360" w:lineRule="auto"/>
        <w:rPr>
          <w:color w:val="000000"/>
          <w:sz w:val="32"/>
          <w:szCs w:val="32"/>
        </w:rPr>
      </w:pPr>
      <w:r>
        <w:rPr>
          <w:color w:val="000000"/>
        </w:rPr>
        <w:drawing>
          <wp:inline distT="0" distB="0" distL="0" distR="0">
            <wp:extent cx="5274310" cy="2966085"/>
            <wp:effectExtent l="0" t="0" r="2540" b="5715"/>
            <wp:docPr id="1034" name="图片 12"/>
            <wp:cNvGraphicFramePr/>
            <a:graphic xmlns:a="http://schemas.openxmlformats.org/drawingml/2006/main">
              <a:graphicData uri="http://schemas.openxmlformats.org/drawingml/2006/picture">
                <pic:pic xmlns:pic="http://schemas.openxmlformats.org/drawingml/2006/picture">
                  <pic:nvPicPr>
                    <pic:cNvPr id="1034" name="图片 12"/>
                    <pic:cNvPicPr/>
                  </pic:nvPicPr>
                  <pic:blipFill>
                    <a:blip r:embed="rId18" cstate="print"/>
                    <a:srcRect/>
                    <a:stretch>
                      <a:fillRect/>
                    </a:stretch>
                  </pic:blipFill>
                  <pic:spPr>
                    <a:xfrm>
                      <a:off x="0" y="0"/>
                      <a:ext cx="5274310" cy="2966085"/>
                    </a:xfrm>
                    <a:prstGeom prst="rect">
                      <a:avLst/>
                    </a:prstGeom>
                    <a:ln>
                      <a:noFill/>
                    </a:ln>
                  </pic:spPr>
                </pic:pic>
              </a:graphicData>
            </a:graphic>
          </wp:inline>
        </w:drawing>
      </w:r>
    </w:p>
    <w:p w14:paraId="36F9A9FF">
      <w:pPr>
        <w:spacing w:line="360" w:lineRule="auto"/>
        <w:ind w:firstLine="480" w:firstLineChars="200"/>
        <w:jc w:val="center"/>
        <w:rPr>
          <w:rFonts w:ascii="楷体" w:hAnsi="楷体" w:eastAsia="楷体"/>
          <w:bCs/>
          <w:color w:val="000000"/>
          <w:sz w:val="24"/>
        </w:rPr>
      </w:pPr>
      <w:r>
        <w:rPr>
          <w:rFonts w:ascii="楷体" w:hAnsi="楷体" w:eastAsia="楷体"/>
          <w:bCs/>
          <w:color w:val="000000"/>
          <w:sz w:val="24"/>
        </w:rPr>
        <w:t xml:space="preserve">图8 </w:t>
      </w:r>
      <w:r>
        <w:rPr>
          <w:rFonts w:hint="eastAsia" w:ascii="楷体" w:hAnsi="楷体" w:eastAsia="楷体"/>
          <w:bCs/>
          <w:color w:val="000000"/>
          <w:sz w:val="24"/>
        </w:rPr>
        <w:t>乳山口大桥示意图（一）</w:t>
      </w:r>
    </w:p>
    <w:p w14:paraId="2962BA0E">
      <w:pPr>
        <w:spacing w:line="360" w:lineRule="auto"/>
        <w:jc w:val="left"/>
        <w:rPr>
          <w:color w:val="000000"/>
          <w:sz w:val="32"/>
          <w:szCs w:val="32"/>
        </w:rPr>
      </w:pPr>
      <w:r>
        <w:rPr>
          <w:color w:val="000000"/>
        </w:rPr>
        <w:drawing>
          <wp:inline distT="0" distB="0" distL="0" distR="0">
            <wp:extent cx="5274310" cy="2966085"/>
            <wp:effectExtent l="0" t="0" r="2540" b="5715"/>
            <wp:docPr id="1035" name="图片 13"/>
            <wp:cNvGraphicFramePr/>
            <a:graphic xmlns:a="http://schemas.openxmlformats.org/drawingml/2006/main">
              <a:graphicData uri="http://schemas.openxmlformats.org/drawingml/2006/picture">
                <pic:pic xmlns:pic="http://schemas.openxmlformats.org/drawingml/2006/picture">
                  <pic:nvPicPr>
                    <pic:cNvPr id="1035" name="图片 13"/>
                    <pic:cNvPicPr/>
                  </pic:nvPicPr>
                  <pic:blipFill>
                    <a:blip r:embed="rId19" cstate="print"/>
                    <a:srcRect/>
                    <a:stretch>
                      <a:fillRect/>
                    </a:stretch>
                  </pic:blipFill>
                  <pic:spPr>
                    <a:xfrm>
                      <a:off x="0" y="0"/>
                      <a:ext cx="5274310" cy="2966085"/>
                    </a:xfrm>
                    <a:prstGeom prst="rect">
                      <a:avLst/>
                    </a:prstGeom>
                    <a:ln>
                      <a:noFill/>
                    </a:ln>
                  </pic:spPr>
                </pic:pic>
              </a:graphicData>
            </a:graphic>
          </wp:inline>
        </w:drawing>
      </w:r>
    </w:p>
    <w:p w14:paraId="478711A3">
      <w:pPr>
        <w:spacing w:line="360" w:lineRule="auto"/>
        <w:ind w:firstLine="480" w:firstLineChars="200"/>
        <w:jc w:val="center"/>
        <w:rPr>
          <w:rFonts w:ascii="楷体" w:hAnsi="楷体" w:eastAsia="楷体"/>
          <w:bCs/>
          <w:color w:val="000000"/>
          <w:sz w:val="24"/>
        </w:rPr>
      </w:pPr>
      <w:r>
        <w:rPr>
          <w:rFonts w:ascii="楷体" w:hAnsi="楷体" w:eastAsia="楷体"/>
          <w:bCs/>
          <w:color w:val="000000"/>
          <w:sz w:val="24"/>
        </w:rPr>
        <w:t xml:space="preserve">图9 </w:t>
      </w:r>
      <w:r>
        <w:rPr>
          <w:rFonts w:hint="eastAsia" w:ascii="楷体" w:hAnsi="楷体" w:eastAsia="楷体"/>
          <w:bCs/>
          <w:color w:val="000000"/>
          <w:sz w:val="24"/>
        </w:rPr>
        <w:t>乳山口大桥示意图（二）</w:t>
      </w:r>
    </w:p>
    <w:p w14:paraId="0A6B676A">
      <w:pPr>
        <w:spacing w:line="360" w:lineRule="auto"/>
        <w:ind w:firstLine="640" w:firstLineChars="200"/>
        <w:rPr>
          <w:color w:val="000000"/>
          <w:sz w:val="32"/>
          <w:szCs w:val="32"/>
        </w:rPr>
      </w:pPr>
      <w:r>
        <w:rPr>
          <w:rFonts w:hint="eastAsia"/>
          <w:color w:val="000000"/>
          <w:sz w:val="32"/>
          <w:szCs w:val="32"/>
        </w:rPr>
        <w:t>2）技术标准：项目</w:t>
      </w:r>
      <w:r>
        <w:rPr>
          <w:color w:val="000000"/>
          <w:sz w:val="32"/>
          <w:szCs w:val="32"/>
        </w:rPr>
        <w:t>采用双向四车道一级公路技术标准，设计</w:t>
      </w:r>
      <w:r>
        <w:rPr>
          <w:rFonts w:hint="eastAsia"/>
          <w:color w:val="000000"/>
          <w:sz w:val="32"/>
          <w:szCs w:val="32"/>
        </w:rPr>
        <w:t>速度80公里/小时</w:t>
      </w:r>
      <w:r>
        <w:rPr>
          <w:color w:val="000000"/>
          <w:sz w:val="32"/>
          <w:szCs w:val="32"/>
        </w:rPr>
        <w:t>，大桥标准宽度</w:t>
      </w:r>
      <w:r>
        <w:rPr>
          <w:rFonts w:hint="eastAsia"/>
          <w:color w:val="000000"/>
          <w:sz w:val="32"/>
          <w:szCs w:val="32"/>
        </w:rPr>
        <w:t>28.5米</w:t>
      </w:r>
      <w:r>
        <w:rPr>
          <w:color w:val="000000"/>
          <w:sz w:val="32"/>
          <w:szCs w:val="32"/>
        </w:rPr>
        <w:t>，接线路基宽度</w:t>
      </w:r>
      <w:r>
        <w:rPr>
          <w:rFonts w:hint="eastAsia"/>
          <w:color w:val="000000"/>
          <w:sz w:val="32"/>
          <w:szCs w:val="32"/>
        </w:rPr>
        <w:t>25.5米，</w:t>
      </w:r>
      <w:r>
        <w:rPr>
          <w:color w:val="000000"/>
          <w:sz w:val="32"/>
          <w:szCs w:val="32"/>
        </w:rPr>
        <w:t>设计汽车荷载等级为公路</w:t>
      </w:r>
      <w:r>
        <w:rPr>
          <w:rFonts w:hint="eastAsia"/>
          <w:color w:val="000000"/>
          <w:sz w:val="32"/>
          <w:szCs w:val="32"/>
        </w:rPr>
        <w:t>-Ⅰ级</w:t>
      </w:r>
      <w:r>
        <w:rPr>
          <w:color w:val="000000"/>
          <w:sz w:val="32"/>
          <w:szCs w:val="32"/>
        </w:rPr>
        <w:t>。</w:t>
      </w:r>
    </w:p>
    <w:p w14:paraId="0975A841">
      <w:pPr>
        <w:spacing w:line="360" w:lineRule="auto"/>
        <w:ind w:firstLine="640" w:firstLineChars="200"/>
        <w:rPr>
          <w:color w:val="000000"/>
          <w:sz w:val="32"/>
          <w:szCs w:val="32"/>
        </w:rPr>
      </w:pPr>
      <w:r>
        <w:rPr>
          <w:rFonts w:hint="eastAsia"/>
          <w:color w:val="000000"/>
          <w:sz w:val="32"/>
          <w:szCs w:val="32"/>
        </w:rPr>
        <w:t>3）横断面布设：乳山口</w:t>
      </w:r>
      <w:r>
        <w:rPr>
          <w:color w:val="000000"/>
          <w:sz w:val="32"/>
          <w:szCs w:val="32"/>
        </w:rPr>
        <w:t>大桥接线整体式路基横断面宽</w:t>
      </w:r>
      <w:r>
        <w:rPr>
          <w:rFonts w:hint="eastAsia"/>
          <w:color w:val="000000"/>
          <w:sz w:val="32"/>
          <w:szCs w:val="32"/>
        </w:rPr>
        <w:t>2</w:t>
      </w:r>
      <w:r>
        <w:rPr>
          <w:color w:val="000000"/>
          <w:sz w:val="32"/>
          <w:szCs w:val="32"/>
        </w:rPr>
        <w:t>5</w:t>
      </w:r>
      <w:r>
        <w:rPr>
          <w:rFonts w:hint="eastAsia"/>
          <w:color w:val="000000"/>
          <w:sz w:val="32"/>
          <w:szCs w:val="32"/>
        </w:rPr>
        <w:t>.5</w:t>
      </w:r>
      <w:r>
        <w:rPr>
          <w:color w:val="000000"/>
          <w:sz w:val="32"/>
          <w:szCs w:val="32"/>
        </w:rPr>
        <w:t>m，宽度如表1所示。</w:t>
      </w:r>
    </w:p>
    <w:tbl>
      <w:tblPr>
        <w:tblStyle w:val="29"/>
        <w:tblW w:w="7698" w:type="dxa"/>
        <w:tblInd w:w="0" w:type="dxa"/>
        <w:tblBorders>
          <w:top w:val="single" w:color="7F7F7F" w:sz="4" w:space="0"/>
          <w:left w:val="none" w:color="auto" w:sz="0" w:space="0"/>
          <w:bottom w:val="single" w:color="7F7F7F"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4"/>
        <w:gridCol w:w="709"/>
        <w:gridCol w:w="992"/>
        <w:gridCol w:w="1007"/>
        <w:gridCol w:w="978"/>
        <w:gridCol w:w="850"/>
        <w:gridCol w:w="992"/>
        <w:gridCol w:w="709"/>
        <w:gridCol w:w="767"/>
      </w:tblGrid>
      <w:tr w14:paraId="08AC5972">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7698" w:type="dxa"/>
            <w:gridSpan w:val="9"/>
          </w:tcPr>
          <w:p w14:paraId="6A799DD5">
            <w:pPr>
              <w:spacing w:line="360" w:lineRule="auto"/>
              <w:ind w:firstLine="420" w:firstLineChars="200"/>
              <w:jc w:val="center"/>
              <w:rPr>
                <w:rFonts w:ascii="楷体" w:hAnsi="楷体" w:eastAsia="楷体"/>
                <w:b w:val="0"/>
                <w:bCs w:val="0"/>
                <w:color w:val="000000"/>
                <w:sz w:val="32"/>
                <w:szCs w:val="32"/>
              </w:rPr>
            </w:pPr>
            <w:r>
              <w:rPr>
                <w:rFonts w:ascii="楷体" w:hAnsi="楷体" w:eastAsia="楷体"/>
                <w:bCs w:val="0"/>
                <w:color w:val="000000"/>
                <w:szCs w:val="21"/>
              </w:rPr>
              <w:t xml:space="preserve">表1  </w:t>
            </w:r>
            <w:r>
              <w:rPr>
                <w:rFonts w:hint="eastAsia" w:ascii="楷体" w:hAnsi="楷体" w:eastAsia="楷体"/>
                <w:bCs w:val="0"/>
                <w:color w:val="000000"/>
                <w:szCs w:val="21"/>
              </w:rPr>
              <w:t>2</w:t>
            </w:r>
            <w:r>
              <w:rPr>
                <w:rFonts w:ascii="楷体" w:hAnsi="楷体" w:eastAsia="楷体"/>
                <w:bCs w:val="0"/>
                <w:color w:val="000000"/>
                <w:szCs w:val="21"/>
              </w:rPr>
              <w:t>5.5m整体式路基横断面宽度表</w:t>
            </w:r>
          </w:p>
        </w:tc>
      </w:tr>
      <w:tr w14:paraId="535858BA">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7698" w:type="dxa"/>
            <w:gridSpan w:val="9"/>
          </w:tcPr>
          <w:p w14:paraId="5C540B3F">
            <w:pPr>
              <w:spacing w:line="360" w:lineRule="auto"/>
              <w:ind w:firstLine="300" w:firstLineChars="200"/>
              <w:jc w:val="center"/>
              <w:rPr>
                <w:b w:val="0"/>
                <w:bCs w:val="0"/>
                <w:color w:val="000000"/>
                <w:sz w:val="15"/>
                <w:szCs w:val="15"/>
              </w:rPr>
            </w:pPr>
            <w:r>
              <w:rPr>
                <w:color w:val="000000"/>
                <w:sz w:val="15"/>
                <w:szCs w:val="15"/>
              </w:rPr>
              <w:t>路基宽度</w:t>
            </w:r>
            <w:r>
              <w:rPr>
                <w:rFonts w:hint="eastAsia"/>
                <w:color w:val="000000"/>
                <w:sz w:val="15"/>
                <w:szCs w:val="15"/>
              </w:rPr>
              <w:t>2</w:t>
            </w:r>
            <w:r>
              <w:rPr>
                <w:color w:val="000000"/>
                <w:sz w:val="15"/>
                <w:szCs w:val="15"/>
              </w:rPr>
              <w:t>5</w:t>
            </w:r>
            <w:r>
              <w:rPr>
                <w:rFonts w:hint="eastAsia"/>
                <w:color w:val="000000"/>
                <w:sz w:val="15"/>
                <w:szCs w:val="15"/>
              </w:rPr>
              <w:t>.5米</w:t>
            </w:r>
          </w:p>
        </w:tc>
      </w:tr>
      <w:tr w14:paraId="56C9C733">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94" w:type="dxa"/>
            <w:vMerge w:val="restart"/>
          </w:tcPr>
          <w:p w14:paraId="1B3B5E0B">
            <w:pPr>
              <w:spacing w:line="360" w:lineRule="auto"/>
              <w:jc w:val="center"/>
              <w:rPr>
                <w:color w:val="000000"/>
                <w:sz w:val="15"/>
                <w:szCs w:val="15"/>
              </w:rPr>
            </w:pPr>
            <w:r>
              <w:rPr>
                <w:rFonts w:hint="eastAsia"/>
                <w:b w:val="0"/>
                <w:bCs w:val="0"/>
                <w:color w:val="000000"/>
                <w:sz w:val="15"/>
                <w:szCs w:val="15"/>
              </w:rPr>
              <w:t>土路肩</w:t>
            </w:r>
          </w:p>
        </w:tc>
        <w:tc>
          <w:tcPr>
            <w:tcW w:w="709" w:type="dxa"/>
            <w:vMerge w:val="restart"/>
          </w:tcPr>
          <w:p w14:paraId="4F30D569">
            <w:pPr>
              <w:spacing w:line="360" w:lineRule="auto"/>
              <w:jc w:val="center"/>
              <w:rPr>
                <w:color w:val="000000"/>
                <w:sz w:val="15"/>
                <w:szCs w:val="15"/>
              </w:rPr>
            </w:pPr>
            <w:r>
              <w:rPr>
                <w:rFonts w:hint="eastAsia"/>
                <w:color w:val="000000"/>
                <w:sz w:val="15"/>
                <w:szCs w:val="15"/>
              </w:rPr>
              <w:t>硬路肩</w:t>
            </w:r>
          </w:p>
        </w:tc>
        <w:tc>
          <w:tcPr>
            <w:tcW w:w="992" w:type="dxa"/>
            <w:vMerge w:val="restart"/>
          </w:tcPr>
          <w:p w14:paraId="3D5A5406">
            <w:pPr>
              <w:spacing w:line="360" w:lineRule="auto"/>
              <w:jc w:val="center"/>
              <w:rPr>
                <w:color w:val="000000"/>
                <w:sz w:val="15"/>
                <w:szCs w:val="15"/>
              </w:rPr>
            </w:pPr>
            <w:r>
              <w:rPr>
                <w:color w:val="000000"/>
                <w:sz w:val="15"/>
                <w:szCs w:val="15"/>
              </w:rPr>
              <w:t>行车道宽度</w:t>
            </w:r>
          </w:p>
        </w:tc>
        <w:tc>
          <w:tcPr>
            <w:tcW w:w="2835" w:type="dxa"/>
            <w:gridSpan w:val="3"/>
          </w:tcPr>
          <w:p w14:paraId="38C93BA5">
            <w:pPr>
              <w:spacing w:line="360" w:lineRule="auto"/>
              <w:jc w:val="center"/>
              <w:rPr>
                <w:color w:val="000000"/>
                <w:sz w:val="15"/>
                <w:szCs w:val="15"/>
              </w:rPr>
            </w:pPr>
            <w:r>
              <w:rPr>
                <w:color w:val="000000"/>
                <w:sz w:val="15"/>
                <w:szCs w:val="15"/>
              </w:rPr>
              <w:t>中间带宽度(</w:t>
            </w:r>
            <w:r>
              <w:rPr>
                <w:rFonts w:hint="eastAsia"/>
                <w:color w:val="000000"/>
                <w:sz w:val="15"/>
                <w:szCs w:val="15"/>
              </w:rPr>
              <w:t>3米</w:t>
            </w:r>
            <w:r>
              <w:rPr>
                <w:color w:val="000000"/>
                <w:sz w:val="15"/>
                <w:szCs w:val="15"/>
              </w:rPr>
              <w:t>)</w:t>
            </w:r>
          </w:p>
        </w:tc>
        <w:tc>
          <w:tcPr>
            <w:tcW w:w="992" w:type="dxa"/>
            <w:vMerge w:val="restart"/>
          </w:tcPr>
          <w:p w14:paraId="4762E426">
            <w:pPr>
              <w:spacing w:line="360" w:lineRule="auto"/>
              <w:jc w:val="center"/>
              <w:rPr>
                <w:color w:val="000000"/>
                <w:sz w:val="15"/>
                <w:szCs w:val="15"/>
              </w:rPr>
            </w:pPr>
            <w:r>
              <w:rPr>
                <w:color w:val="000000"/>
                <w:sz w:val="15"/>
                <w:szCs w:val="15"/>
              </w:rPr>
              <w:t>行车道宽度</w:t>
            </w:r>
          </w:p>
        </w:tc>
        <w:tc>
          <w:tcPr>
            <w:tcW w:w="709" w:type="dxa"/>
            <w:vMerge w:val="restart"/>
          </w:tcPr>
          <w:p w14:paraId="6041E44D">
            <w:pPr>
              <w:spacing w:line="360" w:lineRule="auto"/>
              <w:jc w:val="center"/>
              <w:rPr>
                <w:color w:val="000000"/>
                <w:sz w:val="15"/>
                <w:szCs w:val="15"/>
              </w:rPr>
            </w:pPr>
            <w:r>
              <w:rPr>
                <w:rFonts w:hint="eastAsia"/>
                <w:color w:val="000000"/>
                <w:sz w:val="15"/>
                <w:szCs w:val="15"/>
              </w:rPr>
              <w:t>硬路肩</w:t>
            </w:r>
          </w:p>
        </w:tc>
        <w:tc>
          <w:tcPr>
            <w:tcW w:w="767" w:type="dxa"/>
            <w:vMerge w:val="restart"/>
          </w:tcPr>
          <w:p w14:paraId="1ECD1165">
            <w:pPr>
              <w:spacing w:line="360" w:lineRule="auto"/>
              <w:jc w:val="center"/>
              <w:rPr>
                <w:color w:val="000000"/>
                <w:sz w:val="15"/>
                <w:szCs w:val="15"/>
              </w:rPr>
            </w:pPr>
            <w:r>
              <w:rPr>
                <w:rFonts w:hint="eastAsia"/>
                <w:color w:val="000000"/>
                <w:sz w:val="15"/>
                <w:szCs w:val="15"/>
              </w:rPr>
              <w:t>土路肩</w:t>
            </w:r>
          </w:p>
        </w:tc>
      </w:tr>
      <w:tr w14:paraId="1BDC0947">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694" w:type="dxa"/>
            <w:vMerge w:val="continue"/>
          </w:tcPr>
          <w:p w14:paraId="6FF3897F">
            <w:pPr>
              <w:spacing w:line="360" w:lineRule="auto"/>
              <w:ind w:firstLine="300" w:firstLineChars="200"/>
              <w:jc w:val="center"/>
              <w:rPr>
                <w:b w:val="0"/>
                <w:bCs w:val="0"/>
                <w:color w:val="000000"/>
                <w:sz w:val="15"/>
                <w:szCs w:val="15"/>
              </w:rPr>
            </w:pPr>
          </w:p>
        </w:tc>
        <w:tc>
          <w:tcPr>
            <w:tcW w:w="709" w:type="dxa"/>
            <w:vMerge w:val="continue"/>
          </w:tcPr>
          <w:p w14:paraId="6D6B3B75">
            <w:pPr>
              <w:spacing w:line="360" w:lineRule="auto"/>
              <w:ind w:firstLine="300" w:firstLineChars="200"/>
              <w:jc w:val="center"/>
              <w:rPr>
                <w:color w:val="000000"/>
                <w:sz w:val="15"/>
                <w:szCs w:val="15"/>
              </w:rPr>
            </w:pPr>
          </w:p>
        </w:tc>
        <w:tc>
          <w:tcPr>
            <w:tcW w:w="992" w:type="dxa"/>
            <w:vMerge w:val="continue"/>
          </w:tcPr>
          <w:p w14:paraId="762BF675">
            <w:pPr>
              <w:spacing w:line="360" w:lineRule="auto"/>
              <w:ind w:firstLine="300" w:firstLineChars="200"/>
              <w:jc w:val="center"/>
              <w:rPr>
                <w:color w:val="000000"/>
                <w:sz w:val="15"/>
                <w:szCs w:val="15"/>
              </w:rPr>
            </w:pPr>
          </w:p>
        </w:tc>
        <w:tc>
          <w:tcPr>
            <w:tcW w:w="1007" w:type="dxa"/>
          </w:tcPr>
          <w:p w14:paraId="000AEF71">
            <w:pPr>
              <w:spacing w:line="360" w:lineRule="auto"/>
              <w:jc w:val="center"/>
              <w:rPr>
                <w:color w:val="000000"/>
                <w:sz w:val="15"/>
                <w:szCs w:val="15"/>
              </w:rPr>
            </w:pPr>
            <w:r>
              <w:rPr>
                <w:color w:val="000000"/>
                <w:sz w:val="15"/>
                <w:szCs w:val="15"/>
              </w:rPr>
              <w:t>左路缘带</w:t>
            </w:r>
          </w:p>
        </w:tc>
        <w:tc>
          <w:tcPr>
            <w:tcW w:w="978" w:type="dxa"/>
          </w:tcPr>
          <w:p w14:paraId="5D60771E">
            <w:pPr>
              <w:spacing w:line="360" w:lineRule="auto"/>
              <w:jc w:val="center"/>
              <w:rPr>
                <w:color w:val="000000"/>
                <w:sz w:val="15"/>
                <w:szCs w:val="15"/>
              </w:rPr>
            </w:pPr>
            <w:r>
              <w:rPr>
                <w:color w:val="000000"/>
                <w:sz w:val="15"/>
                <w:szCs w:val="15"/>
              </w:rPr>
              <w:t>中央分隔带</w:t>
            </w:r>
          </w:p>
        </w:tc>
        <w:tc>
          <w:tcPr>
            <w:tcW w:w="850" w:type="dxa"/>
          </w:tcPr>
          <w:p w14:paraId="449AB422">
            <w:pPr>
              <w:spacing w:line="360" w:lineRule="auto"/>
              <w:jc w:val="center"/>
              <w:rPr>
                <w:color w:val="000000"/>
                <w:sz w:val="15"/>
                <w:szCs w:val="15"/>
              </w:rPr>
            </w:pPr>
            <w:r>
              <w:rPr>
                <w:color w:val="000000"/>
                <w:sz w:val="15"/>
                <w:szCs w:val="15"/>
              </w:rPr>
              <w:t>左路缘带</w:t>
            </w:r>
          </w:p>
        </w:tc>
        <w:tc>
          <w:tcPr>
            <w:tcW w:w="992" w:type="dxa"/>
            <w:vMerge w:val="continue"/>
          </w:tcPr>
          <w:p w14:paraId="7A77D25D">
            <w:pPr>
              <w:spacing w:line="360" w:lineRule="auto"/>
              <w:ind w:firstLine="300" w:firstLineChars="200"/>
              <w:jc w:val="center"/>
              <w:rPr>
                <w:color w:val="000000"/>
                <w:sz w:val="15"/>
                <w:szCs w:val="15"/>
              </w:rPr>
            </w:pPr>
          </w:p>
        </w:tc>
        <w:tc>
          <w:tcPr>
            <w:tcW w:w="709" w:type="dxa"/>
            <w:vMerge w:val="continue"/>
          </w:tcPr>
          <w:p w14:paraId="377A58D6">
            <w:pPr>
              <w:spacing w:line="360" w:lineRule="auto"/>
              <w:ind w:firstLine="300" w:firstLineChars="200"/>
              <w:jc w:val="center"/>
              <w:rPr>
                <w:color w:val="000000"/>
                <w:sz w:val="15"/>
                <w:szCs w:val="15"/>
              </w:rPr>
            </w:pPr>
          </w:p>
        </w:tc>
        <w:tc>
          <w:tcPr>
            <w:tcW w:w="767" w:type="dxa"/>
            <w:vMerge w:val="continue"/>
          </w:tcPr>
          <w:p w14:paraId="54E5E8D4">
            <w:pPr>
              <w:spacing w:line="360" w:lineRule="auto"/>
              <w:ind w:firstLine="300" w:firstLineChars="200"/>
              <w:jc w:val="center"/>
              <w:rPr>
                <w:color w:val="000000"/>
                <w:sz w:val="15"/>
                <w:szCs w:val="15"/>
              </w:rPr>
            </w:pPr>
          </w:p>
        </w:tc>
      </w:tr>
      <w:tr w14:paraId="3A2B9AD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694" w:type="dxa"/>
          </w:tcPr>
          <w:p w14:paraId="1D1F65E9">
            <w:pPr>
              <w:spacing w:line="360" w:lineRule="auto"/>
              <w:jc w:val="center"/>
              <w:rPr>
                <w:b w:val="0"/>
                <w:bCs w:val="0"/>
                <w:color w:val="000000"/>
                <w:sz w:val="15"/>
                <w:szCs w:val="15"/>
              </w:rPr>
            </w:pPr>
            <w:r>
              <w:rPr>
                <w:rFonts w:hint="eastAsia"/>
                <w:color w:val="000000"/>
                <w:sz w:val="15"/>
                <w:szCs w:val="15"/>
              </w:rPr>
              <w:t>0.75</w:t>
            </w:r>
          </w:p>
        </w:tc>
        <w:tc>
          <w:tcPr>
            <w:tcW w:w="709" w:type="dxa"/>
          </w:tcPr>
          <w:p w14:paraId="675CF1AB">
            <w:pPr>
              <w:spacing w:line="360" w:lineRule="auto"/>
              <w:jc w:val="center"/>
              <w:rPr>
                <w:color w:val="000000"/>
                <w:sz w:val="15"/>
                <w:szCs w:val="15"/>
              </w:rPr>
            </w:pPr>
            <w:r>
              <w:rPr>
                <w:color w:val="000000"/>
                <w:sz w:val="15"/>
                <w:szCs w:val="15"/>
              </w:rPr>
              <w:t>3.0</w:t>
            </w:r>
          </w:p>
        </w:tc>
        <w:tc>
          <w:tcPr>
            <w:tcW w:w="992" w:type="dxa"/>
          </w:tcPr>
          <w:p w14:paraId="49CB73A5">
            <w:pPr>
              <w:spacing w:line="360" w:lineRule="auto"/>
              <w:jc w:val="center"/>
              <w:rPr>
                <w:color w:val="000000"/>
                <w:sz w:val="15"/>
                <w:szCs w:val="15"/>
              </w:rPr>
            </w:pPr>
            <w:r>
              <w:rPr>
                <w:color w:val="000000"/>
                <w:sz w:val="15"/>
                <w:szCs w:val="15"/>
              </w:rPr>
              <w:t>2×3.</w:t>
            </w:r>
            <w:r>
              <w:rPr>
                <w:rFonts w:hint="eastAsia"/>
                <w:color w:val="000000"/>
                <w:sz w:val="15"/>
                <w:szCs w:val="15"/>
              </w:rPr>
              <w:t>75</w:t>
            </w:r>
          </w:p>
        </w:tc>
        <w:tc>
          <w:tcPr>
            <w:tcW w:w="1007" w:type="dxa"/>
          </w:tcPr>
          <w:p w14:paraId="2D5716BC">
            <w:pPr>
              <w:spacing w:line="360" w:lineRule="auto"/>
              <w:jc w:val="center"/>
              <w:rPr>
                <w:color w:val="000000"/>
                <w:sz w:val="15"/>
                <w:szCs w:val="15"/>
              </w:rPr>
            </w:pPr>
            <w:r>
              <w:rPr>
                <w:color w:val="000000"/>
                <w:sz w:val="15"/>
                <w:szCs w:val="15"/>
              </w:rPr>
              <w:t>0.5</w:t>
            </w:r>
          </w:p>
        </w:tc>
        <w:tc>
          <w:tcPr>
            <w:tcW w:w="978" w:type="dxa"/>
          </w:tcPr>
          <w:p w14:paraId="2D582D78">
            <w:pPr>
              <w:spacing w:line="360" w:lineRule="auto"/>
              <w:jc w:val="center"/>
              <w:rPr>
                <w:color w:val="000000"/>
                <w:sz w:val="15"/>
                <w:szCs w:val="15"/>
              </w:rPr>
            </w:pPr>
            <w:r>
              <w:rPr>
                <w:rFonts w:hint="eastAsia"/>
                <w:color w:val="000000"/>
                <w:sz w:val="15"/>
                <w:szCs w:val="15"/>
              </w:rPr>
              <w:t>2.0</w:t>
            </w:r>
          </w:p>
        </w:tc>
        <w:tc>
          <w:tcPr>
            <w:tcW w:w="850" w:type="dxa"/>
          </w:tcPr>
          <w:p w14:paraId="1237A344">
            <w:pPr>
              <w:spacing w:line="360" w:lineRule="auto"/>
              <w:jc w:val="center"/>
              <w:rPr>
                <w:color w:val="000000"/>
                <w:sz w:val="15"/>
                <w:szCs w:val="15"/>
              </w:rPr>
            </w:pPr>
            <w:r>
              <w:rPr>
                <w:color w:val="000000"/>
                <w:sz w:val="15"/>
                <w:szCs w:val="15"/>
              </w:rPr>
              <w:t>0.5</w:t>
            </w:r>
          </w:p>
        </w:tc>
        <w:tc>
          <w:tcPr>
            <w:tcW w:w="992" w:type="dxa"/>
          </w:tcPr>
          <w:p w14:paraId="3CAD8FB1">
            <w:pPr>
              <w:spacing w:line="360" w:lineRule="auto"/>
              <w:jc w:val="center"/>
              <w:rPr>
                <w:color w:val="000000"/>
                <w:sz w:val="15"/>
                <w:szCs w:val="15"/>
              </w:rPr>
            </w:pPr>
            <w:r>
              <w:rPr>
                <w:color w:val="000000"/>
                <w:sz w:val="15"/>
                <w:szCs w:val="15"/>
              </w:rPr>
              <w:t>2×3.75</w:t>
            </w:r>
          </w:p>
        </w:tc>
        <w:tc>
          <w:tcPr>
            <w:tcW w:w="709" w:type="dxa"/>
          </w:tcPr>
          <w:p w14:paraId="0BE27109">
            <w:pPr>
              <w:spacing w:line="360" w:lineRule="auto"/>
              <w:jc w:val="center"/>
              <w:rPr>
                <w:color w:val="000000"/>
                <w:sz w:val="15"/>
                <w:szCs w:val="15"/>
              </w:rPr>
            </w:pPr>
            <w:r>
              <w:rPr>
                <w:color w:val="000000"/>
                <w:sz w:val="15"/>
                <w:szCs w:val="15"/>
              </w:rPr>
              <w:t>3.0</w:t>
            </w:r>
          </w:p>
        </w:tc>
        <w:tc>
          <w:tcPr>
            <w:tcW w:w="767" w:type="dxa"/>
          </w:tcPr>
          <w:p w14:paraId="0AED5BF7">
            <w:pPr>
              <w:spacing w:line="360" w:lineRule="auto"/>
              <w:jc w:val="center"/>
              <w:rPr>
                <w:color w:val="000000"/>
                <w:sz w:val="15"/>
                <w:szCs w:val="15"/>
              </w:rPr>
            </w:pPr>
            <w:r>
              <w:rPr>
                <w:rFonts w:hint="eastAsia"/>
                <w:color w:val="000000"/>
                <w:sz w:val="15"/>
                <w:szCs w:val="15"/>
              </w:rPr>
              <w:t>0.75</w:t>
            </w:r>
          </w:p>
        </w:tc>
      </w:tr>
    </w:tbl>
    <w:p w14:paraId="670E45EF">
      <w:pPr>
        <w:spacing w:line="360" w:lineRule="auto"/>
        <w:ind w:firstLine="640" w:firstLineChars="200"/>
        <w:jc w:val="left"/>
        <w:rPr>
          <w:color w:val="000000"/>
          <w:sz w:val="32"/>
          <w:szCs w:val="32"/>
        </w:rPr>
      </w:pPr>
      <w:r>
        <w:rPr>
          <w:color w:val="000000"/>
          <w:sz w:val="32"/>
          <w:szCs w:val="32"/>
        </w:rPr>
        <w:t>行车道、路缘带及硬路肩横坡为2％，土路肩横坡为</w:t>
      </w:r>
      <w:r>
        <w:rPr>
          <w:rFonts w:hint="eastAsia"/>
          <w:color w:val="000000"/>
          <w:sz w:val="32"/>
          <w:szCs w:val="32"/>
        </w:rPr>
        <w:t>3</w:t>
      </w:r>
      <w:r>
        <w:rPr>
          <w:color w:val="000000"/>
          <w:sz w:val="32"/>
          <w:szCs w:val="32"/>
        </w:rPr>
        <w:t>％</w:t>
      </w:r>
      <w:r>
        <w:rPr>
          <w:rFonts w:hint="eastAsia"/>
          <w:color w:val="000000"/>
          <w:sz w:val="32"/>
          <w:szCs w:val="32"/>
        </w:rPr>
        <w:t>，路基标准横断面如图</w:t>
      </w:r>
      <w:r>
        <w:rPr>
          <w:color w:val="000000"/>
          <w:sz w:val="32"/>
          <w:szCs w:val="32"/>
        </w:rPr>
        <w:t>10</w:t>
      </w:r>
      <w:r>
        <w:rPr>
          <w:rFonts w:hint="eastAsia"/>
          <w:color w:val="000000"/>
          <w:sz w:val="32"/>
          <w:szCs w:val="32"/>
        </w:rPr>
        <w:t>所示</w:t>
      </w:r>
      <w:r>
        <w:rPr>
          <w:color w:val="000000"/>
          <w:sz w:val="32"/>
          <w:szCs w:val="32"/>
        </w:rPr>
        <w:t>。</w:t>
      </w:r>
      <w:r>
        <w:rPr>
          <w:color w:val="000000"/>
          <w:sz w:val="32"/>
          <w:szCs w:val="32"/>
        </w:rPr>
        <w:drawing>
          <wp:inline distT="0" distB="0" distL="0" distR="0">
            <wp:extent cx="5568950" cy="2159635"/>
            <wp:effectExtent l="0" t="0" r="0" b="0"/>
            <wp:docPr id="1036" name="图片 11"/>
            <wp:cNvGraphicFramePr/>
            <a:graphic xmlns:a="http://schemas.openxmlformats.org/drawingml/2006/main">
              <a:graphicData uri="http://schemas.openxmlformats.org/drawingml/2006/picture">
                <pic:pic xmlns:pic="http://schemas.openxmlformats.org/drawingml/2006/picture">
                  <pic:nvPicPr>
                    <pic:cNvPr id="1036" name="图片 11"/>
                    <pic:cNvPicPr/>
                  </pic:nvPicPr>
                  <pic:blipFill>
                    <a:blip r:embed="rId20" cstate="print"/>
                    <a:srcRect/>
                    <a:stretch>
                      <a:fillRect/>
                    </a:stretch>
                  </pic:blipFill>
                  <pic:spPr>
                    <a:xfrm>
                      <a:off x="0" y="0"/>
                      <a:ext cx="5568950" cy="2159635"/>
                    </a:xfrm>
                    <a:prstGeom prst="rect">
                      <a:avLst/>
                    </a:prstGeom>
                    <a:ln>
                      <a:noFill/>
                    </a:ln>
                  </pic:spPr>
                </pic:pic>
              </a:graphicData>
            </a:graphic>
          </wp:inline>
        </w:drawing>
      </w:r>
    </w:p>
    <w:p w14:paraId="01578147">
      <w:pPr>
        <w:spacing w:line="360" w:lineRule="auto"/>
        <w:ind w:firstLine="480" w:firstLineChars="200"/>
        <w:jc w:val="center"/>
        <w:rPr>
          <w:rFonts w:ascii="楷体" w:hAnsi="楷体" w:eastAsia="楷体"/>
          <w:bCs/>
          <w:color w:val="000000"/>
          <w:sz w:val="24"/>
        </w:rPr>
      </w:pPr>
      <w:r>
        <w:rPr>
          <w:rFonts w:ascii="楷体" w:hAnsi="楷体" w:eastAsia="楷体"/>
          <w:bCs/>
          <w:color w:val="000000"/>
          <w:sz w:val="24"/>
        </w:rPr>
        <w:t>图10 路基标准横断面图</w:t>
      </w:r>
    </w:p>
    <w:p w14:paraId="73346309">
      <w:pPr>
        <w:spacing w:line="360" w:lineRule="auto"/>
        <w:ind w:firstLine="640" w:firstLineChars="200"/>
        <w:jc w:val="left"/>
        <w:rPr>
          <w:rFonts w:ascii="宋体" w:hAnsi="宋体"/>
          <w:bCs/>
          <w:color w:val="000000"/>
          <w:sz w:val="32"/>
          <w:szCs w:val="32"/>
        </w:rPr>
      </w:pPr>
      <w:r>
        <w:rPr>
          <w:rFonts w:hint="eastAsia" w:ascii="宋体" w:hAnsi="宋体"/>
          <w:bCs/>
          <w:color w:val="000000"/>
          <w:sz w:val="32"/>
          <w:szCs w:val="32"/>
        </w:rPr>
        <w:t>4）接线路面结构：</w:t>
      </w:r>
    </w:p>
    <w:p w14:paraId="2D206072">
      <w:pPr>
        <w:spacing w:line="360" w:lineRule="auto"/>
        <w:ind w:firstLine="640" w:firstLineChars="200"/>
        <w:jc w:val="left"/>
        <w:rPr>
          <w:rFonts w:ascii="宋体" w:hAnsi="宋体"/>
          <w:bCs/>
          <w:color w:val="000000"/>
          <w:sz w:val="32"/>
          <w:szCs w:val="32"/>
        </w:rPr>
      </w:pPr>
      <w:r>
        <w:rPr>
          <w:rFonts w:ascii="宋体" w:hAnsi="宋体"/>
          <w:bCs/>
          <w:color w:val="000000"/>
          <w:sz w:val="32"/>
          <w:szCs w:val="32"/>
        </w:rPr>
        <w:t>上面层：4cm</w:t>
      </w:r>
      <w:r>
        <w:rPr>
          <w:rFonts w:hint="eastAsia" w:ascii="宋体" w:hAnsi="宋体"/>
          <w:bCs/>
          <w:color w:val="000000"/>
          <w:sz w:val="32"/>
          <w:szCs w:val="32"/>
        </w:rPr>
        <w:t>细粒式SBS改性沥青混凝土AC-13C</w:t>
      </w:r>
      <w:r>
        <w:rPr>
          <w:rFonts w:ascii="宋体" w:hAnsi="宋体"/>
          <w:bCs/>
          <w:color w:val="000000"/>
          <w:sz w:val="32"/>
          <w:szCs w:val="32"/>
        </w:rPr>
        <w:t>；</w:t>
      </w:r>
    </w:p>
    <w:p w14:paraId="4E86F80F">
      <w:pPr>
        <w:spacing w:line="360" w:lineRule="auto"/>
        <w:ind w:firstLine="640" w:firstLineChars="200"/>
        <w:jc w:val="left"/>
        <w:rPr>
          <w:rFonts w:ascii="宋体" w:hAnsi="宋体"/>
          <w:bCs/>
          <w:color w:val="000000"/>
          <w:sz w:val="32"/>
          <w:szCs w:val="32"/>
        </w:rPr>
      </w:pPr>
      <w:r>
        <w:rPr>
          <w:rFonts w:hint="eastAsia" w:ascii="宋体" w:hAnsi="宋体"/>
          <w:bCs/>
          <w:color w:val="000000"/>
          <w:sz w:val="32"/>
          <w:szCs w:val="32"/>
        </w:rPr>
        <w:t>下面层：</w:t>
      </w:r>
      <w:r>
        <w:rPr>
          <w:rFonts w:ascii="宋体" w:hAnsi="宋体"/>
          <w:bCs/>
          <w:color w:val="000000"/>
          <w:sz w:val="32"/>
          <w:szCs w:val="32"/>
        </w:rPr>
        <w:t>6cm</w:t>
      </w:r>
      <w:r>
        <w:rPr>
          <w:rFonts w:hint="eastAsia" w:ascii="宋体" w:hAnsi="宋体"/>
          <w:bCs/>
          <w:color w:val="000000"/>
          <w:sz w:val="32"/>
          <w:szCs w:val="32"/>
        </w:rPr>
        <w:t>中粒式SBS改性沥青混凝土AC-20C中面层</w:t>
      </w:r>
      <w:r>
        <w:rPr>
          <w:rFonts w:ascii="宋体" w:hAnsi="宋体"/>
          <w:bCs/>
          <w:color w:val="000000"/>
          <w:sz w:val="32"/>
          <w:szCs w:val="32"/>
        </w:rPr>
        <w:t xml:space="preserve"> ；</w:t>
      </w:r>
    </w:p>
    <w:p w14:paraId="55D8DA36">
      <w:pPr>
        <w:spacing w:line="360" w:lineRule="auto"/>
        <w:ind w:firstLine="640" w:firstLineChars="200"/>
        <w:jc w:val="left"/>
        <w:rPr>
          <w:rFonts w:ascii="宋体" w:hAnsi="宋体"/>
          <w:bCs/>
          <w:color w:val="000000"/>
          <w:sz w:val="32"/>
          <w:szCs w:val="32"/>
        </w:rPr>
      </w:pPr>
      <w:r>
        <w:rPr>
          <w:rFonts w:ascii="宋体" w:hAnsi="宋体"/>
          <w:bCs/>
          <w:color w:val="000000"/>
          <w:sz w:val="32"/>
          <w:szCs w:val="32"/>
        </w:rPr>
        <w:t>（下封层：沥青下封层）</w:t>
      </w:r>
    </w:p>
    <w:p w14:paraId="1247738C">
      <w:pPr>
        <w:spacing w:line="360" w:lineRule="auto"/>
        <w:ind w:firstLine="640" w:firstLineChars="200"/>
        <w:jc w:val="left"/>
        <w:rPr>
          <w:rFonts w:ascii="宋体" w:hAnsi="宋体"/>
          <w:bCs/>
          <w:color w:val="000000"/>
          <w:sz w:val="32"/>
          <w:szCs w:val="32"/>
        </w:rPr>
      </w:pPr>
      <w:r>
        <w:rPr>
          <w:rFonts w:ascii="宋体" w:hAnsi="宋体"/>
          <w:bCs/>
          <w:color w:val="000000"/>
          <w:sz w:val="32"/>
          <w:szCs w:val="32"/>
        </w:rPr>
        <w:t>基层：水泥稳定碎石(5%)，厚36cm（18cm＋18cm）。</w:t>
      </w:r>
    </w:p>
    <w:p w14:paraId="4D2CFD05">
      <w:pPr>
        <w:spacing w:line="360" w:lineRule="auto"/>
        <w:ind w:firstLine="640" w:firstLineChars="200"/>
        <w:jc w:val="left"/>
        <w:rPr>
          <w:rFonts w:ascii="宋体" w:hAnsi="宋体"/>
          <w:bCs/>
          <w:color w:val="000000"/>
          <w:sz w:val="32"/>
          <w:szCs w:val="32"/>
        </w:rPr>
      </w:pPr>
      <w:r>
        <w:rPr>
          <w:rFonts w:ascii="宋体" w:hAnsi="宋体"/>
          <w:bCs/>
          <w:color w:val="000000"/>
          <w:sz w:val="32"/>
          <w:szCs w:val="32"/>
        </w:rPr>
        <w:t>底基层：水泥稳定</w:t>
      </w:r>
      <w:r>
        <w:rPr>
          <w:rFonts w:hint="eastAsia" w:ascii="宋体" w:hAnsi="宋体"/>
          <w:bCs/>
          <w:color w:val="000000"/>
          <w:sz w:val="32"/>
          <w:szCs w:val="32"/>
        </w:rPr>
        <w:t>风化砂（掺</w:t>
      </w:r>
      <w:r>
        <w:rPr>
          <w:rFonts w:ascii="宋体" w:hAnsi="宋体"/>
          <w:bCs/>
          <w:color w:val="000000"/>
          <w:sz w:val="32"/>
          <w:szCs w:val="32"/>
        </w:rPr>
        <w:t>碎石</w:t>
      </w:r>
      <w:r>
        <w:rPr>
          <w:rFonts w:hint="eastAsia" w:ascii="宋体" w:hAnsi="宋体"/>
          <w:bCs/>
          <w:color w:val="000000"/>
          <w:sz w:val="32"/>
          <w:szCs w:val="32"/>
        </w:rPr>
        <w:t>）</w:t>
      </w:r>
      <w:r>
        <w:rPr>
          <w:rFonts w:ascii="宋体" w:hAnsi="宋体"/>
          <w:bCs/>
          <w:color w:val="000000"/>
          <w:sz w:val="32"/>
          <w:szCs w:val="32"/>
        </w:rPr>
        <w:t>(</w:t>
      </w:r>
      <w:r>
        <w:rPr>
          <w:rFonts w:hint="eastAsia" w:ascii="宋体" w:hAnsi="宋体"/>
          <w:bCs/>
          <w:color w:val="000000"/>
          <w:sz w:val="32"/>
          <w:szCs w:val="32"/>
        </w:rPr>
        <w:t>4</w:t>
      </w:r>
      <w:r>
        <w:rPr>
          <w:rFonts w:ascii="宋体" w:hAnsi="宋体"/>
          <w:bCs/>
          <w:color w:val="000000"/>
          <w:sz w:val="32"/>
          <w:szCs w:val="32"/>
        </w:rPr>
        <w:t>%)，厚18cm。</w:t>
      </w:r>
    </w:p>
    <w:p w14:paraId="4EB87359">
      <w:pPr>
        <w:spacing w:line="360" w:lineRule="auto"/>
        <w:ind w:firstLine="640" w:firstLineChars="200"/>
        <w:jc w:val="left"/>
        <w:rPr>
          <w:rFonts w:ascii="宋体" w:hAnsi="宋体"/>
          <w:bCs/>
          <w:color w:val="000000"/>
          <w:sz w:val="32"/>
          <w:szCs w:val="32"/>
        </w:rPr>
      </w:pPr>
      <w:r>
        <w:rPr>
          <w:rFonts w:ascii="宋体" w:hAnsi="宋体"/>
          <w:bCs/>
          <w:color w:val="000000"/>
          <w:sz w:val="32"/>
          <w:szCs w:val="32"/>
        </w:rPr>
        <w:t>路面结构总厚度64cm。</w:t>
      </w:r>
    </w:p>
    <w:p w14:paraId="4F59874E">
      <w:pPr>
        <w:spacing w:line="360" w:lineRule="auto"/>
        <w:ind w:firstLine="640" w:firstLineChars="200"/>
        <w:jc w:val="left"/>
        <w:rPr>
          <w:rFonts w:ascii="宋体" w:hAnsi="宋体"/>
          <w:bCs/>
          <w:color w:val="000000"/>
          <w:sz w:val="32"/>
          <w:szCs w:val="32"/>
        </w:rPr>
      </w:pPr>
      <w:r>
        <w:rPr>
          <w:rFonts w:hint="eastAsia" w:ascii="宋体" w:hAnsi="宋体"/>
          <w:bCs/>
          <w:color w:val="000000"/>
          <w:sz w:val="32"/>
          <w:szCs w:val="32"/>
        </w:rPr>
        <w:t>5）乳山段主要规模：</w:t>
      </w:r>
    </w:p>
    <w:p w14:paraId="37D77648">
      <w:pPr>
        <w:spacing w:line="360" w:lineRule="auto"/>
        <w:ind w:firstLine="640" w:firstLineChars="200"/>
        <w:jc w:val="left"/>
        <w:rPr>
          <w:rFonts w:ascii="宋体" w:hAnsi="宋体"/>
          <w:bCs/>
          <w:color w:val="000000"/>
          <w:sz w:val="32"/>
          <w:szCs w:val="32"/>
        </w:rPr>
      </w:pPr>
      <w:r>
        <w:rPr>
          <w:rFonts w:hint="eastAsia" w:ascii="宋体" w:hAnsi="宋体"/>
          <w:bCs/>
          <w:color w:val="000000"/>
          <w:sz w:val="32"/>
          <w:szCs w:val="32"/>
        </w:rPr>
        <w:t>乳山段连接线长度625.483米（均为</w:t>
      </w:r>
      <w:r>
        <w:rPr>
          <w:rFonts w:ascii="宋体" w:hAnsi="宋体"/>
          <w:bCs/>
          <w:color w:val="000000"/>
          <w:sz w:val="32"/>
          <w:szCs w:val="32"/>
        </w:rPr>
        <w:t>路基长度，</w:t>
      </w:r>
      <w:r>
        <w:rPr>
          <w:rFonts w:hint="eastAsia" w:ascii="宋体" w:hAnsi="宋体"/>
          <w:bCs/>
          <w:color w:val="000000"/>
          <w:sz w:val="32"/>
          <w:szCs w:val="32"/>
        </w:rPr>
        <w:t>未含东侧引桥）</w:t>
      </w:r>
      <w:r>
        <w:rPr>
          <w:rFonts w:ascii="宋体" w:hAnsi="宋体"/>
          <w:bCs/>
          <w:color w:val="000000"/>
          <w:sz w:val="32"/>
          <w:szCs w:val="32"/>
        </w:rPr>
        <w:t>，占地133.47</w:t>
      </w:r>
      <w:r>
        <w:rPr>
          <w:rFonts w:hint="eastAsia" w:ascii="宋体" w:hAnsi="宋体"/>
          <w:bCs/>
          <w:color w:val="000000"/>
          <w:sz w:val="32"/>
          <w:szCs w:val="32"/>
        </w:rPr>
        <w:t>（含</w:t>
      </w:r>
      <w:r>
        <w:rPr>
          <w:rFonts w:ascii="宋体" w:hAnsi="宋体"/>
          <w:bCs/>
          <w:color w:val="000000"/>
          <w:sz w:val="32"/>
          <w:szCs w:val="32"/>
        </w:rPr>
        <w:t>养护工区</w:t>
      </w:r>
      <w:r>
        <w:rPr>
          <w:rFonts w:hint="eastAsia" w:ascii="宋体" w:hAnsi="宋体"/>
          <w:bCs/>
          <w:color w:val="000000"/>
          <w:sz w:val="32"/>
          <w:szCs w:val="32"/>
        </w:rPr>
        <w:t>17.1亩）亩；西山小桥总长29米/1座，改移到道路2处，路基小桥涵建安费估算约1834万。</w:t>
      </w:r>
    </w:p>
    <w:p w14:paraId="1338F44A">
      <w:pPr>
        <w:spacing w:line="360" w:lineRule="auto"/>
        <w:jc w:val="center"/>
        <w:rPr>
          <w:color w:val="000000"/>
          <w:sz w:val="32"/>
          <w:szCs w:val="32"/>
        </w:rPr>
      </w:pPr>
      <w:r>
        <w:rPr>
          <w:rFonts w:hint="eastAsia"/>
          <w:color w:val="000000"/>
          <w:sz w:val="32"/>
          <w:szCs w:val="32"/>
        </w:rPr>
        <w:drawing>
          <wp:inline distT="0" distB="0" distL="0" distR="0">
            <wp:extent cx="5271770" cy="3384550"/>
            <wp:effectExtent l="0" t="0" r="5080" b="5715"/>
            <wp:docPr id="1037" name="图片 47"/>
            <wp:cNvGraphicFramePr/>
            <a:graphic xmlns:a="http://schemas.openxmlformats.org/drawingml/2006/main">
              <a:graphicData uri="http://schemas.openxmlformats.org/drawingml/2006/picture">
                <pic:pic xmlns:pic="http://schemas.openxmlformats.org/drawingml/2006/picture">
                  <pic:nvPicPr>
                    <pic:cNvPr id="1037" name="图片 47"/>
                    <pic:cNvPicPr/>
                  </pic:nvPicPr>
                  <pic:blipFill>
                    <a:blip r:embed="rId21" cstate="print"/>
                    <a:srcRect t="9180"/>
                    <a:stretch>
                      <a:fillRect/>
                    </a:stretch>
                  </pic:blipFill>
                  <pic:spPr>
                    <a:xfrm>
                      <a:off x="0" y="0"/>
                      <a:ext cx="5271770" cy="3385184"/>
                    </a:xfrm>
                    <a:prstGeom prst="rect">
                      <a:avLst/>
                    </a:prstGeom>
                    <a:ln>
                      <a:noFill/>
                    </a:ln>
                  </pic:spPr>
                </pic:pic>
              </a:graphicData>
            </a:graphic>
          </wp:inline>
        </w:drawing>
      </w:r>
    </w:p>
    <w:p w14:paraId="38CEE42B">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11</w:t>
      </w:r>
      <w:r>
        <w:rPr>
          <w:rFonts w:hint="eastAsia" w:eastAsia="楷体"/>
          <w:color w:val="000000"/>
          <w:sz w:val="24"/>
        </w:rPr>
        <w:t>乳山口跨海大桥建设项目区位图</w:t>
      </w:r>
    </w:p>
    <w:p w14:paraId="5F1D4D9B">
      <w:pPr>
        <w:spacing w:line="360" w:lineRule="auto"/>
        <w:ind w:firstLine="640" w:firstLineChars="200"/>
        <w:rPr>
          <w:color w:val="000000"/>
          <w:sz w:val="32"/>
          <w:szCs w:val="32"/>
        </w:rPr>
      </w:pPr>
      <w:r>
        <w:rPr>
          <w:rFonts w:hint="eastAsia"/>
          <w:color w:val="000000"/>
          <w:sz w:val="32"/>
          <w:szCs w:val="32"/>
        </w:rPr>
        <w:t>对2</w:t>
      </w:r>
      <w:r>
        <w:rPr>
          <w:color w:val="000000"/>
          <w:sz w:val="32"/>
          <w:szCs w:val="32"/>
        </w:rPr>
        <w:t>0</w:t>
      </w:r>
      <w:r>
        <w:rPr>
          <w:rFonts w:hint="eastAsia"/>
          <w:color w:val="000000"/>
          <w:sz w:val="32"/>
          <w:szCs w:val="32"/>
        </w:rPr>
        <w:t>座四、五类危桥进行拆除重建，确保桥梁安全畅通，使乳山市危桥数量呈逐年下降的趋势。</w:t>
      </w:r>
    </w:p>
    <w:p w14:paraId="6B3E8CCC">
      <w:pPr>
        <w:spacing w:line="360" w:lineRule="auto"/>
        <w:ind w:firstLine="640" w:firstLineChars="200"/>
        <w:rPr>
          <w:color w:val="000000"/>
          <w:sz w:val="32"/>
          <w:szCs w:val="32"/>
        </w:rPr>
      </w:pPr>
      <w:r>
        <w:rPr>
          <w:color w:val="000000"/>
          <w:sz w:val="32"/>
          <w:szCs w:val="32"/>
        </w:rPr>
        <w:t>——</w:t>
      </w:r>
      <w:r>
        <w:rPr>
          <w:rFonts w:hint="eastAsia"/>
          <w:color w:val="000000"/>
          <w:sz w:val="32"/>
          <w:szCs w:val="32"/>
        </w:rPr>
        <w:t>农村公路。1）在“十四五”期间实施县乡路改造工程，对</w:t>
      </w:r>
      <w:r>
        <w:rPr>
          <w:color w:val="000000"/>
          <w:sz w:val="32"/>
          <w:szCs w:val="32"/>
        </w:rPr>
        <w:t>160</w:t>
      </w:r>
      <w:r>
        <w:rPr>
          <w:rFonts w:hint="eastAsia"/>
          <w:color w:val="000000"/>
          <w:sz w:val="32"/>
          <w:szCs w:val="32"/>
        </w:rPr>
        <w:t>多公里的县乡公路实施大中修改造，按三、四级公路标准设计，完善县乡路路网结构，提高道路通行条件。</w:t>
      </w:r>
    </w:p>
    <w:p w14:paraId="4025EC2E">
      <w:pPr>
        <w:spacing w:line="360" w:lineRule="auto"/>
        <w:ind w:firstLine="640" w:firstLineChars="200"/>
        <w:rPr>
          <w:color w:val="000000"/>
          <w:sz w:val="32"/>
          <w:szCs w:val="32"/>
        </w:rPr>
      </w:pPr>
      <w:r>
        <w:rPr>
          <w:rFonts w:hint="eastAsia"/>
          <w:color w:val="000000"/>
          <w:sz w:val="32"/>
          <w:szCs w:val="32"/>
        </w:rPr>
        <w:t>2）建设威海西部环山路（乳山段）建设项目，路线长1</w:t>
      </w:r>
      <w:r>
        <w:rPr>
          <w:color w:val="000000"/>
          <w:sz w:val="32"/>
          <w:szCs w:val="32"/>
        </w:rPr>
        <w:t>19.5</w:t>
      </w:r>
      <w:r>
        <w:rPr>
          <w:rFonts w:hint="eastAsia"/>
          <w:color w:val="000000"/>
          <w:sz w:val="32"/>
          <w:szCs w:val="32"/>
        </w:rPr>
        <w:t>公里，其中新改建县乡道</w:t>
      </w:r>
      <w:r>
        <w:rPr>
          <w:color w:val="000000"/>
          <w:sz w:val="32"/>
          <w:szCs w:val="32"/>
        </w:rPr>
        <w:t>51.02</w:t>
      </w:r>
      <w:r>
        <w:rPr>
          <w:rFonts w:hint="eastAsia"/>
          <w:color w:val="000000"/>
          <w:sz w:val="32"/>
          <w:szCs w:val="32"/>
        </w:rPr>
        <w:t>公里，贯彻落实威海市委、市政府“精致城市·幸福威海”发展战略，实现环山路两侧的美化绿化，打造“景观公路”，助力乡村振兴及美丽乡村建设，促进全域旅游发展。</w:t>
      </w:r>
    </w:p>
    <w:p w14:paraId="6545FE7A">
      <w:pPr>
        <w:spacing w:line="360" w:lineRule="auto"/>
        <w:ind w:firstLine="640" w:firstLineChars="200"/>
        <w:rPr>
          <w:color w:val="000000"/>
          <w:sz w:val="32"/>
          <w:szCs w:val="32"/>
        </w:rPr>
      </w:pPr>
      <w:r>
        <w:rPr>
          <w:color w:val="000000"/>
          <w:sz w:val="32"/>
          <w:szCs w:val="32"/>
        </w:rPr>
        <w:t>3</w:t>
      </w:r>
      <w:r>
        <w:rPr>
          <w:rFonts w:hint="eastAsia"/>
          <w:color w:val="000000"/>
          <w:sz w:val="32"/>
          <w:szCs w:val="32"/>
        </w:rPr>
        <w:t>）指导各乡镇完成村级道路改造2</w:t>
      </w:r>
      <w:r>
        <w:rPr>
          <w:color w:val="000000"/>
          <w:sz w:val="32"/>
          <w:szCs w:val="32"/>
        </w:rPr>
        <w:t>73</w:t>
      </w:r>
      <w:r>
        <w:rPr>
          <w:rFonts w:hint="eastAsia"/>
          <w:color w:val="000000"/>
          <w:sz w:val="32"/>
          <w:szCs w:val="32"/>
        </w:rPr>
        <w:t>公里，由各镇政府组织实施，进一步提高村道通行质量。</w:t>
      </w:r>
    </w:p>
    <w:p w14:paraId="6B0D49F3">
      <w:pPr>
        <w:spacing w:line="360" w:lineRule="auto"/>
        <w:ind w:firstLine="640" w:firstLineChars="200"/>
        <w:rPr>
          <w:color w:val="000000"/>
          <w:sz w:val="32"/>
          <w:szCs w:val="32"/>
        </w:rPr>
      </w:pPr>
      <w:r>
        <w:rPr>
          <w:color w:val="000000"/>
          <w:sz w:val="32"/>
          <w:szCs w:val="32"/>
        </w:rPr>
        <w:t>4</w:t>
      </w:r>
      <w:r>
        <w:rPr>
          <w:rFonts w:hint="eastAsia"/>
          <w:color w:val="000000"/>
          <w:sz w:val="32"/>
          <w:szCs w:val="32"/>
        </w:rPr>
        <w:t>）增补县乡路损坏及丢失的安保设施，实施村道安保工程，重点为通校车、客车路段，以及桥梁护栏缺失、损坏等路段进行增设、恢复，提高桥梁安全性，极大提高道路安全通行能力，保障乳山市农村公路安全畅通。</w:t>
      </w:r>
    </w:p>
    <w:p w14:paraId="51D8163A">
      <w:pPr>
        <w:spacing w:line="360" w:lineRule="auto"/>
        <w:ind w:firstLine="640" w:firstLineChars="200"/>
        <w:rPr>
          <w:color w:val="000000"/>
          <w:sz w:val="32"/>
          <w:szCs w:val="32"/>
        </w:rPr>
      </w:pPr>
      <w:r>
        <w:rPr>
          <w:color w:val="000000"/>
          <w:sz w:val="32"/>
          <w:szCs w:val="32"/>
        </w:rPr>
        <w:t>5</w:t>
      </w:r>
      <w:r>
        <w:rPr>
          <w:rFonts w:hint="eastAsia"/>
          <w:color w:val="000000"/>
          <w:sz w:val="32"/>
          <w:szCs w:val="32"/>
        </w:rPr>
        <w:t>）完成“户户通工程”扫尾工作，打通惠及百姓的“最后一公里”，夯实乡村振兴战略的基础支撑。</w:t>
      </w:r>
    </w:p>
    <w:p w14:paraId="10AA3D34">
      <w:pPr>
        <w:spacing w:line="360" w:lineRule="auto"/>
        <w:ind w:firstLine="640" w:firstLineChars="200"/>
        <w:rPr>
          <w:color w:val="000000"/>
          <w:sz w:val="32"/>
          <w:szCs w:val="32"/>
        </w:rPr>
      </w:pPr>
      <w:r>
        <w:rPr>
          <w:rFonts w:hint="eastAsia"/>
          <w:color w:val="000000"/>
          <w:sz w:val="32"/>
          <w:szCs w:val="32"/>
        </w:rPr>
        <w:t>下表</w:t>
      </w:r>
      <w:r>
        <w:rPr>
          <w:color w:val="000000"/>
          <w:sz w:val="32"/>
          <w:szCs w:val="32"/>
        </w:rPr>
        <w:t>2</w:t>
      </w:r>
      <w:r>
        <w:rPr>
          <w:rFonts w:hint="eastAsia"/>
          <w:color w:val="000000"/>
          <w:sz w:val="32"/>
          <w:szCs w:val="32"/>
        </w:rPr>
        <w:t>为“十四五”农村公路改造工程项目表：</w:t>
      </w:r>
    </w:p>
    <w:p w14:paraId="712606CE">
      <w:pPr>
        <w:spacing w:line="360" w:lineRule="auto"/>
        <w:jc w:val="center"/>
        <w:rPr>
          <w:rFonts w:eastAsia="楷体"/>
          <w:color w:val="000000"/>
          <w:sz w:val="24"/>
        </w:rPr>
      </w:pPr>
      <w:r>
        <w:rPr>
          <w:rFonts w:hint="eastAsia" w:eastAsia="楷体"/>
          <w:color w:val="000000"/>
          <w:sz w:val="24"/>
        </w:rPr>
        <w:t>表</w:t>
      </w:r>
      <w:r>
        <w:rPr>
          <w:rFonts w:eastAsia="楷体"/>
          <w:color w:val="000000"/>
          <w:sz w:val="24"/>
        </w:rPr>
        <w:t>2</w:t>
      </w:r>
      <w:r>
        <w:rPr>
          <w:rFonts w:hint="eastAsia" w:eastAsia="楷体"/>
          <w:color w:val="000000"/>
          <w:sz w:val="24"/>
        </w:rPr>
        <w:t>“十四五”农村公路改造工程项目表</w:t>
      </w:r>
    </w:p>
    <w:tbl>
      <w:tblPr>
        <w:tblStyle w:val="29"/>
        <w:tblW w:w="8306" w:type="dxa"/>
        <w:jc w:val="center"/>
        <w:tblBorders>
          <w:top w:val="single" w:color="7F7F7F" w:sz="4" w:space="0"/>
          <w:left w:val="none" w:color="auto" w:sz="0" w:space="0"/>
          <w:bottom w:val="single" w:color="7F7F7F"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60"/>
        <w:gridCol w:w="3045"/>
        <w:gridCol w:w="1585"/>
        <w:gridCol w:w="1531"/>
        <w:gridCol w:w="585"/>
      </w:tblGrid>
      <w:tr w14:paraId="0721F1AF">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7721" w:type="dxa"/>
            <w:gridSpan w:val="4"/>
          </w:tcPr>
          <w:p w14:paraId="503F2CC1">
            <w:pPr>
              <w:spacing w:line="360" w:lineRule="auto"/>
              <w:jc w:val="center"/>
              <w:rPr>
                <w:b w:val="0"/>
                <w:bCs w:val="0"/>
                <w:color w:val="000000"/>
                <w:sz w:val="32"/>
                <w:szCs w:val="32"/>
              </w:rPr>
            </w:pPr>
            <w:r>
              <w:rPr>
                <w:rFonts w:hint="eastAsia"/>
                <w:b w:val="0"/>
                <w:bCs w:val="0"/>
                <w:color w:val="000000"/>
                <w:sz w:val="32"/>
                <w:szCs w:val="32"/>
              </w:rPr>
              <w:t>县乡路改建工程</w:t>
            </w:r>
          </w:p>
        </w:tc>
      </w:tr>
      <w:tr w14:paraId="1A69CEBC">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tcBorders>
              <w:top w:val="single" w:color="7F7F7F" w:sz="4" w:space="0"/>
              <w:bottom w:val="single" w:color="7F7F7F" w:sz="4" w:space="0"/>
            </w:tcBorders>
          </w:tcPr>
          <w:p w14:paraId="03F6D38D">
            <w:pPr>
              <w:spacing w:line="360" w:lineRule="auto"/>
              <w:rPr>
                <w:b w:val="0"/>
                <w:bCs w:val="0"/>
                <w:color w:val="000000"/>
                <w:sz w:val="32"/>
                <w:szCs w:val="32"/>
              </w:rPr>
            </w:pPr>
            <w:r>
              <w:rPr>
                <w:rFonts w:hint="eastAsia"/>
                <w:b w:val="0"/>
                <w:bCs w:val="0"/>
                <w:color w:val="000000"/>
                <w:sz w:val="32"/>
                <w:szCs w:val="32"/>
              </w:rPr>
              <w:t>时间</w:t>
            </w:r>
          </w:p>
        </w:tc>
        <w:tc>
          <w:tcPr>
            <w:tcW w:w="3045" w:type="dxa"/>
            <w:tcBorders>
              <w:top w:val="single" w:color="7F7F7F" w:sz="4" w:space="0"/>
              <w:bottom w:val="single" w:color="7F7F7F" w:sz="4" w:space="0"/>
            </w:tcBorders>
          </w:tcPr>
          <w:p w14:paraId="5033BA41">
            <w:pPr>
              <w:spacing w:line="360" w:lineRule="auto"/>
              <w:rPr>
                <w:color w:val="000000"/>
                <w:sz w:val="32"/>
                <w:szCs w:val="32"/>
              </w:rPr>
            </w:pPr>
            <w:r>
              <w:rPr>
                <w:rFonts w:hint="eastAsia"/>
                <w:color w:val="000000"/>
                <w:sz w:val="32"/>
                <w:szCs w:val="32"/>
              </w:rPr>
              <w:t>线路名称</w:t>
            </w:r>
          </w:p>
        </w:tc>
        <w:tc>
          <w:tcPr>
            <w:tcW w:w="1585" w:type="dxa"/>
            <w:tcBorders>
              <w:top w:val="single" w:color="7F7F7F" w:sz="4" w:space="0"/>
              <w:bottom w:val="single" w:color="7F7F7F" w:sz="4" w:space="0"/>
            </w:tcBorders>
          </w:tcPr>
          <w:p w14:paraId="703C852B">
            <w:pPr>
              <w:spacing w:line="360" w:lineRule="auto"/>
              <w:rPr>
                <w:color w:val="000000"/>
                <w:sz w:val="32"/>
                <w:szCs w:val="32"/>
              </w:rPr>
            </w:pPr>
            <w:r>
              <w:rPr>
                <w:rFonts w:hint="eastAsia"/>
                <w:color w:val="000000"/>
                <w:sz w:val="32"/>
                <w:szCs w:val="32"/>
              </w:rPr>
              <w:t>里程（km）</w:t>
            </w:r>
          </w:p>
        </w:tc>
        <w:tc>
          <w:tcPr>
            <w:tcW w:w="1531" w:type="dxa"/>
            <w:tcBorders>
              <w:top w:val="single" w:color="7F7F7F" w:sz="4" w:space="0"/>
              <w:bottom w:val="single" w:color="7F7F7F" w:sz="4" w:space="0"/>
            </w:tcBorders>
          </w:tcPr>
          <w:p w14:paraId="0858E84B">
            <w:pPr>
              <w:spacing w:line="360" w:lineRule="auto"/>
              <w:rPr>
                <w:color w:val="000000"/>
                <w:sz w:val="32"/>
                <w:szCs w:val="32"/>
              </w:rPr>
            </w:pPr>
            <w:r>
              <w:rPr>
                <w:rFonts w:hint="eastAsia"/>
                <w:color w:val="000000"/>
                <w:sz w:val="32"/>
                <w:szCs w:val="32"/>
              </w:rPr>
              <w:t>备注</w:t>
            </w:r>
          </w:p>
        </w:tc>
      </w:tr>
      <w:tr w14:paraId="72FD9617">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restart"/>
            <w:vAlign w:val="center"/>
          </w:tcPr>
          <w:p w14:paraId="29D4046B">
            <w:pPr>
              <w:spacing w:line="360" w:lineRule="auto"/>
              <w:jc w:val="center"/>
              <w:rPr>
                <w:color w:val="000000"/>
                <w:sz w:val="32"/>
                <w:szCs w:val="32"/>
              </w:rPr>
            </w:pPr>
            <w:r>
              <w:rPr>
                <w:rFonts w:hint="eastAsia"/>
                <w:b w:val="0"/>
                <w:bCs w:val="0"/>
                <w:color w:val="000000"/>
                <w:sz w:val="32"/>
                <w:szCs w:val="32"/>
              </w:rPr>
              <w:t>“十四五”期间</w:t>
            </w:r>
          </w:p>
        </w:tc>
        <w:tc>
          <w:tcPr>
            <w:tcW w:w="3045" w:type="dxa"/>
            <w:tcBorders>
              <w:top w:val="single" w:color="7F7F7F" w:sz="4" w:space="0"/>
              <w:bottom w:val="single" w:color="auto" w:sz="4" w:space="0"/>
            </w:tcBorders>
          </w:tcPr>
          <w:p w14:paraId="523AA0E7">
            <w:pPr>
              <w:spacing w:line="360" w:lineRule="auto"/>
              <w:rPr>
                <w:color w:val="000000"/>
                <w:sz w:val="32"/>
                <w:szCs w:val="32"/>
              </w:rPr>
            </w:pPr>
            <w:r>
              <w:rPr>
                <w:rFonts w:hint="eastAsia"/>
                <w:color w:val="000000"/>
                <w:sz w:val="32"/>
                <w:szCs w:val="32"/>
              </w:rPr>
              <w:t>河夏线改建工程</w:t>
            </w:r>
          </w:p>
        </w:tc>
        <w:tc>
          <w:tcPr>
            <w:tcW w:w="1585" w:type="dxa"/>
            <w:tcBorders>
              <w:top w:val="single" w:color="7F7F7F" w:sz="4" w:space="0"/>
              <w:bottom w:val="single" w:color="auto" w:sz="4" w:space="0"/>
            </w:tcBorders>
          </w:tcPr>
          <w:p w14:paraId="60FDF284">
            <w:pPr>
              <w:spacing w:line="360" w:lineRule="auto"/>
              <w:rPr>
                <w:color w:val="000000"/>
                <w:sz w:val="32"/>
                <w:szCs w:val="32"/>
              </w:rPr>
            </w:pPr>
            <w:r>
              <w:rPr>
                <w:color w:val="000000"/>
                <w:sz w:val="32"/>
                <w:szCs w:val="32"/>
              </w:rPr>
              <w:t>23</w:t>
            </w:r>
          </w:p>
        </w:tc>
        <w:tc>
          <w:tcPr>
            <w:tcW w:w="1531" w:type="dxa"/>
            <w:tcBorders>
              <w:top w:val="single" w:color="7F7F7F" w:sz="4" w:space="0"/>
              <w:bottom w:val="single" w:color="auto" w:sz="4" w:space="0"/>
            </w:tcBorders>
          </w:tcPr>
          <w:p w14:paraId="121E82DB">
            <w:pPr>
              <w:spacing w:line="360" w:lineRule="auto"/>
              <w:rPr>
                <w:color w:val="000000"/>
                <w:sz w:val="32"/>
                <w:szCs w:val="32"/>
              </w:rPr>
            </w:pPr>
          </w:p>
        </w:tc>
      </w:tr>
      <w:tr w14:paraId="2B47093D">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2B0EDEBC">
            <w:pPr>
              <w:spacing w:line="360" w:lineRule="auto"/>
              <w:jc w:val="center"/>
              <w:rPr>
                <w:b w:val="0"/>
                <w:bCs w:val="0"/>
                <w:color w:val="000000"/>
                <w:sz w:val="32"/>
                <w:szCs w:val="32"/>
              </w:rPr>
            </w:pPr>
          </w:p>
        </w:tc>
        <w:tc>
          <w:tcPr>
            <w:tcW w:w="3045" w:type="dxa"/>
            <w:tcBorders>
              <w:top w:val="single" w:color="auto" w:sz="4" w:space="0"/>
              <w:bottom w:val="single" w:color="auto" w:sz="4" w:space="0"/>
            </w:tcBorders>
          </w:tcPr>
          <w:p w14:paraId="6E28F0DD">
            <w:pPr>
              <w:spacing w:line="360" w:lineRule="auto"/>
              <w:rPr>
                <w:color w:val="000000"/>
                <w:sz w:val="32"/>
                <w:szCs w:val="32"/>
              </w:rPr>
            </w:pPr>
            <w:r>
              <w:rPr>
                <w:rFonts w:hint="eastAsia"/>
                <w:color w:val="000000"/>
                <w:sz w:val="32"/>
                <w:szCs w:val="32"/>
              </w:rPr>
              <w:t>磨崖线大修改造工程</w:t>
            </w:r>
          </w:p>
        </w:tc>
        <w:tc>
          <w:tcPr>
            <w:tcW w:w="1585" w:type="dxa"/>
            <w:tcBorders>
              <w:top w:val="single" w:color="auto" w:sz="4" w:space="0"/>
              <w:bottom w:val="single" w:color="auto" w:sz="4" w:space="0"/>
            </w:tcBorders>
          </w:tcPr>
          <w:p w14:paraId="78BC3847">
            <w:pPr>
              <w:spacing w:line="360" w:lineRule="auto"/>
              <w:rPr>
                <w:color w:val="000000"/>
                <w:sz w:val="32"/>
                <w:szCs w:val="32"/>
              </w:rPr>
            </w:pPr>
            <w:r>
              <w:rPr>
                <w:rFonts w:hint="eastAsia"/>
                <w:color w:val="000000"/>
                <w:sz w:val="32"/>
                <w:szCs w:val="32"/>
              </w:rPr>
              <w:t>5</w:t>
            </w:r>
          </w:p>
        </w:tc>
        <w:tc>
          <w:tcPr>
            <w:tcW w:w="1531" w:type="dxa"/>
            <w:tcBorders>
              <w:top w:val="single" w:color="auto" w:sz="4" w:space="0"/>
              <w:bottom w:val="single" w:color="auto" w:sz="4" w:space="0"/>
            </w:tcBorders>
          </w:tcPr>
          <w:p w14:paraId="0A678256">
            <w:pPr>
              <w:spacing w:line="360" w:lineRule="auto"/>
              <w:rPr>
                <w:color w:val="000000"/>
                <w:sz w:val="32"/>
                <w:szCs w:val="32"/>
              </w:rPr>
            </w:pPr>
          </w:p>
        </w:tc>
      </w:tr>
      <w:tr w14:paraId="1A9B46A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5F10027B">
            <w:pPr>
              <w:spacing w:line="360" w:lineRule="auto"/>
              <w:jc w:val="center"/>
              <w:rPr>
                <w:b w:val="0"/>
                <w:bCs w:val="0"/>
                <w:color w:val="000000"/>
                <w:sz w:val="32"/>
                <w:szCs w:val="32"/>
              </w:rPr>
            </w:pPr>
          </w:p>
        </w:tc>
        <w:tc>
          <w:tcPr>
            <w:tcW w:w="3045" w:type="dxa"/>
            <w:tcBorders>
              <w:top w:val="single" w:color="auto" w:sz="4" w:space="0"/>
              <w:bottom w:val="single" w:color="auto" w:sz="4" w:space="0"/>
            </w:tcBorders>
          </w:tcPr>
          <w:p w14:paraId="041A33DA">
            <w:pPr>
              <w:spacing w:line="360" w:lineRule="auto"/>
              <w:rPr>
                <w:color w:val="000000"/>
                <w:sz w:val="32"/>
                <w:szCs w:val="32"/>
              </w:rPr>
            </w:pPr>
            <w:r>
              <w:rPr>
                <w:rFonts w:hint="eastAsia"/>
                <w:color w:val="000000"/>
                <w:sz w:val="32"/>
                <w:szCs w:val="32"/>
              </w:rPr>
              <w:t>裴赵线大修改造工程</w:t>
            </w:r>
          </w:p>
        </w:tc>
        <w:tc>
          <w:tcPr>
            <w:tcW w:w="1585" w:type="dxa"/>
            <w:tcBorders>
              <w:top w:val="single" w:color="auto" w:sz="4" w:space="0"/>
              <w:bottom w:val="single" w:color="auto" w:sz="4" w:space="0"/>
            </w:tcBorders>
          </w:tcPr>
          <w:p w14:paraId="596329DD">
            <w:pPr>
              <w:spacing w:line="360" w:lineRule="auto"/>
              <w:rPr>
                <w:color w:val="000000"/>
                <w:sz w:val="32"/>
                <w:szCs w:val="32"/>
              </w:rPr>
            </w:pPr>
            <w:r>
              <w:rPr>
                <w:rFonts w:hint="eastAsia"/>
                <w:color w:val="000000"/>
                <w:sz w:val="32"/>
                <w:szCs w:val="32"/>
              </w:rPr>
              <w:t>1</w:t>
            </w:r>
            <w:r>
              <w:rPr>
                <w:color w:val="000000"/>
                <w:sz w:val="32"/>
                <w:szCs w:val="32"/>
              </w:rPr>
              <w:t>.78</w:t>
            </w:r>
          </w:p>
        </w:tc>
        <w:tc>
          <w:tcPr>
            <w:tcW w:w="1531" w:type="dxa"/>
            <w:tcBorders>
              <w:top w:val="single" w:color="auto" w:sz="4" w:space="0"/>
              <w:bottom w:val="single" w:color="auto" w:sz="4" w:space="0"/>
            </w:tcBorders>
          </w:tcPr>
          <w:p w14:paraId="712C6810">
            <w:pPr>
              <w:spacing w:line="360" w:lineRule="auto"/>
              <w:rPr>
                <w:color w:val="000000"/>
                <w:sz w:val="32"/>
                <w:szCs w:val="32"/>
              </w:rPr>
            </w:pPr>
          </w:p>
        </w:tc>
      </w:tr>
      <w:tr w14:paraId="55B38909">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06A0B716">
            <w:pPr>
              <w:spacing w:line="360" w:lineRule="auto"/>
              <w:jc w:val="center"/>
              <w:rPr>
                <w:b w:val="0"/>
                <w:bCs w:val="0"/>
                <w:color w:val="000000"/>
                <w:sz w:val="32"/>
                <w:szCs w:val="32"/>
              </w:rPr>
            </w:pPr>
          </w:p>
        </w:tc>
        <w:tc>
          <w:tcPr>
            <w:tcW w:w="3045" w:type="dxa"/>
            <w:tcBorders>
              <w:top w:val="single" w:color="auto" w:sz="4" w:space="0"/>
              <w:bottom w:val="single" w:color="auto" w:sz="4" w:space="0"/>
            </w:tcBorders>
          </w:tcPr>
          <w:p w14:paraId="60B290AD">
            <w:pPr>
              <w:spacing w:line="360" w:lineRule="auto"/>
              <w:rPr>
                <w:color w:val="000000"/>
                <w:sz w:val="32"/>
                <w:szCs w:val="32"/>
              </w:rPr>
            </w:pPr>
            <w:r>
              <w:rPr>
                <w:rFonts w:hint="eastAsia"/>
                <w:color w:val="000000"/>
                <w:sz w:val="32"/>
                <w:szCs w:val="32"/>
              </w:rPr>
              <w:t>河石线改建工程</w:t>
            </w:r>
          </w:p>
        </w:tc>
        <w:tc>
          <w:tcPr>
            <w:tcW w:w="1585" w:type="dxa"/>
            <w:tcBorders>
              <w:top w:val="single" w:color="auto" w:sz="4" w:space="0"/>
              <w:bottom w:val="single" w:color="auto" w:sz="4" w:space="0"/>
            </w:tcBorders>
          </w:tcPr>
          <w:p w14:paraId="5A3581CC">
            <w:pPr>
              <w:spacing w:line="360" w:lineRule="auto"/>
              <w:rPr>
                <w:color w:val="000000"/>
                <w:sz w:val="32"/>
                <w:szCs w:val="32"/>
              </w:rPr>
            </w:pPr>
            <w:r>
              <w:rPr>
                <w:rFonts w:hint="eastAsia"/>
                <w:color w:val="000000"/>
                <w:sz w:val="32"/>
                <w:szCs w:val="32"/>
              </w:rPr>
              <w:t>1</w:t>
            </w:r>
            <w:r>
              <w:rPr>
                <w:color w:val="000000"/>
                <w:sz w:val="32"/>
                <w:szCs w:val="32"/>
              </w:rPr>
              <w:t>0.234</w:t>
            </w:r>
          </w:p>
        </w:tc>
        <w:tc>
          <w:tcPr>
            <w:tcW w:w="1531" w:type="dxa"/>
            <w:tcBorders>
              <w:top w:val="single" w:color="auto" w:sz="4" w:space="0"/>
              <w:bottom w:val="single" w:color="auto" w:sz="4" w:space="0"/>
            </w:tcBorders>
          </w:tcPr>
          <w:p w14:paraId="3C45A008">
            <w:pPr>
              <w:spacing w:line="360" w:lineRule="auto"/>
              <w:rPr>
                <w:color w:val="000000"/>
                <w:sz w:val="32"/>
                <w:szCs w:val="32"/>
              </w:rPr>
            </w:pPr>
          </w:p>
        </w:tc>
      </w:tr>
      <w:tr w14:paraId="5C61D817">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vAlign w:val="center"/>
          </w:tcPr>
          <w:p w14:paraId="24D536B9">
            <w:pPr>
              <w:spacing w:line="360" w:lineRule="auto"/>
              <w:jc w:val="center"/>
              <w:rPr>
                <w:color w:val="000000"/>
                <w:sz w:val="32"/>
                <w:szCs w:val="32"/>
              </w:rPr>
            </w:pPr>
          </w:p>
        </w:tc>
        <w:tc>
          <w:tcPr>
            <w:tcW w:w="3045" w:type="dxa"/>
            <w:tcBorders>
              <w:top w:val="single" w:color="auto" w:sz="4" w:space="0"/>
              <w:bottom w:val="single" w:color="auto" w:sz="4" w:space="0"/>
            </w:tcBorders>
          </w:tcPr>
          <w:p w14:paraId="734D6DF2">
            <w:pPr>
              <w:spacing w:line="360" w:lineRule="auto"/>
              <w:rPr>
                <w:color w:val="000000"/>
                <w:sz w:val="32"/>
                <w:szCs w:val="32"/>
              </w:rPr>
            </w:pPr>
            <w:r>
              <w:rPr>
                <w:rFonts w:hint="eastAsia"/>
                <w:color w:val="000000"/>
                <w:sz w:val="32"/>
                <w:szCs w:val="32"/>
              </w:rPr>
              <w:t>万后线改建工程</w:t>
            </w:r>
          </w:p>
        </w:tc>
        <w:tc>
          <w:tcPr>
            <w:tcW w:w="1585" w:type="dxa"/>
            <w:tcBorders>
              <w:top w:val="single" w:color="auto" w:sz="4" w:space="0"/>
              <w:bottom w:val="single" w:color="auto" w:sz="4" w:space="0"/>
            </w:tcBorders>
          </w:tcPr>
          <w:p w14:paraId="5F8984C6">
            <w:pPr>
              <w:spacing w:line="360" w:lineRule="auto"/>
              <w:rPr>
                <w:color w:val="000000"/>
                <w:sz w:val="32"/>
                <w:szCs w:val="32"/>
              </w:rPr>
            </w:pPr>
            <w:r>
              <w:rPr>
                <w:rFonts w:hint="eastAsia"/>
                <w:color w:val="000000"/>
                <w:sz w:val="32"/>
                <w:szCs w:val="32"/>
              </w:rPr>
              <w:t>4</w:t>
            </w:r>
            <w:r>
              <w:rPr>
                <w:color w:val="000000"/>
                <w:sz w:val="32"/>
                <w:szCs w:val="32"/>
              </w:rPr>
              <w:t>.45</w:t>
            </w:r>
          </w:p>
        </w:tc>
        <w:tc>
          <w:tcPr>
            <w:tcW w:w="1531" w:type="dxa"/>
            <w:tcBorders>
              <w:top w:val="single" w:color="auto" w:sz="4" w:space="0"/>
              <w:bottom w:val="single" w:color="auto" w:sz="4" w:space="0"/>
            </w:tcBorders>
          </w:tcPr>
          <w:p w14:paraId="1A3C1CD7">
            <w:pPr>
              <w:spacing w:line="360" w:lineRule="auto"/>
              <w:rPr>
                <w:color w:val="000000"/>
                <w:sz w:val="32"/>
                <w:szCs w:val="32"/>
              </w:rPr>
            </w:pPr>
          </w:p>
        </w:tc>
      </w:tr>
      <w:tr w14:paraId="544C3425">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3AAF16E1">
            <w:pPr>
              <w:spacing w:line="360" w:lineRule="auto"/>
              <w:rPr>
                <w:b w:val="0"/>
                <w:bCs w:val="0"/>
                <w:color w:val="000000"/>
                <w:sz w:val="32"/>
                <w:szCs w:val="32"/>
              </w:rPr>
            </w:pPr>
          </w:p>
        </w:tc>
        <w:tc>
          <w:tcPr>
            <w:tcW w:w="3045" w:type="dxa"/>
            <w:tcBorders>
              <w:top w:val="single" w:color="auto" w:sz="4" w:space="0"/>
              <w:bottom w:val="single" w:color="auto" w:sz="4" w:space="0"/>
            </w:tcBorders>
          </w:tcPr>
          <w:p w14:paraId="24C7164F">
            <w:pPr>
              <w:spacing w:line="360" w:lineRule="auto"/>
              <w:rPr>
                <w:color w:val="000000"/>
                <w:sz w:val="32"/>
                <w:szCs w:val="32"/>
              </w:rPr>
            </w:pPr>
            <w:r>
              <w:rPr>
                <w:rFonts w:hint="eastAsia"/>
                <w:color w:val="000000"/>
                <w:sz w:val="32"/>
                <w:szCs w:val="32"/>
              </w:rPr>
              <w:t>海沙线大中修改造工程</w:t>
            </w:r>
          </w:p>
        </w:tc>
        <w:tc>
          <w:tcPr>
            <w:tcW w:w="1585" w:type="dxa"/>
            <w:tcBorders>
              <w:top w:val="single" w:color="auto" w:sz="4" w:space="0"/>
              <w:bottom w:val="single" w:color="auto" w:sz="4" w:space="0"/>
            </w:tcBorders>
          </w:tcPr>
          <w:p w14:paraId="0E66F293">
            <w:pPr>
              <w:spacing w:line="360" w:lineRule="auto"/>
              <w:rPr>
                <w:color w:val="000000"/>
                <w:sz w:val="32"/>
                <w:szCs w:val="32"/>
              </w:rPr>
            </w:pPr>
            <w:r>
              <w:rPr>
                <w:rFonts w:hint="eastAsia"/>
                <w:color w:val="000000"/>
                <w:sz w:val="32"/>
                <w:szCs w:val="32"/>
              </w:rPr>
              <w:t>1</w:t>
            </w:r>
            <w:r>
              <w:rPr>
                <w:color w:val="000000"/>
                <w:sz w:val="32"/>
                <w:szCs w:val="32"/>
              </w:rPr>
              <w:t>0.944</w:t>
            </w:r>
          </w:p>
        </w:tc>
        <w:tc>
          <w:tcPr>
            <w:tcW w:w="1531" w:type="dxa"/>
            <w:tcBorders>
              <w:top w:val="single" w:color="auto" w:sz="4" w:space="0"/>
              <w:bottom w:val="single" w:color="auto" w:sz="4" w:space="0"/>
            </w:tcBorders>
          </w:tcPr>
          <w:p w14:paraId="0E2C9C48">
            <w:pPr>
              <w:spacing w:line="360" w:lineRule="auto"/>
              <w:rPr>
                <w:color w:val="000000"/>
                <w:sz w:val="32"/>
                <w:szCs w:val="32"/>
              </w:rPr>
            </w:pPr>
            <w:r>
              <w:rPr>
                <w:rFonts w:hint="eastAsia"/>
                <w:color w:val="000000"/>
                <w:sz w:val="32"/>
                <w:szCs w:val="32"/>
              </w:rPr>
              <w:t>其中5</w:t>
            </w:r>
            <w:r>
              <w:rPr>
                <w:color w:val="000000"/>
                <w:sz w:val="32"/>
                <w:szCs w:val="32"/>
              </w:rPr>
              <w:t>.1</w:t>
            </w:r>
            <w:r>
              <w:rPr>
                <w:rFonts w:hint="eastAsia"/>
                <w:color w:val="000000"/>
                <w:sz w:val="32"/>
                <w:szCs w:val="32"/>
              </w:rPr>
              <w:t>公里大修改造，5</w:t>
            </w:r>
            <w:r>
              <w:rPr>
                <w:color w:val="000000"/>
                <w:sz w:val="32"/>
                <w:szCs w:val="32"/>
              </w:rPr>
              <w:t>.844</w:t>
            </w:r>
            <w:r>
              <w:rPr>
                <w:rFonts w:hint="eastAsia"/>
                <w:color w:val="000000"/>
                <w:sz w:val="32"/>
                <w:szCs w:val="32"/>
              </w:rPr>
              <w:t>公里为小中修</w:t>
            </w:r>
          </w:p>
        </w:tc>
      </w:tr>
      <w:tr w14:paraId="5A6F9D54">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615A92BA">
            <w:pPr>
              <w:spacing w:line="360" w:lineRule="auto"/>
              <w:rPr>
                <w:b w:val="0"/>
                <w:bCs w:val="0"/>
                <w:color w:val="000000"/>
                <w:sz w:val="32"/>
                <w:szCs w:val="32"/>
              </w:rPr>
            </w:pPr>
          </w:p>
        </w:tc>
        <w:tc>
          <w:tcPr>
            <w:tcW w:w="3045" w:type="dxa"/>
            <w:tcBorders>
              <w:top w:val="single" w:color="auto" w:sz="4" w:space="0"/>
              <w:bottom w:val="single" w:color="auto" w:sz="4" w:space="0"/>
            </w:tcBorders>
          </w:tcPr>
          <w:p w14:paraId="58236D85">
            <w:pPr>
              <w:spacing w:line="360" w:lineRule="auto"/>
              <w:rPr>
                <w:color w:val="000000"/>
                <w:sz w:val="32"/>
                <w:szCs w:val="32"/>
              </w:rPr>
            </w:pPr>
            <w:r>
              <w:rPr>
                <w:rFonts w:hint="eastAsia"/>
                <w:color w:val="000000"/>
                <w:sz w:val="32"/>
                <w:szCs w:val="32"/>
              </w:rPr>
              <w:t>崮山寺线大修</w:t>
            </w:r>
          </w:p>
        </w:tc>
        <w:tc>
          <w:tcPr>
            <w:tcW w:w="1585" w:type="dxa"/>
            <w:tcBorders>
              <w:top w:val="single" w:color="auto" w:sz="4" w:space="0"/>
              <w:bottom w:val="single" w:color="auto" w:sz="4" w:space="0"/>
            </w:tcBorders>
          </w:tcPr>
          <w:p w14:paraId="0CF8E338">
            <w:pPr>
              <w:spacing w:line="360" w:lineRule="auto"/>
              <w:rPr>
                <w:color w:val="000000"/>
                <w:sz w:val="32"/>
                <w:szCs w:val="32"/>
              </w:rPr>
            </w:pPr>
            <w:r>
              <w:rPr>
                <w:rFonts w:hint="eastAsia"/>
                <w:color w:val="000000"/>
                <w:sz w:val="32"/>
                <w:szCs w:val="32"/>
              </w:rPr>
              <w:t>2</w:t>
            </w:r>
            <w:r>
              <w:rPr>
                <w:color w:val="000000"/>
                <w:sz w:val="32"/>
                <w:szCs w:val="32"/>
              </w:rPr>
              <w:t>.143</w:t>
            </w:r>
          </w:p>
        </w:tc>
        <w:tc>
          <w:tcPr>
            <w:tcW w:w="1531" w:type="dxa"/>
            <w:tcBorders>
              <w:top w:val="single" w:color="auto" w:sz="4" w:space="0"/>
              <w:bottom w:val="single" w:color="auto" w:sz="4" w:space="0"/>
            </w:tcBorders>
          </w:tcPr>
          <w:p w14:paraId="0C2CA7A0">
            <w:pPr>
              <w:spacing w:line="360" w:lineRule="auto"/>
              <w:rPr>
                <w:color w:val="000000"/>
                <w:sz w:val="32"/>
                <w:szCs w:val="32"/>
              </w:rPr>
            </w:pPr>
          </w:p>
        </w:tc>
      </w:tr>
      <w:tr w14:paraId="6CA2E62D">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2FF41319">
            <w:pPr>
              <w:spacing w:line="360" w:lineRule="auto"/>
              <w:rPr>
                <w:b w:val="0"/>
                <w:bCs w:val="0"/>
                <w:color w:val="000000"/>
                <w:sz w:val="32"/>
                <w:szCs w:val="32"/>
              </w:rPr>
            </w:pPr>
          </w:p>
        </w:tc>
        <w:tc>
          <w:tcPr>
            <w:tcW w:w="3045" w:type="dxa"/>
            <w:tcBorders>
              <w:top w:val="single" w:color="auto" w:sz="4" w:space="0"/>
              <w:bottom w:val="single" w:color="auto" w:sz="4" w:space="0"/>
            </w:tcBorders>
          </w:tcPr>
          <w:p w14:paraId="01340E50">
            <w:pPr>
              <w:spacing w:line="360" w:lineRule="auto"/>
              <w:rPr>
                <w:color w:val="000000"/>
                <w:sz w:val="32"/>
                <w:szCs w:val="32"/>
              </w:rPr>
            </w:pPr>
            <w:r>
              <w:rPr>
                <w:rFonts w:hint="eastAsia"/>
                <w:color w:val="000000"/>
                <w:sz w:val="32"/>
                <w:szCs w:val="32"/>
              </w:rPr>
              <w:t>垛山林场线大修</w:t>
            </w:r>
          </w:p>
        </w:tc>
        <w:tc>
          <w:tcPr>
            <w:tcW w:w="1585" w:type="dxa"/>
            <w:tcBorders>
              <w:top w:val="single" w:color="auto" w:sz="4" w:space="0"/>
              <w:bottom w:val="single" w:color="auto" w:sz="4" w:space="0"/>
            </w:tcBorders>
          </w:tcPr>
          <w:p w14:paraId="3F1544CD">
            <w:pPr>
              <w:spacing w:line="360" w:lineRule="auto"/>
              <w:rPr>
                <w:color w:val="000000"/>
                <w:sz w:val="32"/>
                <w:szCs w:val="32"/>
              </w:rPr>
            </w:pPr>
            <w:r>
              <w:rPr>
                <w:rFonts w:hint="eastAsia"/>
                <w:color w:val="000000"/>
                <w:sz w:val="32"/>
                <w:szCs w:val="32"/>
              </w:rPr>
              <w:t>3</w:t>
            </w:r>
          </w:p>
        </w:tc>
        <w:tc>
          <w:tcPr>
            <w:tcW w:w="1531" w:type="dxa"/>
            <w:tcBorders>
              <w:top w:val="single" w:color="auto" w:sz="4" w:space="0"/>
              <w:bottom w:val="single" w:color="auto" w:sz="4" w:space="0"/>
            </w:tcBorders>
          </w:tcPr>
          <w:p w14:paraId="540BB64C">
            <w:pPr>
              <w:spacing w:line="360" w:lineRule="auto"/>
              <w:rPr>
                <w:color w:val="000000"/>
                <w:sz w:val="32"/>
                <w:szCs w:val="32"/>
              </w:rPr>
            </w:pPr>
          </w:p>
        </w:tc>
      </w:tr>
      <w:tr w14:paraId="0376D07F">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40BFF606">
            <w:pPr>
              <w:spacing w:line="360" w:lineRule="auto"/>
              <w:rPr>
                <w:b w:val="0"/>
                <w:bCs w:val="0"/>
                <w:color w:val="000000"/>
                <w:sz w:val="32"/>
                <w:szCs w:val="32"/>
              </w:rPr>
            </w:pPr>
          </w:p>
        </w:tc>
        <w:tc>
          <w:tcPr>
            <w:tcW w:w="3045" w:type="dxa"/>
            <w:tcBorders>
              <w:top w:val="single" w:color="auto" w:sz="4" w:space="0"/>
              <w:bottom w:val="single" w:color="auto" w:sz="4" w:space="0"/>
            </w:tcBorders>
            <w:vAlign w:val="center"/>
          </w:tcPr>
          <w:p w14:paraId="063FD16C">
            <w:pPr>
              <w:spacing w:line="360" w:lineRule="auto"/>
              <w:rPr>
                <w:rFonts w:ascii="宋体" w:hAnsi="宋体"/>
                <w:color w:val="000000"/>
                <w:sz w:val="32"/>
                <w:szCs w:val="32"/>
              </w:rPr>
            </w:pPr>
            <w:r>
              <w:rPr>
                <w:rFonts w:hint="eastAsia" w:ascii="宋体" w:hAnsi="宋体"/>
                <w:color w:val="000000"/>
                <w:sz w:val="32"/>
                <w:szCs w:val="32"/>
              </w:rPr>
              <w:t>西峒线大修（起点-南岭线）</w:t>
            </w:r>
          </w:p>
        </w:tc>
        <w:tc>
          <w:tcPr>
            <w:tcW w:w="1585" w:type="dxa"/>
            <w:tcBorders>
              <w:top w:val="single" w:color="auto" w:sz="4" w:space="0"/>
              <w:bottom w:val="single" w:color="auto" w:sz="4" w:space="0"/>
            </w:tcBorders>
            <w:vAlign w:val="center"/>
          </w:tcPr>
          <w:p w14:paraId="74499949">
            <w:pPr>
              <w:spacing w:line="360" w:lineRule="auto"/>
              <w:rPr>
                <w:color w:val="000000"/>
                <w:sz w:val="32"/>
                <w:szCs w:val="32"/>
              </w:rPr>
            </w:pPr>
            <w:r>
              <w:rPr>
                <w:color w:val="000000"/>
                <w:sz w:val="32"/>
                <w:szCs w:val="32"/>
              </w:rPr>
              <w:t>5.45</w:t>
            </w:r>
          </w:p>
        </w:tc>
        <w:tc>
          <w:tcPr>
            <w:tcW w:w="1531" w:type="dxa"/>
            <w:tcBorders>
              <w:top w:val="single" w:color="auto" w:sz="4" w:space="0"/>
              <w:bottom w:val="single" w:color="auto" w:sz="4" w:space="0"/>
            </w:tcBorders>
          </w:tcPr>
          <w:p w14:paraId="07F336B6">
            <w:pPr>
              <w:spacing w:line="360" w:lineRule="auto"/>
              <w:rPr>
                <w:color w:val="000000"/>
                <w:sz w:val="32"/>
                <w:szCs w:val="32"/>
              </w:rPr>
            </w:pPr>
          </w:p>
        </w:tc>
      </w:tr>
      <w:tr w14:paraId="5E76C8CA">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131B193D">
            <w:pPr>
              <w:spacing w:line="360" w:lineRule="auto"/>
              <w:rPr>
                <w:b w:val="0"/>
                <w:bCs w:val="0"/>
                <w:color w:val="000000"/>
                <w:sz w:val="32"/>
                <w:szCs w:val="32"/>
              </w:rPr>
            </w:pPr>
          </w:p>
        </w:tc>
        <w:tc>
          <w:tcPr>
            <w:tcW w:w="3045" w:type="dxa"/>
            <w:tcBorders>
              <w:top w:val="single" w:color="auto" w:sz="4" w:space="0"/>
              <w:bottom w:val="single" w:color="auto" w:sz="4" w:space="0"/>
            </w:tcBorders>
          </w:tcPr>
          <w:p w14:paraId="2DFE79CC">
            <w:pPr>
              <w:spacing w:line="360" w:lineRule="auto"/>
              <w:rPr>
                <w:color w:val="000000"/>
                <w:sz w:val="32"/>
                <w:szCs w:val="32"/>
              </w:rPr>
            </w:pPr>
            <w:r>
              <w:rPr>
                <w:rFonts w:hint="eastAsia"/>
                <w:color w:val="000000"/>
                <w:sz w:val="32"/>
                <w:szCs w:val="32"/>
              </w:rPr>
              <w:t>育乳线改建工程</w:t>
            </w:r>
          </w:p>
        </w:tc>
        <w:tc>
          <w:tcPr>
            <w:tcW w:w="1585" w:type="dxa"/>
            <w:tcBorders>
              <w:top w:val="single" w:color="auto" w:sz="4" w:space="0"/>
              <w:bottom w:val="single" w:color="auto" w:sz="4" w:space="0"/>
            </w:tcBorders>
          </w:tcPr>
          <w:p w14:paraId="5BF7F1DC">
            <w:pPr>
              <w:spacing w:line="360" w:lineRule="auto"/>
              <w:rPr>
                <w:color w:val="000000"/>
                <w:sz w:val="32"/>
                <w:szCs w:val="32"/>
              </w:rPr>
            </w:pPr>
            <w:r>
              <w:rPr>
                <w:rFonts w:hint="eastAsia"/>
                <w:color w:val="000000"/>
                <w:sz w:val="32"/>
                <w:szCs w:val="32"/>
              </w:rPr>
              <w:t>1</w:t>
            </w:r>
            <w:r>
              <w:rPr>
                <w:color w:val="000000"/>
                <w:sz w:val="32"/>
                <w:szCs w:val="32"/>
              </w:rPr>
              <w:t>4</w:t>
            </w:r>
          </w:p>
        </w:tc>
        <w:tc>
          <w:tcPr>
            <w:tcW w:w="1531" w:type="dxa"/>
            <w:tcBorders>
              <w:top w:val="single" w:color="auto" w:sz="4" w:space="0"/>
              <w:bottom w:val="single" w:color="auto" w:sz="4" w:space="0"/>
            </w:tcBorders>
          </w:tcPr>
          <w:p w14:paraId="3AC1D719">
            <w:pPr>
              <w:spacing w:line="360" w:lineRule="auto"/>
              <w:rPr>
                <w:color w:val="000000"/>
                <w:sz w:val="32"/>
                <w:szCs w:val="32"/>
              </w:rPr>
            </w:pPr>
          </w:p>
        </w:tc>
      </w:tr>
      <w:tr w14:paraId="3BCF0070">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088596DF">
            <w:pPr>
              <w:spacing w:line="360" w:lineRule="auto"/>
              <w:rPr>
                <w:b w:val="0"/>
                <w:bCs w:val="0"/>
                <w:color w:val="000000"/>
                <w:sz w:val="32"/>
                <w:szCs w:val="32"/>
              </w:rPr>
            </w:pPr>
          </w:p>
        </w:tc>
        <w:tc>
          <w:tcPr>
            <w:tcW w:w="3045" w:type="dxa"/>
            <w:tcBorders>
              <w:top w:val="single" w:color="auto" w:sz="4" w:space="0"/>
              <w:bottom w:val="single" w:color="auto" w:sz="4" w:space="0"/>
            </w:tcBorders>
          </w:tcPr>
          <w:p w14:paraId="64539182">
            <w:pPr>
              <w:spacing w:line="360" w:lineRule="auto"/>
              <w:rPr>
                <w:color w:val="000000"/>
                <w:sz w:val="32"/>
                <w:szCs w:val="32"/>
              </w:rPr>
            </w:pPr>
            <w:r>
              <w:rPr>
                <w:rFonts w:hint="eastAsia"/>
                <w:color w:val="000000"/>
                <w:sz w:val="32"/>
                <w:szCs w:val="32"/>
              </w:rPr>
              <w:t>海金线大修</w:t>
            </w:r>
          </w:p>
        </w:tc>
        <w:tc>
          <w:tcPr>
            <w:tcW w:w="1585" w:type="dxa"/>
            <w:tcBorders>
              <w:top w:val="single" w:color="auto" w:sz="4" w:space="0"/>
              <w:bottom w:val="single" w:color="auto" w:sz="4" w:space="0"/>
            </w:tcBorders>
          </w:tcPr>
          <w:p w14:paraId="0A61F149">
            <w:pPr>
              <w:spacing w:line="360" w:lineRule="auto"/>
              <w:rPr>
                <w:color w:val="000000"/>
                <w:sz w:val="32"/>
                <w:szCs w:val="32"/>
              </w:rPr>
            </w:pPr>
            <w:r>
              <w:rPr>
                <w:rFonts w:hint="eastAsia"/>
                <w:color w:val="000000"/>
                <w:sz w:val="32"/>
                <w:szCs w:val="32"/>
              </w:rPr>
              <w:t>5</w:t>
            </w:r>
            <w:r>
              <w:rPr>
                <w:color w:val="000000"/>
                <w:sz w:val="32"/>
                <w:szCs w:val="32"/>
              </w:rPr>
              <w:t>.869</w:t>
            </w:r>
          </w:p>
        </w:tc>
        <w:tc>
          <w:tcPr>
            <w:tcW w:w="1531" w:type="dxa"/>
            <w:tcBorders>
              <w:top w:val="single" w:color="auto" w:sz="4" w:space="0"/>
              <w:bottom w:val="single" w:color="auto" w:sz="4" w:space="0"/>
            </w:tcBorders>
          </w:tcPr>
          <w:p w14:paraId="47833538">
            <w:pPr>
              <w:spacing w:line="360" w:lineRule="auto"/>
              <w:rPr>
                <w:color w:val="000000"/>
                <w:sz w:val="32"/>
                <w:szCs w:val="32"/>
              </w:rPr>
            </w:pPr>
          </w:p>
        </w:tc>
      </w:tr>
      <w:tr w14:paraId="5C4C8BFC">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0B00F726">
            <w:pPr>
              <w:spacing w:line="360" w:lineRule="auto"/>
              <w:rPr>
                <w:b w:val="0"/>
                <w:bCs w:val="0"/>
                <w:color w:val="000000"/>
                <w:sz w:val="32"/>
                <w:szCs w:val="32"/>
              </w:rPr>
            </w:pPr>
          </w:p>
        </w:tc>
        <w:tc>
          <w:tcPr>
            <w:tcW w:w="3045" w:type="dxa"/>
            <w:tcBorders>
              <w:top w:val="single" w:color="auto" w:sz="4" w:space="0"/>
              <w:bottom w:val="single" w:color="auto" w:sz="4" w:space="0"/>
            </w:tcBorders>
          </w:tcPr>
          <w:p w14:paraId="31143473">
            <w:pPr>
              <w:spacing w:line="360" w:lineRule="auto"/>
              <w:rPr>
                <w:color w:val="000000"/>
                <w:sz w:val="32"/>
                <w:szCs w:val="32"/>
              </w:rPr>
            </w:pPr>
            <w:r>
              <w:rPr>
                <w:rFonts w:hint="eastAsia"/>
                <w:color w:val="000000"/>
                <w:sz w:val="32"/>
                <w:szCs w:val="32"/>
              </w:rPr>
              <w:t>孤白线大修</w:t>
            </w:r>
          </w:p>
        </w:tc>
        <w:tc>
          <w:tcPr>
            <w:tcW w:w="1585" w:type="dxa"/>
            <w:tcBorders>
              <w:top w:val="single" w:color="auto" w:sz="4" w:space="0"/>
              <w:bottom w:val="single" w:color="auto" w:sz="4" w:space="0"/>
            </w:tcBorders>
          </w:tcPr>
          <w:p w14:paraId="14656093">
            <w:pPr>
              <w:spacing w:line="360" w:lineRule="auto"/>
              <w:rPr>
                <w:color w:val="000000"/>
                <w:sz w:val="32"/>
                <w:szCs w:val="32"/>
              </w:rPr>
            </w:pPr>
            <w:r>
              <w:rPr>
                <w:rFonts w:hint="eastAsia"/>
                <w:color w:val="000000"/>
                <w:sz w:val="32"/>
                <w:szCs w:val="32"/>
              </w:rPr>
              <w:t>5</w:t>
            </w:r>
            <w:r>
              <w:rPr>
                <w:color w:val="000000"/>
                <w:sz w:val="32"/>
                <w:szCs w:val="32"/>
              </w:rPr>
              <w:t>.6</w:t>
            </w:r>
          </w:p>
        </w:tc>
        <w:tc>
          <w:tcPr>
            <w:tcW w:w="1531" w:type="dxa"/>
            <w:tcBorders>
              <w:top w:val="single" w:color="auto" w:sz="4" w:space="0"/>
              <w:bottom w:val="single" w:color="auto" w:sz="4" w:space="0"/>
            </w:tcBorders>
          </w:tcPr>
          <w:p w14:paraId="7406B714">
            <w:pPr>
              <w:spacing w:line="360" w:lineRule="auto"/>
              <w:rPr>
                <w:color w:val="000000"/>
                <w:sz w:val="32"/>
                <w:szCs w:val="32"/>
              </w:rPr>
            </w:pPr>
          </w:p>
        </w:tc>
      </w:tr>
      <w:tr w14:paraId="174590B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4C4256DD">
            <w:pPr>
              <w:spacing w:line="360" w:lineRule="auto"/>
              <w:rPr>
                <w:b w:val="0"/>
                <w:bCs w:val="0"/>
                <w:color w:val="000000"/>
                <w:sz w:val="32"/>
                <w:szCs w:val="32"/>
              </w:rPr>
            </w:pPr>
          </w:p>
        </w:tc>
        <w:tc>
          <w:tcPr>
            <w:tcW w:w="3045" w:type="dxa"/>
            <w:tcBorders>
              <w:top w:val="single" w:color="auto" w:sz="4" w:space="0"/>
              <w:bottom w:val="single" w:color="auto" w:sz="4" w:space="0"/>
            </w:tcBorders>
          </w:tcPr>
          <w:p w14:paraId="767B8856">
            <w:pPr>
              <w:spacing w:line="360" w:lineRule="auto"/>
              <w:rPr>
                <w:color w:val="000000"/>
                <w:sz w:val="32"/>
                <w:szCs w:val="32"/>
              </w:rPr>
            </w:pPr>
            <w:r>
              <w:rPr>
                <w:rFonts w:hint="eastAsia"/>
                <w:color w:val="000000"/>
                <w:sz w:val="32"/>
                <w:szCs w:val="32"/>
              </w:rPr>
              <w:t>午上线大修</w:t>
            </w:r>
          </w:p>
        </w:tc>
        <w:tc>
          <w:tcPr>
            <w:tcW w:w="1585" w:type="dxa"/>
            <w:tcBorders>
              <w:top w:val="single" w:color="auto" w:sz="4" w:space="0"/>
              <w:bottom w:val="single" w:color="auto" w:sz="4" w:space="0"/>
            </w:tcBorders>
          </w:tcPr>
          <w:p w14:paraId="4ECF4396">
            <w:pPr>
              <w:spacing w:line="360" w:lineRule="auto"/>
              <w:rPr>
                <w:color w:val="000000"/>
                <w:sz w:val="32"/>
                <w:szCs w:val="32"/>
              </w:rPr>
            </w:pPr>
            <w:r>
              <w:rPr>
                <w:rFonts w:hint="eastAsia"/>
                <w:color w:val="000000"/>
                <w:sz w:val="32"/>
                <w:szCs w:val="32"/>
              </w:rPr>
              <w:t>5</w:t>
            </w:r>
            <w:r>
              <w:rPr>
                <w:color w:val="000000"/>
                <w:sz w:val="32"/>
                <w:szCs w:val="32"/>
              </w:rPr>
              <w:t>.869</w:t>
            </w:r>
          </w:p>
        </w:tc>
        <w:tc>
          <w:tcPr>
            <w:tcW w:w="1531" w:type="dxa"/>
            <w:tcBorders>
              <w:top w:val="single" w:color="auto" w:sz="4" w:space="0"/>
              <w:bottom w:val="single" w:color="auto" w:sz="4" w:space="0"/>
            </w:tcBorders>
          </w:tcPr>
          <w:p w14:paraId="34942340">
            <w:pPr>
              <w:spacing w:line="360" w:lineRule="auto"/>
              <w:rPr>
                <w:color w:val="000000"/>
                <w:sz w:val="32"/>
                <w:szCs w:val="32"/>
              </w:rPr>
            </w:pPr>
          </w:p>
        </w:tc>
      </w:tr>
      <w:tr w14:paraId="3220D923">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789F1A45">
            <w:pPr>
              <w:spacing w:line="360" w:lineRule="auto"/>
              <w:rPr>
                <w:b w:val="0"/>
                <w:bCs w:val="0"/>
                <w:color w:val="000000"/>
                <w:sz w:val="32"/>
                <w:szCs w:val="32"/>
              </w:rPr>
            </w:pPr>
          </w:p>
        </w:tc>
        <w:tc>
          <w:tcPr>
            <w:tcW w:w="3045" w:type="dxa"/>
            <w:tcBorders>
              <w:top w:val="single" w:color="auto" w:sz="4" w:space="0"/>
              <w:bottom w:val="single" w:color="auto" w:sz="4" w:space="0"/>
            </w:tcBorders>
          </w:tcPr>
          <w:p w14:paraId="65110C59">
            <w:pPr>
              <w:spacing w:line="360" w:lineRule="auto"/>
              <w:rPr>
                <w:color w:val="000000"/>
                <w:sz w:val="32"/>
                <w:szCs w:val="32"/>
              </w:rPr>
            </w:pPr>
            <w:r>
              <w:rPr>
                <w:rFonts w:hint="eastAsia"/>
                <w:color w:val="000000"/>
                <w:sz w:val="32"/>
                <w:szCs w:val="32"/>
              </w:rPr>
              <w:t>南岭线大修</w:t>
            </w:r>
          </w:p>
        </w:tc>
        <w:tc>
          <w:tcPr>
            <w:tcW w:w="1585" w:type="dxa"/>
            <w:tcBorders>
              <w:top w:val="single" w:color="auto" w:sz="4" w:space="0"/>
              <w:bottom w:val="single" w:color="auto" w:sz="4" w:space="0"/>
            </w:tcBorders>
          </w:tcPr>
          <w:p w14:paraId="52CE338D">
            <w:pPr>
              <w:spacing w:line="360" w:lineRule="auto"/>
              <w:rPr>
                <w:color w:val="000000"/>
                <w:sz w:val="32"/>
                <w:szCs w:val="32"/>
              </w:rPr>
            </w:pPr>
            <w:r>
              <w:rPr>
                <w:rFonts w:hint="eastAsia"/>
                <w:color w:val="000000"/>
                <w:sz w:val="32"/>
                <w:szCs w:val="32"/>
              </w:rPr>
              <w:t>4</w:t>
            </w:r>
            <w:r>
              <w:rPr>
                <w:color w:val="000000"/>
                <w:sz w:val="32"/>
                <w:szCs w:val="32"/>
              </w:rPr>
              <w:t>.856</w:t>
            </w:r>
          </w:p>
        </w:tc>
        <w:tc>
          <w:tcPr>
            <w:tcW w:w="1531" w:type="dxa"/>
            <w:tcBorders>
              <w:top w:val="single" w:color="auto" w:sz="4" w:space="0"/>
              <w:bottom w:val="single" w:color="auto" w:sz="4" w:space="0"/>
            </w:tcBorders>
          </w:tcPr>
          <w:p w14:paraId="4EBA8DB3">
            <w:pPr>
              <w:spacing w:line="360" w:lineRule="auto"/>
              <w:rPr>
                <w:color w:val="000000"/>
                <w:sz w:val="32"/>
                <w:szCs w:val="32"/>
              </w:rPr>
            </w:pPr>
          </w:p>
        </w:tc>
      </w:tr>
      <w:tr w14:paraId="12DFAAD4">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6F060AA3">
            <w:pPr>
              <w:spacing w:line="360" w:lineRule="auto"/>
              <w:rPr>
                <w:b w:val="0"/>
                <w:bCs w:val="0"/>
                <w:color w:val="000000"/>
                <w:sz w:val="32"/>
                <w:szCs w:val="32"/>
              </w:rPr>
            </w:pPr>
          </w:p>
        </w:tc>
        <w:tc>
          <w:tcPr>
            <w:tcW w:w="3045" w:type="dxa"/>
            <w:tcBorders>
              <w:top w:val="single" w:color="auto" w:sz="4" w:space="0"/>
              <w:bottom w:val="single" w:color="auto" w:sz="4" w:space="0"/>
            </w:tcBorders>
          </w:tcPr>
          <w:p w14:paraId="256B3CFD">
            <w:pPr>
              <w:spacing w:line="360" w:lineRule="auto"/>
              <w:rPr>
                <w:color w:val="000000"/>
                <w:sz w:val="32"/>
                <w:szCs w:val="32"/>
              </w:rPr>
            </w:pPr>
            <w:r>
              <w:rPr>
                <w:rFonts w:hint="eastAsia"/>
                <w:color w:val="000000"/>
                <w:sz w:val="32"/>
                <w:szCs w:val="32"/>
              </w:rPr>
              <w:t>育石线大修</w:t>
            </w:r>
          </w:p>
        </w:tc>
        <w:tc>
          <w:tcPr>
            <w:tcW w:w="1585" w:type="dxa"/>
            <w:tcBorders>
              <w:top w:val="single" w:color="auto" w:sz="4" w:space="0"/>
              <w:bottom w:val="single" w:color="auto" w:sz="4" w:space="0"/>
            </w:tcBorders>
          </w:tcPr>
          <w:p w14:paraId="1EA5C97C">
            <w:pPr>
              <w:spacing w:line="360" w:lineRule="auto"/>
              <w:rPr>
                <w:color w:val="000000"/>
                <w:sz w:val="32"/>
                <w:szCs w:val="32"/>
              </w:rPr>
            </w:pPr>
            <w:r>
              <w:rPr>
                <w:rFonts w:hint="eastAsia"/>
                <w:color w:val="000000"/>
                <w:sz w:val="32"/>
                <w:szCs w:val="32"/>
              </w:rPr>
              <w:t>8</w:t>
            </w:r>
            <w:r>
              <w:rPr>
                <w:color w:val="000000"/>
                <w:sz w:val="32"/>
                <w:szCs w:val="32"/>
              </w:rPr>
              <w:t>.523</w:t>
            </w:r>
          </w:p>
        </w:tc>
        <w:tc>
          <w:tcPr>
            <w:tcW w:w="1531" w:type="dxa"/>
            <w:tcBorders>
              <w:top w:val="single" w:color="auto" w:sz="4" w:space="0"/>
              <w:bottom w:val="single" w:color="auto" w:sz="4" w:space="0"/>
            </w:tcBorders>
          </w:tcPr>
          <w:p w14:paraId="7E3BA2AD">
            <w:pPr>
              <w:spacing w:line="360" w:lineRule="auto"/>
              <w:rPr>
                <w:color w:val="000000"/>
                <w:sz w:val="32"/>
                <w:szCs w:val="32"/>
              </w:rPr>
            </w:pPr>
          </w:p>
        </w:tc>
      </w:tr>
      <w:tr w14:paraId="60CDF7E9">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765EC93B">
            <w:pPr>
              <w:spacing w:line="360" w:lineRule="auto"/>
              <w:rPr>
                <w:b w:val="0"/>
                <w:bCs w:val="0"/>
                <w:color w:val="000000"/>
                <w:sz w:val="32"/>
                <w:szCs w:val="32"/>
              </w:rPr>
            </w:pPr>
          </w:p>
        </w:tc>
        <w:tc>
          <w:tcPr>
            <w:tcW w:w="3045" w:type="dxa"/>
            <w:tcBorders>
              <w:top w:val="single" w:color="auto" w:sz="4" w:space="0"/>
              <w:bottom w:val="single" w:color="auto" w:sz="4" w:space="0"/>
            </w:tcBorders>
          </w:tcPr>
          <w:p w14:paraId="11945D3D">
            <w:pPr>
              <w:spacing w:line="360" w:lineRule="auto"/>
              <w:rPr>
                <w:color w:val="000000"/>
                <w:sz w:val="32"/>
                <w:szCs w:val="32"/>
              </w:rPr>
            </w:pPr>
            <w:r>
              <w:rPr>
                <w:rFonts w:hint="eastAsia"/>
                <w:color w:val="000000"/>
                <w:sz w:val="32"/>
                <w:szCs w:val="32"/>
              </w:rPr>
              <w:t>育行线大修</w:t>
            </w:r>
          </w:p>
        </w:tc>
        <w:tc>
          <w:tcPr>
            <w:tcW w:w="1585" w:type="dxa"/>
            <w:tcBorders>
              <w:top w:val="single" w:color="auto" w:sz="4" w:space="0"/>
              <w:bottom w:val="single" w:color="auto" w:sz="4" w:space="0"/>
            </w:tcBorders>
          </w:tcPr>
          <w:p w14:paraId="0E08911E">
            <w:pPr>
              <w:spacing w:line="360" w:lineRule="auto"/>
              <w:rPr>
                <w:color w:val="000000"/>
                <w:sz w:val="32"/>
                <w:szCs w:val="32"/>
              </w:rPr>
            </w:pPr>
            <w:r>
              <w:rPr>
                <w:rFonts w:hint="eastAsia"/>
                <w:color w:val="000000"/>
                <w:sz w:val="32"/>
                <w:szCs w:val="32"/>
              </w:rPr>
              <w:t>9</w:t>
            </w:r>
            <w:r>
              <w:rPr>
                <w:color w:val="000000"/>
                <w:sz w:val="32"/>
                <w:szCs w:val="32"/>
              </w:rPr>
              <w:t>.3</w:t>
            </w:r>
          </w:p>
        </w:tc>
        <w:tc>
          <w:tcPr>
            <w:tcW w:w="1531" w:type="dxa"/>
            <w:tcBorders>
              <w:top w:val="single" w:color="auto" w:sz="4" w:space="0"/>
              <w:bottom w:val="single" w:color="auto" w:sz="4" w:space="0"/>
            </w:tcBorders>
          </w:tcPr>
          <w:p w14:paraId="4ECF8825">
            <w:pPr>
              <w:spacing w:line="360" w:lineRule="auto"/>
              <w:rPr>
                <w:color w:val="000000"/>
                <w:sz w:val="32"/>
                <w:szCs w:val="32"/>
              </w:rPr>
            </w:pPr>
          </w:p>
        </w:tc>
      </w:tr>
      <w:tr w14:paraId="0483B295">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7D0EF413">
            <w:pPr>
              <w:spacing w:line="360" w:lineRule="auto"/>
              <w:rPr>
                <w:b w:val="0"/>
                <w:bCs w:val="0"/>
                <w:color w:val="000000"/>
                <w:sz w:val="32"/>
                <w:szCs w:val="32"/>
              </w:rPr>
            </w:pPr>
          </w:p>
        </w:tc>
        <w:tc>
          <w:tcPr>
            <w:tcW w:w="3045" w:type="dxa"/>
            <w:tcBorders>
              <w:top w:val="single" w:color="auto" w:sz="4" w:space="0"/>
              <w:bottom w:val="single" w:color="auto" w:sz="4" w:space="0"/>
            </w:tcBorders>
          </w:tcPr>
          <w:p w14:paraId="3A57EC45">
            <w:pPr>
              <w:spacing w:line="360" w:lineRule="auto"/>
              <w:rPr>
                <w:color w:val="000000"/>
                <w:sz w:val="32"/>
                <w:szCs w:val="32"/>
              </w:rPr>
            </w:pPr>
            <w:r>
              <w:rPr>
                <w:rFonts w:hint="eastAsia"/>
                <w:color w:val="000000"/>
                <w:sz w:val="32"/>
                <w:szCs w:val="32"/>
              </w:rPr>
              <w:t>徐海线大修</w:t>
            </w:r>
          </w:p>
        </w:tc>
        <w:tc>
          <w:tcPr>
            <w:tcW w:w="1585" w:type="dxa"/>
            <w:tcBorders>
              <w:top w:val="single" w:color="auto" w:sz="4" w:space="0"/>
              <w:bottom w:val="single" w:color="auto" w:sz="4" w:space="0"/>
            </w:tcBorders>
          </w:tcPr>
          <w:p w14:paraId="3511C267">
            <w:pPr>
              <w:spacing w:line="360" w:lineRule="auto"/>
              <w:rPr>
                <w:color w:val="000000"/>
                <w:sz w:val="32"/>
                <w:szCs w:val="32"/>
              </w:rPr>
            </w:pPr>
            <w:r>
              <w:rPr>
                <w:rFonts w:hint="eastAsia"/>
                <w:color w:val="000000"/>
                <w:sz w:val="32"/>
                <w:szCs w:val="32"/>
              </w:rPr>
              <w:t>3</w:t>
            </w:r>
            <w:r>
              <w:rPr>
                <w:color w:val="000000"/>
                <w:sz w:val="32"/>
                <w:szCs w:val="32"/>
              </w:rPr>
              <w:t>.21</w:t>
            </w:r>
          </w:p>
        </w:tc>
        <w:tc>
          <w:tcPr>
            <w:tcW w:w="1531" w:type="dxa"/>
            <w:tcBorders>
              <w:top w:val="single" w:color="auto" w:sz="4" w:space="0"/>
              <w:bottom w:val="single" w:color="auto" w:sz="4" w:space="0"/>
            </w:tcBorders>
          </w:tcPr>
          <w:p w14:paraId="69578E53">
            <w:pPr>
              <w:spacing w:line="360" w:lineRule="auto"/>
              <w:rPr>
                <w:color w:val="000000"/>
                <w:sz w:val="32"/>
                <w:szCs w:val="32"/>
              </w:rPr>
            </w:pPr>
          </w:p>
        </w:tc>
      </w:tr>
      <w:tr w14:paraId="7FCCD4E1">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5075C69A">
            <w:pPr>
              <w:spacing w:line="360" w:lineRule="auto"/>
              <w:rPr>
                <w:b w:val="0"/>
                <w:bCs w:val="0"/>
                <w:color w:val="000000"/>
                <w:sz w:val="32"/>
                <w:szCs w:val="32"/>
              </w:rPr>
            </w:pPr>
          </w:p>
        </w:tc>
        <w:tc>
          <w:tcPr>
            <w:tcW w:w="3045" w:type="dxa"/>
            <w:tcBorders>
              <w:top w:val="single" w:color="auto" w:sz="4" w:space="0"/>
              <w:bottom w:val="single" w:color="auto" w:sz="4" w:space="0"/>
            </w:tcBorders>
          </w:tcPr>
          <w:p w14:paraId="34A989C6">
            <w:pPr>
              <w:spacing w:line="360" w:lineRule="auto"/>
              <w:rPr>
                <w:color w:val="000000"/>
                <w:sz w:val="32"/>
                <w:szCs w:val="32"/>
              </w:rPr>
            </w:pPr>
            <w:r>
              <w:rPr>
                <w:rFonts w:hint="eastAsia"/>
                <w:color w:val="000000"/>
                <w:sz w:val="32"/>
                <w:szCs w:val="32"/>
              </w:rPr>
              <w:t>东马线大修</w:t>
            </w:r>
          </w:p>
        </w:tc>
        <w:tc>
          <w:tcPr>
            <w:tcW w:w="1585" w:type="dxa"/>
            <w:tcBorders>
              <w:top w:val="single" w:color="auto" w:sz="4" w:space="0"/>
              <w:bottom w:val="single" w:color="auto" w:sz="4" w:space="0"/>
            </w:tcBorders>
          </w:tcPr>
          <w:p w14:paraId="18910640">
            <w:pPr>
              <w:spacing w:line="360" w:lineRule="auto"/>
              <w:rPr>
                <w:color w:val="000000"/>
                <w:sz w:val="32"/>
                <w:szCs w:val="32"/>
              </w:rPr>
            </w:pPr>
            <w:r>
              <w:rPr>
                <w:rFonts w:hint="eastAsia"/>
                <w:color w:val="000000"/>
                <w:sz w:val="32"/>
                <w:szCs w:val="32"/>
              </w:rPr>
              <w:t>1</w:t>
            </w:r>
            <w:r>
              <w:rPr>
                <w:color w:val="000000"/>
                <w:sz w:val="32"/>
                <w:szCs w:val="32"/>
              </w:rPr>
              <w:t>0</w:t>
            </w:r>
          </w:p>
        </w:tc>
        <w:tc>
          <w:tcPr>
            <w:tcW w:w="1531" w:type="dxa"/>
            <w:tcBorders>
              <w:top w:val="single" w:color="auto" w:sz="4" w:space="0"/>
              <w:bottom w:val="single" w:color="auto" w:sz="4" w:space="0"/>
            </w:tcBorders>
          </w:tcPr>
          <w:p w14:paraId="67942C4E">
            <w:pPr>
              <w:spacing w:line="360" w:lineRule="auto"/>
              <w:rPr>
                <w:color w:val="000000"/>
                <w:sz w:val="32"/>
                <w:szCs w:val="32"/>
              </w:rPr>
            </w:pPr>
          </w:p>
        </w:tc>
      </w:tr>
      <w:tr w14:paraId="0F4D204F">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65755955">
            <w:pPr>
              <w:spacing w:line="360" w:lineRule="auto"/>
              <w:rPr>
                <w:b w:val="0"/>
                <w:bCs w:val="0"/>
                <w:color w:val="000000"/>
                <w:sz w:val="32"/>
                <w:szCs w:val="32"/>
              </w:rPr>
            </w:pPr>
          </w:p>
        </w:tc>
        <w:tc>
          <w:tcPr>
            <w:tcW w:w="3045" w:type="dxa"/>
            <w:tcBorders>
              <w:top w:val="single" w:color="auto" w:sz="4" w:space="0"/>
              <w:bottom w:val="single" w:color="auto" w:sz="4" w:space="0"/>
            </w:tcBorders>
          </w:tcPr>
          <w:p w14:paraId="11967C41">
            <w:pPr>
              <w:spacing w:line="360" w:lineRule="auto"/>
              <w:rPr>
                <w:color w:val="000000"/>
                <w:sz w:val="32"/>
                <w:szCs w:val="32"/>
              </w:rPr>
            </w:pPr>
            <w:r>
              <w:rPr>
                <w:rFonts w:hint="eastAsia"/>
                <w:color w:val="000000"/>
                <w:sz w:val="32"/>
                <w:szCs w:val="32"/>
              </w:rPr>
              <w:t>神铁线大修</w:t>
            </w:r>
          </w:p>
        </w:tc>
        <w:tc>
          <w:tcPr>
            <w:tcW w:w="1585" w:type="dxa"/>
            <w:tcBorders>
              <w:top w:val="single" w:color="auto" w:sz="4" w:space="0"/>
              <w:bottom w:val="single" w:color="auto" w:sz="4" w:space="0"/>
            </w:tcBorders>
          </w:tcPr>
          <w:p w14:paraId="32056CC2">
            <w:pPr>
              <w:spacing w:line="360" w:lineRule="auto"/>
              <w:rPr>
                <w:color w:val="000000"/>
                <w:sz w:val="32"/>
                <w:szCs w:val="32"/>
              </w:rPr>
            </w:pPr>
            <w:r>
              <w:rPr>
                <w:rFonts w:hint="eastAsia"/>
                <w:color w:val="000000"/>
                <w:sz w:val="32"/>
                <w:szCs w:val="32"/>
              </w:rPr>
              <w:t>6</w:t>
            </w:r>
            <w:r>
              <w:rPr>
                <w:color w:val="000000"/>
                <w:sz w:val="32"/>
                <w:szCs w:val="32"/>
              </w:rPr>
              <w:t>.4</w:t>
            </w:r>
          </w:p>
        </w:tc>
        <w:tc>
          <w:tcPr>
            <w:tcW w:w="1531" w:type="dxa"/>
            <w:tcBorders>
              <w:top w:val="single" w:color="auto" w:sz="4" w:space="0"/>
              <w:bottom w:val="single" w:color="auto" w:sz="4" w:space="0"/>
            </w:tcBorders>
          </w:tcPr>
          <w:p w14:paraId="78BF6E44">
            <w:pPr>
              <w:spacing w:line="360" w:lineRule="auto"/>
              <w:rPr>
                <w:color w:val="000000"/>
                <w:sz w:val="32"/>
                <w:szCs w:val="32"/>
              </w:rPr>
            </w:pPr>
          </w:p>
        </w:tc>
      </w:tr>
      <w:tr w14:paraId="28A1E30A">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1DB703BA">
            <w:pPr>
              <w:spacing w:line="360" w:lineRule="auto"/>
              <w:rPr>
                <w:b w:val="0"/>
                <w:bCs w:val="0"/>
                <w:color w:val="000000"/>
                <w:sz w:val="32"/>
                <w:szCs w:val="32"/>
              </w:rPr>
            </w:pPr>
          </w:p>
        </w:tc>
        <w:tc>
          <w:tcPr>
            <w:tcW w:w="3045" w:type="dxa"/>
            <w:tcBorders>
              <w:top w:val="single" w:color="auto" w:sz="4" w:space="0"/>
              <w:bottom w:val="single" w:color="auto" w:sz="4" w:space="0"/>
            </w:tcBorders>
          </w:tcPr>
          <w:p w14:paraId="10EEBF93">
            <w:pPr>
              <w:spacing w:line="360" w:lineRule="auto"/>
              <w:rPr>
                <w:color w:val="000000"/>
                <w:sz w:val="32"/>
                <w:szCs w:val="32"/>
              </w:rPr>
            </w:pPr>
            <w:r>
              <w:rPr>
                <w:rFonts w:hint="eastAsia"/>
                <w:color w:val="000000"/>
                <w:sz w:val="32"/>
                <w:szCs w:val="32"/>
              </w:rPr>
              <w:t>冯乳线大修（起点-S</w:t>
            </w:r>
            <w:r>
              <w:rPr>
                <w:color w:val="000000"/>
                <w:sz w:val="32"/>
                <w:szCs w:val="32"/>
              </w:rPr>
              <w:t>202</w:t>
            </w:r>
            <w:r>
              <w:rPr>
                <w:rFonts w:hint="eastAsia"/>
                <w:color w:val="000000"/>
                <w:sz w:val="32"/>
                <w:szCs w:val="32"/>
              </w:rPr>
              <w:t>）</w:t>
            </w:r>
          </w:p>
        </w:tc>
        <w:tc>
          <w:tcPr>
            <w:tcW w:w="1585" w:type="dxa"/>
            <w:tcBorders>
              <w:top w:val="single" w:color="auto" w:sz="4" w:space="0"/>
              <w:bottom w:val="single" w:color="auto" w:sz="4" w:space="0"/>
            </w:tcBorders>
          </w:tcPr>
          <w:p w14:paraId="29E06DE8">
            <w:pPr>
              <w:spacing w:line="360" w:lineRule="auto"/>
              <w:rPr>
                <w:color w:val="000000"/>
                <w:sz w:val="32"/>
                <w:szCs w:val="32"/>
              </w:rPr>
            </w:pPr>
            <w:r>
              <w:rPr>
                <w:rFonts w:hint="eastAsia"/>
                <w:color w:val="000000"/>
                <w:sz w:val="32"/>
                <w:szCs w:val="32"/>
              </w:rPr>
              <w:t>1</w:t>
            </w:r>
            <w:r>
              <w:rPr>
                <w:color w:val="000000"/>
                <w:sz w:val="32"/>
                <w:szCs w:val="32"/>
              </w:rPr>
              <w:t>4.66</w:t>
            </w:r>
          </w:p>
        </w:tc>
        <w:tc>
          <w:tcPr>
            <w:tcW w:w="1531" w:type="dxa"/>
            <w:tcBorders>
              <w:top w:val="single" w:color="auto" w:sz="4" w:space="0"/>
              <w:bottom w:val="single" w:color="auto" w:sz="4" w:space="0"/>
            </w:tcBorders>
          </w:tcPr>
          <w:p w14:paraId="178CBBDD">
            <w:pPr>
              <w:spacing w:line="360" w:lineRule="auto"/>
              <w:rPr>
                <w:color w:val="000000"/>
                <w:sz w:val="32"/>
                <w:szCs w:val="32"/>
              </w:rPr>
            </w:pPr>
          </w:p>
        </w:tc>
      </w:tr>
      <w:tr w14:paraId="4FAA462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65B9044B">
            <w:pPr>
              <w:spacing w:line="360" w:lineRule="auto"/>
              <w:rPr>
                <w:b w:val="0"/>
                <w:bCs w:val="0"/>
                <w:color w:val="000000"/>
                <w:sz w:val="32"/>
                <w:szCs w:val="32"/>
              </w:rPr>
            </w:pPr>
          </w:p>
        </w:tc>
        <w:tc>
          <w:tcPr>
            <w:tcW w:w="3045" w:type="dxa"/>
            <w:tcBorders>
              <w:top w:val="single" w:color="auto" w:sz="4" w:space="0"/>
              <w:bottom w:val="single" w:color="7F7F7F" w:sz="4" w:space="0"/>
            </w:tcBorders>
          </w:tcPr>
          <w:p w14:paraId="5D09E16F">
            <w:pPr>
              <w:spacing w:line="360" w:lineRule="auto"/>
              <w:rPr>
                <w:color w:val="000000"/>
                <w:sz w:val="32"/>
                <w:szCs w:val="32"/>
              </w:rPr>
            </w:pPr>
            <w:r>
              <w:rPr>
                <w:rFonts w:hint="eastAsia"/>
                <w:color w:val="000000"/>
                <w:sz w:val="32"/>
                <w:szCs w:val="32"/>
              </w:rPr>
              <w:t>簸黄线大修</w:t>
            </w:r>
          </w:p>
        </w:tc>
        <w:tc>
          <w:tcPr>
            <w:tcW w:w="1585" w:type="dxa"/>
            <w:tcBorders>
              <w:top w:val="single" w:color="auto" w:sz="4" w:space="0"/>
              <w:bottom w:val="single" w:color="7F7F7F" w:sz="4" w:space="0"/>
            </w:tcBorders>
          </w:tcPr>
          <w:p w14:paraId="576FB94A">
            <w:pPr>
              <w:spacing w:line="360" w:lineRule="auto"/>
              <w:rPr>
                <w:color w:val="000000"/>
                <w:sz w:val="32"/>
                <w:szCs w:val="32"/>
              </w:rPr>
            </w:pPr>
            <w:r>
              <w:rPr>
                <w:rFonts w:hint="eastAsia"/>
                <w:color w:val="000000"/>
                <w:sz w:val="32"/>
                <w:szCs w:val="32"/>
              </w:rPr>
              <w:t>7</w:t>
            </w:r>
          </w:p>
        </w:tc>
        <w:tc>
          <w:tcPr>
            <w:tcW w:w="1531" w:type="dxa"/>
            <w:tcBorders>
              <w:top w:val="single" w:color="auto" w:sz="4" w:space="0"/>
              <w:bottom w:val="single" w:color="7F7F7F" w:sz="4" w:space="0"/>
            </w:tcBorders>
          </w:tcPr>
          <w:p w14:paraId="6F8E962E">
            <w:pPr>
              <w:spacing w:line="360" w:lineRule="auto"/>
              <w:rPr>
                <w:color w:val="000000"/>
                <w:sz w:val="32"/>
                <w:szCs w:val="32"/>
              </w:rPr>
            </w:pPr>
          </w:p>
        </w:tc>
      </w:tr>
      <w:tr w14:paraId="14BCCE6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4605" w:type="dxa"/>
            <w:gridSpan w:val="2"/>
            <w:tcBorders>
              <w:top w:val="single" w:color="7F7F7F" w:sz="4" w:space="0"/>
              <w:bottom w:val="single" w:color="7F7F7F" w:sz="4" w:space="0"/>
            </w:tcBorders>
          </w:tcPr>
          <w:p w14:paraId="004FE902">
            <w:pPr>
              <w:spacing w:line="360" w:lineRule="auto"/>
              <w:rPr>
                <w:b w:val="0"/>
                <w:bCs w:val="0"/>
                <w:color w:val="000000"/>
                <w:sz w:val="32"/>
                <w:szCs w:val="32"/>
              </w:rPr>
            </w:pPr>
            <w:r>
              <w:rPr>
                <w:rFonts w:hint="eastAsia"/>
                <w:b w:val="0"/>
                <w:bCs w:val="0"/>
                <w:color w:val="000000"/>
                <w:sz w:val="32"/>
                <w:szCs w:val="32"/>
              </w:rPr>
              <w:t>县乡路改造总计</w:t>
            </w:r>
          </w:p>
        </w:tc>
        <w:tc>
          <w:tcPr>
            <w:tcW w:w="1585" w:type="dxa"/>
            <w:tcBorders>
              <w:top w:val="single" w:color="7F7F7F" w:sz="4" w:space="0"/>
              <w:bottom w:val="single" w:color="7F7F7F" w:sz="4" w:space="0"/>
            </w:tcBorders>
          </w:tcPr>
          <w:p w14:paraId="1E25AB6B">
            <w:pPr>
              <w:spacing w:line="360" w:lineRule="auto"/>
              <w:rPr>
                <w:color w:val="000000"/>
                <w:sz w:val="32"/>
                <w:szCs w:val="32"/>
              </w:rPr>
            </w:pPr>
            <w:r>
              <w:rPr>
                <w:color w:val="000000"/>
                <w:sz w:val="32"/>
                <w:szCs w:val="32"/>
              </w:rPr>
              <w:t>162.329</w:t>
            </w:r>
          </w:p>
        </w:tc>
        <w:tc>
          <w:tcPr>
            <w:tcW w:w="1531" w:type="dxa"/>
            <w:tcBorders>
              <w:top w:val="single" w:color="7F7F7F" w:sz="4" w:space="0"/>
              <w:bottom w:val="single" w:color="7F7F7F" w:sz="4" w:space="0"/>
            </w:tcBorders>
          </w:tcPr>
          <w:p w14:paraId="50E0AA56">
            <w:pPr>
              <w:spacing w:line="360" w:lineRule="auto"/>
              <w:rPr>
                <w:color w:val="000000"/>
                <w:sz w:val="32"/>
                <w:szCs w:val="32"/>
              </w:rPr>
            </w:pPr>
          </w:p>
        </w:tc>
      </w:tr>
      <w:tr w14:paraId="1944DFF3">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tcBorders>
              <w:top w:val="single" w:color="7F7F7F" w:sz="4" w:space="0"/>
              <w:bottom w:val="single" w:color="7F7F7F" w:sz="4" w:space="0"/>
            </w:tcBorders>
          </w:tcPr>
          <w:p w14:paraId="18D51505">
            <w:pPr>
              <w:spacing w:line="360" w:lineRule="auto"/>
              <w:rPr>
                <w:b w:val="0"/>
                <w:bCs w:val="0"/>
                <w:color w:val="000000"/>
                <w:sz w:val="32"/>
                <w:szCs w:val="32"/>
              </w:rPr>
            </w:pPr>
            <w:r>
              <w:rPr>
                <w:rFonts w:hint="eastAsia"/>
                <w:b w:val="0"/>
                <w:bCs w:val="0"/>
                <w:color w:val="000000"/>
                <w:sz w:val="32"/>
                <w:szCs w:val="32"/>
              </w:rPr>
              <w:t>时间</w:t>
            </w:r>
          </w:p>
        </w:tc>
        <w:tc>
          <w:tcPr>
            <w:tcW w:w="3045" w:type="dxa"/>
            <w:tcBorders>
              <w:top w:val="single" w:color="7F7F7F" w:sz="4" w:space="0"/>
              <w:bottom w:val="single" w:color="7F7F7F" w:sz="4" w:space="0"/>
            </w:tcBorders>
          </w:tcPr>
          <w:p w14:paraId="006E3A6C">
            <w:pPr>
              <w:spacing w:line="360" w:lineRule="auto"/>
              <w:rPr>
                <w:color w:val="000000"/>
                <w:sz w:val="32"/>
                <w:szCs w:val="32"/>
              </w:rPr>
            </w:pPr>
            <w:r>
              <w:rPr>
                <w:rFonts w:hint="eastAsia"/>
                <w:color w:val="000000"/>
                <w:sz w:val="32"/>
                <w:szCs w:val="32"/>
              </w:rPr>
              <w:t>线路名称</w:t>
            </w:r>
          </w:p>
        </w:tc>
        <w:tc>
          <w:tcPr>
            <w:tcW w:w="1585" w:type="dxa"/>
            <w:tcBorders>
              <w:top w:val="single" w:color="7F7F7F" w:sz="4" w:space="0"/>
              <w:bottom w:val="single" w:color="7F7F7F" w:sz="4" w:space="0"/>
            </w:tcBorders>
          </w:tcPr>
          <w:p w14:paraId="54EF6EB7">
            <w:pPr>
              <w:spacing w:line="360" w:lineRule="auto"/>
              <w:rPr>
                <w:color w:val="000000"/>
                <w:sz w:val="32"/>
                <w:szCs w:val="32"/>
              </w:rPr>
            </w:pPr>
            <w:r>
              <w:rPr>
                <w:rFonts w:hint="eastAsia"/>
                <w:color w:val="000000"/>
                <w:sz w:val="32"/>
                <w:szCs w:val="32"/>
              </w:rPr>
              <w:t>里程（km）</w:t>
            </w:r>
          </w:p>
        </w:tc>
        <w:tc>
          <w:tcPr>
            <w:tcW w:w="1531" w:type="dxa"/>
            <w:tcBorders>
              <w:top w:val="single" w:color="7F7F7F" w:sz="4" w:space="0"/>
              <w:bottom w:val="single" w:color="7F7F7F" w:sz="4" w:space="0"/>
            </w:tcBorders>
          </w:tcPr>
          <w:p w14:paraId="7FEDBB2D">
            <w:pPr>
              <w:spacing w:line="360" w:lineRule="auto"/>
              <w:rPr>
                <w:color w:val="000000"/>
                <w:sz w:val="32"/>
                <w:szCs w:val="32"/>
              </w:rPr>
            </w:pPr>
            <w:r>
              <w:rPr>
                <w:rFonts w:hint="eastAsia"/>
                <w:color w:val="000000"/>
                <w:sz w:val="32"/>
                <w:szCs w:val="32"/>
              </w:rPr>
              <w:t>备注</w:t>
            </w:r>
          </w:p>
        </w:tc>
      </w:tr>
      <w:tr w14:paraId="59804E19">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restart"/>
          </w:tcPr>
          <w:p w14:paraId="7BB7FFFD">
            <w:pPr>
              <w:spacing w:line="360" w:lineRule="auto"/>
              <w:jc w:val="center"/>
              <w:rPr>
                <w:color w:val="000000"/>
                <w:sz w:val="32"/>
                <w:szCs w:val="32"/>
              </w:rPr>
            </w:pPr>
            <w:r>
              <w:rPr>
                <w:rFonts w:hint="eastAsia"/>
                <w:b w:val="0"/>
                <w:bCs w:val="0"/>
                <w:color w:val="000000"/>
                <w:sz w:val="32"/>
                <w:szCs w:val="32"/>
              </w:rPr>
              <w:t>“十四五”期间</w:t>
            </w:r>
          </w:p>
        </w:tc>
        <w:tc>
          <w:tcPr>
            <w:tcW w:w="6161" w:type="dxa"/>
            <w:gridSpan w:val="3"/>
            <w:tcBorders>
              <w:top w:val="single" w:color="7F7F7F" w:sz="4" w:space="0"/>
              <w:bottom w:val="single" w:color="7F7F7F" w:sz="4" w:space="0"/>
            </w:tcBorders>
          </w:tcPr>
          <w:p w14:paraId="2C4E0A08">
            <w:pPr>
              <w:spacing w:line="360" w:lineRule="auto"/>
              <w:jc w:val="center"/>
              <w:rPr>
                <w:color w:val="000000"/>
                <w:sz w:val="32"/>
                <w:szCs w:val="32"/>
              </w:rPr>
            </w:pPr>
            <w:r>
              <w:rPr>
                <w:rFonts w:hint="eastAsia"/>
                <w:color w:val="000000"/>
                <w:sz w:val="32"/>
                <w:szCs w:val="32"/>
              </w:rPr>
              <w:t>文莱高速连接线工程</w:t>
            </w:r>
          </w:p>
        </w:tc>
      </w:tr>
      <w:tr w14:paraId="672C5BD6">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1560" w:type="dxa"/>
            <w:vMerge w:val="continue"/>
          </w:tcPr>
          <w:p w14:paraId="1352CB3F">
            <w:pPr>
              <w:spacing w:line="360" w:lineRule="auto"/>
              <w:rPr>
                <w:b w:val="0"/>
                <w:bCs w:val="0"/>
                <w:color w:val="000000"/>
                <w:sz w:val="32"/>
                <w:szCs w:val="32"/>
              </w:rPr>
            </w:pPr>
          </w:p>
        </w:tc>
        <w:tc>
          <w:tcPr>
            <w:tcW w:w="3045" w:type="dxa"/>
          </w:tcPr>
          <w:p w14:paraId="28D6CAC8">
            <w:pPr>
              <w:spacing w:line="360" w:lineRule="auto"/>
              <w:rPr>
                <w:color w:val="000000"/>
                <w:sz w:val="32"/>
                <w:szCs w:val="32"/>
              </w:rPr>
            </w:pPr>
            <w:r>
              <w:rPr>
                <w:rFonts w:hint="eastAsia"/>
                <w:color w:val="000000"/>
                <w:sz w:val="32"/>
                <w:szCs w:val="32"/>
              </w:rPr>
              <w:t>圣水宫连接线</w:t>
            </w:r>
          </w:p>
        </w:tc>
        <w:tc>
          <w:tcPr>
            <w:tcW w:w="1585" w:type="dxa"/>
          </w:tcPr>
          <w:p w14:paraId="2F3073E7">
            <w:pPr>
              <w:spacing w:line="360" w:lineRule="auto"/>
              <w:rPr>
                <w:color w:val="000000"/>
                <w:sz w:val="32"/>
                <w:szCs w:val="32"/>
              </w:rPr>
            </w:pPr>
            <w:r>
              <w:rPr>
                <w:rFonts w:hint="eastAsia"/>
                <w:color w:val="000000"/>
                <w:sz w:val="32"/>
                <w:szCs w:val="32"/>
              </w:rPr>
              <w:t>3</w:t>
            </w:r>
            <w:r>
              <w:rPr>
                <w:color w:val="000000"/>
                <w:sz w:val="32"/>
                <w:szCs w:val="32"/>
              </w:rPr>
              <w:t>.797</w:t>
            </w:r>
          </w:p>
        </w:tc>
        <w:tc>
          <w:tcPr>
            <w:tcW w:w="1531" w:type="dxa"/>
          </w:tcPr>
          <w:p w14:paraId="347CBEB9">
            <w:pPr>
              <w:spacing w:line="360" w:lineRule="auto"/>
              <w:rPr>
                <w:color w:val="000000"/>
                <w:sz w:val="32"/>
                <w:szCs w:val="32"/>
              </w:rPr>
            </w:pPr>
          </w:p>
        </w:tc>
      </w:tr>
      <w:tr w14:paraId="3E514D98">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585" w:type="dxa"/>
          <w:jc w:val="center"/>
        </w:trPr>
        <w:tc>
          <w:tcPr>
            <w:tcW w:w="4605" w:type="dxa"/>
            <w:gridSpan w:val="2"/>
            <w:tcBorders>
              <w:top w:val="single" w:color="7F7F7F" w:sz="4" w:space="0"/>
              <w:bottom w:val="single" w:color="7F7F7F" w:sz="4" w:space="0"/>
            </w:tcBorders>
          </w:tcPr>
          <w:p w14:paraId="4491EC5A">
            <w:pPr>
              <w:spacing w:line="360" w:lineRule="auto"/>
              <w:rPr>
                <w:b w:val="0"/>
                <w:bCs w:val="0"/>
                <w:color w:val="000000"/>
                <w:sz w:val="32"/>
                <w:szCs w:val="32"/>
              </w:rPr>
            </w:pPr>
            <w:r>
              <w:rPr>
                <w:rFonts w:hint="eastAsia"/>
                <w:b w:val="0"/>
                <w:bCs w:val="0"/>
                <w:color w:val="000000"/>
                <w:sz w:val="32"/>
                <w:szCs w:val="32"/>
              </w:rPr>
              <w:t>十四五总计</w:t>
            </w:r>
          </w:p>
        </w:tc>
        <w:tc>
          <w:tcPr>
            <w:tcW w:w="1585" w:type="dxa"/>
            <w:tcBorders>
              <w:top w:val="single" w:color="7F7F7F" w:sz="4" w:space="0"/>
              <w:bottom w:val="single" w:color="7F7F7F" w:sz="4" w:space="0"/>
            </w:tcBorders>
          </w:tcPr>
          <w:p w14:paraId="48AF5553">
            <w:pPr>
              <w:spacing w:line="360" w:lineRule="auto"/>
              <w:rPr>
                <w:color w:val="000000"/>
                <w:sz w:val="32"/>
                <w:szCs w:val="32"/>
              </w:rPr>
            </w:pPr>
            <w:r>
              <w:rPr>
                <w:color w:val="000000"/>
                <w:sz w:val="32"/>
                <w:szCs w:val="32"/>
              </w:rPr>
              <w:t>166.126</w:t>
            </w:r>
          </w:p>
        </w:tc>
        <w:tc>
          <w:tcPr>
            <w:tcW w:w="1531" w:type="dxa"/>
            <w:tcBorders>
              <w:top w:val="single" w:color="7F7F7F" w:sz="4" w:space="0"/>
              <w:bottom w:val="single" w:color="7F7F7F" w:sz="4" w:space="0"/>
            </w:tcBorders>
          </w:tcPr>
          <w:p w14:paraId="318A5B22">
            <w:pPr>
              <w:spacing w:line="360" w:lineRule="auto"/>
              <w:rPr>
                <w:color w:val="000000"/>
                <w:sz w:val="32"/>
                <w:szCs w:val="32"/>
              </w:rPr>
            </w:pPr>
          </w:p>
        </w:tc>
      </w:tr>
      <w:tr w14:paraId="2E6CD07A">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atLeast"/>
          <w:jc w:val="center"/>
        </w:trPr>
        <w:tc>
          <w:tcPr>
            <w:tcW w:w="8306" w:type="dxa"/>
            <w:gridSpan w:val="5"/>
          </w:tcPr>
          <w:p w14:paraId="494FA052">
            <w:pPr>
              <w:jc w:val="center"/>
              <w:rPr>
                <w:rFonts w:ascii="楷体" w:hAnsi="楷体" w:eastAsia="楷体"/>
                <w:color w:val="000000"/>
                <w:sz w:val="32"/>
                <w:szCs w:val="32"/>
              </w:rPr>
            </w:pPr>
            <w:r>
              <w:rPr>
                <w:rFonts w:hint="eastAsia" w:ascii="楷体" w:hAnsi="楷体" w:eastAsia="楷体"/>
                <w:color w:val="000000"/>
                <w:sz w:val="32"/>
                <w:szCs w:val="32"/>
              </w:rPr>
              <w:t>表</w:t>
            </w:r>
            <w:r>
              <w:rPr>
                <w:rFonts w:ascii="楷体" w:hAnsi="楷体" w:eastAsia="楷体"/>
                <w:color w:val="000000"/>
                <w:sz w:val="32"/>
                <w:szCs w:val="32"/>
              </w:rPr>
              <w:t>3</w:t>
            </w:r>
            <w:r>
              <w:rPr>
                <w:rFonts w:hint="eastAsia" w:ascii="楷体" w:hAnsi="楷体" w:eastAsia="楷体"/>
                <w:color w:val="000000"/>
                <w:sz w:val="32"/>
                <w:szCs w:val="32"/>
              </w:rPr>
              <w:t>乳山市“十四五”公路建设项目</w:t>
            </w:r>
          </w:p>
        </w:tc>
      </w:tr>
      <w:tr w14:paraId="5E895E3C">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3" w:hRule="atLeast"/>
          <w:jc w:val="center"/>
        </w:trPr>
        <w:tc>
          <w:tcPr>
            <w:tcW w:w="8306" w:type="dxa"/>
            <w:gridSpan w:val="5"/>
          </w:tcPr>
          <w:p w14:paraId="202EE440">
            <w:pPr>
              <w:numPr>
                <w:ilvl w:val="0"/>
                <w:numId w:val="1"/>
              </w:numPr>
              <w:rPr>
                <w:rFonts w:eastAsia="楷体"/>
                <w:b w:val="0"/>
                <w:bCs w:val="0"/>
                <w:color w:val="000000"/>
                <w:sz w:val="28"/>
                <w:szCs w:val="28"/>
              </w:rPr>
            </w:pPr>
            <w:r>
              <w:rPr>
                <w:rFonts w:eastAsia="楷体"/>
                <w:color w:val="000000"/>
                <w:sz w:val="28"/>
                <w:szCs w:val="28"/>
              </w:rPr>
              <w:t>高速公路</w:t>
            </w:r>
          </w:p>
          <w:p w14:paraId="3328E37B">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文莱高速连接线工程</w:t>
            </w:r>
          </w:p>
          <w:p w14:paraId="11838B19">
            <w:pPr>
              <w:numPr>
                <w:ilvl w:val="0"/>
                <w:numId w:val="2"/>
              </w:numPr>
              <w:rPr>
                <w:rFonts w:eastAsia="楷体"/>
                <w:b w:val="0"/>
                <w:bCs w:val="0"/>
                <w:color w:val="000000"/>
                <w:sz w:val="28"/>
                <w:szCs w:val="28"/>
              </w:rPr>
            </w:pPr>
            <w:r>
              <w:rPr>
                <w:rFonts w:eastAsia="楷体"/>
                <w:color w:val="000000"/>
                <w:sz w:val="28"/>
                <w:szCs w:val="28"/>
              </w:rPr>
              <w:t>普通国省道</w:t>
            </w:r>
          </w:p>
          <w:p w14:paraId="597E8796">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大修G308文石线文登界至诸往镇崖后村后1公里段</w:t>
            </w:r>
            <w:r>
              <w:rPr>
                <w:rFonts w:hint="eastAsia" w:eastAsia="楷体"/>
                <w:color w:val="000000"/>
                <w:sz w:val="28"/>
                <w:szCs w:val="28"/>
              </w:rPr>
              <w:t>，全长4</w:t>
            </w:r>
            <w:r>
              <w:rPr>
                <w:rFonts w:eastAsia="楷体"/>
                <w:color w:val="000000"/>
                <w:sz w:val="28"/>
                <w:szCs w:val="28"/>
              </w:rPr>
              <w:t>3.3</w:t>
            </w:r>
            <w:r>
              <w:rPr>
                <w:rFonts w:hint="eastAsia" w:eastAsia="楷体"/>
                <w:color w:val="000000"/>
                <w:sz w:val="28"/>
                <w:szCs w:val="28"/>
              </w:rPr>
              <w:t>公里，按照一级路标准建设，路基宽度2</w:t>
            </w:r>
            <w:r>
              <w:rPr>
                <w:rFonts w:eastAsia="楷体"/>
                <w:color w:val="000000"/>
                <w:sz w:val="28"/>
                <w:szCs w:val="28"/>
              </w:rPr>
              <w:t>4.5</w:t>
            </w:r>
            <w:r>
              <w:rPr>
                <w:rFonts w:hint="eastAsia" w:eastAsia="楷体"/>
                <w:color w:val="000000"/>
                <w:sz w:val="28"/>
                <w:szCs w:val="28"/>
              </w:rPr>
              <w:t>米，路面宽度2</w:t>
            </w:r>
            <w:r>
              <w:rPr>
                <w:rFonts w:eastAsia="楷体"/>
                <w:color w:val="000000"/>
                <w:sz w:val="28"/>
                <w:szCs w:val="28"/>
              </w:rPr>
              <w:t>1</w:t>
            </w:r>
            <w:r>
              <w:rPr>
                <w:rFonts w:hint="eastAsia" w:eastAsia="楷体"/>
                <w:color w:val="000000"/>
                <w:sz w:val="28"/>
                <w:szCs w:val="28"/>
              </w:rPr>
              <w:t>米</w:t>
            </w:r>
          </w:p>
          <w:p w14:paraId="4FF4A396">
            <w:pPr>
              <w:ind w:firstLine="840" w:firstLineChars="300"/>
              <w:rPr>
                <w:rFonts w:eastAsia="楷体"/>
                <w:color w:val="000000"/>
                <w:sz w:val="28"/>
                <w:szCs w:val="28"/>
              </w:rPr>
            </w:pPr>
            <w:r>
              <w:rPr>
                <w:rFonts w:hint="eastAsia" w:eastAsia="楷体"/>
                <w:color w:val="000000"/>
                <w:sz w:val="28"/>
                <w:szCs w:val="28"/>
              </w:rPr>
              <w:t>2.</w:t>
            </w:r>
            <w:r>
              <w:rPr>
                <w:rFonts w:eastAsia="楷体"/>
                <w:color w:val="000000"/>
                <w:sz w:val="28"/>
                <w:szCs w:val="28"/>
              </w:rPr>
              <w:t>大修G228丹东线海阳所镇海阳所村至海阳所镇西山赵家村北</w:t>
            </w:r>
            <w:r>
              <w:rPr>
                <w:rFonts w:hint="eastAsia" w:eastAsia="楷体"/>
                <w:color w:val="000000"/>
                <w:sz w:val="28"/>
                <w:szCs w:val="28"/>
              </w:rPr>
              <w:t>，全长1</w:t>
            </w:r>
            <w:r>
              <w:rPr>
                <w:rFonts w:eastAsia="楷体"/>
                <w:color w:val="000000"/>
                <w:sz w:val="28"/>
                <w:szCs w:val="28"/>
              </w:rPr>
              <w:t>2.26</w:t>
            </w:r>
            <w:r>
              <w:rPr>
                <w:rFonts w:hint="eastAsia" w:eastAsia="楷体"/>
                <w:color w:val="000000"/>
                <w:sz w:val="28"/>
                <w:szCs w:val="28"/>
              </w:rPr>
              <w:t>公里，按照二级路标准建设，路基宽度1</w:t>
            </w:r>
            <w:r>
              <w:rPr>
                <w:rFonts w:eastAsia="楷体"/>
                <w:color w:val="000000"/>
                <w:sz w:val="28"/>
                <w:szCs w:val="28"/>
              </w:rPr>
              <w:t>3.5</w:t>
            </w:r>
            <w:r>
              <w:rPr>
                <w:rFonts w:hint="eastAsia" w:eastAsia="楷体"/>
                <w:color w:val="000000"/>
                <w:sz w:val="28"/>
                <w:szCs w:val="28"/>
              </w:rPr>
              <w:t>米，路面宽度1</w:t>
            </w:r>
            <w:r>
              <w:rPr>
                <w:rFonts w:eastAsia="楷体"/>
                <w:color w:val="000000"/>
                <w:sz w:val="28"/>
                <w:szCs w:val="28"/>
              </w:rPr>
              <w:t>2</w:t>
            </w:r>
            <w:r>
              <w:rPr>
                <w:rFonts w:hint="eastAsia" w:eastAsia="楷体"/>
                <w:color w:val="000000"/>
                <w:sz w:val="28"/>
                <w:szCs w:val="28"/>
              </w:rPr>
              <w:t>米</w:t>
            </w:r>
          </w:p>
          <w:p w14:paraId="05074746">
            <w:pPr>
              <w:ind w:firstLine="840" w:firstLineChars="300"/>
              <w:rPr>
                <w:rFonts w:eastAsia="楷体"/>
                <w:color w:val="000000"/>
                <w:sz w:val="28"/>
                <w:szCs w:val="28"/>
              </w:rPr>
            </w:pPr>
            <w:r>
              <w:rPr>
                <w:rFonts w:hint="eastAsia" w:eastAsia="楷体"/>
                <w:color w:val="000000"/>
                <w:sz w:val="28"/>
                <w:szCs w:val="28"/>
              </w:rPr>
              <w:t>3.</w:t>
            </w:r>
            <w:r>
              <w:rPr>
                <w:rFonts w:eastAsia="楷体"/>
                <w:color w:val="000000"/>
                <w:sz w:val="28"/>
                <w:szCs w:val="28"/>
              </w:rPr>
              <w:t>大修G308文石线诸往镇崖后村后1公里段至海阳界段</w:t>
            </w:r>
            <w:r>
              <w:rPr>
                <w:rFonts w:hint="eastAsia" w:eastAsia="楷体"/>
                <w:color w:val="000000"/>
                <w:sz w:val="28"/>
                <w:szCs w:val="28"/>
              </w:rPr>
              <w:t>，全长1</w:t>
            </w:r>
            <w:r>
              <w:rPr>
                <w:rFonts w:eastAsia="楷体"/>
                <w:color w:val="000000"/>
                <w:sz w:val="28"/>
                <w:szCs w:val="28"/>
              </w:rPr>
              <w:t>2.8</w:t>
            </w:r>
            <w:r>
              <w:rPr>
                <w:rFonts w:hint="eastAsia" w:eastAsia="楷体"/>
                <w:color w:val="000000"/>
                <w:sz w:val="28"/>
                <w:szCs w:val="28"/>
              </w:rPr>
              <w:t>公里，按照二级路标准建设，路基宽度1</w:t>
            </w:r>
            <w:r>
              <w:rPr>
                <w:rFonts w:eastAsia="楷体"/>
                <w:color w:val="000000"/>
                <w:sz w:val="28"/>
                <w:szCs w:val="28"/>
              </w:rPr>
              <w:t>2</w:t>
            </w:r>
            <w:r>
              <w:rPr>
                <w:rFonts w:hint="eastAsia" w:eastAsia="楷体"/>
                <w:color w:val="000000"/>
                <w:sz w:val="28"/>
                <w:szCs w:val="28"/>
              </w:rPr>
              <w:t>米，路面宽度1</w:t>
            </w:r>
            <w:r>
              <w:rPr>
                <w:rFonts w:eastAsia="楷体"/>
                <w:color w:val="000000"/>
                <w:sz w:val="28"/>
                <w:szCs w:val="28"/>
              </w:rPr>
              <w:t>0.5</w:t>
            </w:r>
            <w:r>
              <w:rPr>
                <w:rFonts w:hint="eastAsia" w:eastAsia="楷体"/>
                <w:color w:val="000000"/>
                <w:sz w:val="28"/>
                <w:szCs w:val="28"/>
              </w:rPr>
              <w:t>米</w:t>
            </w:r>
          </w:p>
          <w:p w14:paraId="757BF73E">
            <w:pPr>
              <w:ind w:firstLine="840" w:firstLineChars="300"/>
              <w:rPr>
                <w:rFonts w:eastAsia="楷体"/>
                <w:color w:val="000000"/>
                <w:sz w:val="28"/>
                <w:szCs w:val="28"/>
              </w:rPr>
            </w:pPr>
            <w:r>
              <w:rPr>
                <w:rFonts w:hint="eastAsia" w:eastAsia="楷体"/>
                <w:color w:val="000000"/>
                <w:sz w:val="28"/>
                <w:szCs w:val="28"/>
              </w:rPr>
              <w:t>4.</w:t>
            </w:r>
            <w:r>
              <w:rPr>
                <w:rFonts w:eastAsia="楷体"/>
                <w:color w:val="000000"/>
                <w:sz w:val="28"/>
                <w:szCs w:val="28"/>
              </w:rPr>
              <w:t>改建S206牟徐线乳山南黄至东南耩段</w:t>
            </w:r>
            <w:r>
              <w:rPr>
                <w:rFonts w:hint="eastAsia" w:eastAsia="楷体"/>
                <w:color w:val="000000"/>
                <w:sz w:val="28"/>
                <w:szCs w:val="28"/>
              </w:rPr>
              <w:t>，全长8</w:t>
            </w:r>
            <w:r>
              <w:rPr>
                <w:rFonts w:eastAsia="楷体"/>
                <w:color w:val="000000"/>
                <w:sz w:val="28"/>
                <w:szCs w:val="28"/>
              </w:rPr>
              <w:t>.95</w:t>
            </w:r>
            <w:r>
              <w:rPr>
                <w:rFonts w:hint="eastAsia" w:eastAsia="楷体"/>
                <w:color w:val="000000"/>
                <w:sz w:val="28"/>
                <w:szCs w:val="28"/>
              </w:rPr>
              <w:t>公里，由二级公路改为一级路，按照一级路标准建设，新建路基宽度2</w:t>
            </w:r>
            <w:r>
              <w:rPr>
                <w:rFonts w:eastAsia="楷体"/>
                <w:color w:val="000000"/>
                <w:sz w:val="28"/>
                <w:szCs w:val="28"/>
              </w:rPr>
              <w:t>5.5</w:t>
            </w:r>
            <w:r>
              <w:rPr>
                <w:rFonts w:hint="eastAsia" w:eastAsia="楷体"/>
                <w:color w:val="000000"/>
                <w:sz w:val="28"/>
                <w:szCs w:val="28"/>
              </w:rPr>
              <w:t>米</w:t>
            </w:r>
          </w:p>
          <w:p w14:paraId="597308C2">
            <w:pPr>
              <w:ind w:firstLine="840" w:firstLineChars="300"/>
              <w:rPr>
                <w:rFonts w:eastAsia="楷体"/>
                <w:color w:val="000000"/>
                <w:sz w:val="28"/>
                <w:szCs w:val="28"/>
              </w:rPr>
            </w:pPr>
            <w:r>
              <w:rPr>
                <w:rFonts w:hint="eastAsia" w:eastAsia="楷体"/>
                <w:color w:val="000000"/>
                <w:sz w:val="28"/>
                <w:szCs w:val="28"/>
              </w:rPr>
              <w:t>5.改</w:t>
            </w:r>
            <w:r>
              <w:rPr>
                <w:rFonts w:eastAsia="楷体"/>
                <w:color w:val="000000"/>
                <w:sz w:val="28"/>
                <w:szCs w:val="28"/>
              </w:rPr>
              <w:t>建S202威青线乳山绕城段</w:t>
            </w:r>
            <w:r>
              <w:rPr>
                <w:rFonts w:hint="eastAsia" w:eastAsia="楷体"/>
                <w:color w:val="000000"/>
                <w:sz w:val="28"/>
                <w:szCs w:val="28"/>
              </w:rPr>
              <w:t>，全长1</w:t>
            </w:r>
            <w:r>
              <w:rPr>
                <w:rFonts w:eastAsia="楷体"/>
                <w:color w:val="000000"/>
                <w:sz w:val="28"/>
                <w:szCs w:val="28"/>
              </w:rPr>
              <w:t>3.5</w:t>
            </w:r>
            <w:r>
              <w:rPr>
                <w:rFonts w:hint="eastAsia" w:eastAsia="楷体"/>
                <w:color w:val="000000"/>
                <w:sz w:val="28"/>
                <w:szCs w:val="28"/>
              </w:rPr>
              <w:t>公里，按照一级路标准建设，新建路基宽度2</w:t>
            </w:r>
            <w:r>
              <w:rPr>
                <w:rFonts w:eastAsia="楷体"/>
                <w:color w:val="000000"/>
                <w:sz w:val="28"/>
                <w:szCs w:val="28"/>
              </w:rPr>
              <w:t>5.5</w:t>
            </w:r>
            <w:r>
              <w:rPr>
                <w:rFonts w:hint="eastAsia" w:eastAsia="楷体"/>
                <w:color w:val="000000"/>
                <w:sz w:val="28"/>
                <w:szCs w:val="28"/>
              </w:rPr>
              <w:t>米</w:t>
            </w:r>
          </w:p>
          <w:p w14:paraId="704714DB">
            <w:pPr>
              <w:ind w:firstLine="840" w:firstLineChars="300"/>
              <w:rPr>
                <w:rFonts w:eastAsia="楷体"/>
                <w:color w:val="000000"/>
                <w:sz w:val="28"/>
                <w:szCs w:val="28"/>
              </w:rPr>
            </w:pPr>
            <w:r>
              <w:rPr>
                <w:rFonts w:eastAsia="楷体"/>
                <w:color w:val="000000"/>
                <w:sz w:val="28"/>
                <w:szCs w:val="28"/>
              </w:rPr>
              <w:t>6</w:t>
            </w:r>
            <w:r>
              <w:rPr>
                <w:rFonts w:hint="eastAsia" w:eastAsia="楷体"/>
                <w:color w:val="000000"/>
                <w:sz w:val="28"/>
                <w:szCs w:val="28"/>
              </w:rPr>
              <w:t>.改</w:t>
            </w:r>
            <w:r>
              <w:rPr>
                <w:rFonts w:eastAsia="楷体"/>
                <w:color w:val="000000"/>
                <w:sz w:val="28"/>
                <w:szCs w:val="28"/>
              </w:rPr>
              <w:t>建S208烟海线乳山绕城段</w:t>
            </w:r>
            <w:r>
              <w:rPr>
                <w:rFonts w:hint="eastAsia" w:eastAsia="楷体"/>
                <w:color w:val="000000"/>
                <w:sz w:val="28"/>
                <w:szCs w:val="28"/>
              </w:rPr>
              <w:t>，全长1</w:t>
            </w:r>
            <w:r>
              <w:rPr>
                <w:rFonts w:eastAsia="楷体"/>
                <w:color w:val="000000"/>
                <w:sz w:val="28"/>
                <w:szCs w:val="28"/>
              </w:rPr>
              <w:t>5.8</w:t>
            </w:r>
            <w:r>
              <w:rPr>
                <w:rFonts w:hint="eastAsia" w:eastAsia="楷体"/>
                <w:color w:val="000000"/>
                <w:sz w:val="28"/>
                <w:szCs w:val="28"/>
              </w:rPr>
              <w:t>公里，按照一级路标准建设，新建路基宽度2</w:t>
            </w:r>
            <w:r>
              <w:rPr>
                <w:rFonts w:eastAsia="楷体"/>
                <w:color w:val="000000"/>
                <w:sz w:val="28"/>
                <w:szCs w:val="28"/>
              </w:rPr>
              <w:t>5.5</w:t>
            </w:r>
            <w:r>
              <w:rPr>
                <w:rFonts w:hint="eastAsia" w:eastAsia="楷体"/>
                <w:color w:val="000000"/>
                <w:sz w:val="28"/>
                <w:szCs w:val="28"/>
              </w:rPr>
              <w:t>米</w:t>
            </w:r>
          </w:p>
          <w:p w14:paraId="004D429F">
            <w:pPr>
              <w:ind w:firstLine="840" w:firstLineChars="300"/>
              <w:rPr>
                <w:rFonts w:eastAsia="楷体"/>
                <w:color w:val="000000"/>
                <w:sz w:val="28"/>
                <w:szCs w:val="28"/>
              </w:rPr>
            </w:pPr>
            <w:r>
              <w:rPr>
                <w:rFonts w:eastAsia="楷体"/>
                <w:color w:val="000000"/>
                <w:sz w:val="28"/>
                <w:szCs w:val="28"/>
              </w:rPr>
              <w:t>7</w:t>
            </w:r>
            <w:r>
              <w:rPr>
                <w:rFonts w:hint="eastAsia" w:eastAsia="楷体"/>
                <w:color w:val="000000"/>
                <w:sz w:val="28"/>
                <w:szCs w:val="28"/>
              </w:rPr>
              <w:t>.</w:t>
            </w:r>
            <w:r>
              <w:rPr>
                <w:rFonts w:eastAsia="楷体"/>
                <w:color w:val="000000"/>
                <w:sz w:val="28"/>
                <w:szCs w:val="28"/>
              </w:rPr>
              <w:t>改建G308文石线与S207莱乳线节点</w:t>
            </w:r>
            <w:r>
              <w:rPr>
                <w:rFonts w:hint="eastAsia" w:eastAsia="楷体"/>
                <w:color w:val="000000"/>
                <w:sz w:val="28"/>
                <w:szCs w:val="28"/>
              </w:rPr>
              <w:t>，全长5</w:t>
            </w:r>
            <w:r>
              <w:rPr>
                <w:rFonts w:eastAsia="楷体"/>
                <w:color w:val="000000"/>
                <w:sz w:val="28"/>
                <w:szCs w:val="28"/>
              </w:rPr>
              <w:t>.8</w:t>
            </w:r>
            <w:r>
              <w:rPr>
                <w:rFonts w:hint="eastAsia" w:eastAsia="楷体"/>
                <w:color w:val="000000"/>
                <w:sz w:val="28"/>
                <w:szCs w:val="28"/>
              </w:rPr>
              <w:t>公里</w:t>
            </w:r>
          </w:p>
          <w:p w14:paraId="13A9E167">
            <w:pPr>
              <w:ind w:firstLine="840" w:firstLineChars="300"/>
              <w:rPr>
                <w:rFonts w:eastAsia="楷体"/>
                <w:color w:val="000000"/>
                <w:sz w:val="28"/>
                <w:szCs w:val="28"/>
              </w:rPr>
            </w:pPr>
            <w:r>
              <w:rPr>
                <w:rFonts w:eastAsia="楷体"/>
                <w:color w:val="000000"/>
                <w:sz w:val="28"/>
                <w:szCs w:val="28"/>
              </w:rPr>
              <w:t>8</w:t>
            </w:r>
            <w:r>
              <w:rPr>
                <w:rFonts w:hint="eastAsia" w:eastAsia="楷体"/>
                <w:color w:val="000000"/>
                <w:sz w:val="28"/>
                <w:szCs w:val="28"/>
              </w:rPr>
              <w:t>.</w:t>
            </w:r>
            <w:r>
              <w:rPr>
                <w:rFonts w:eastAsia="楷体"/>
                <w:color w:val="000000"/>
                <w:sz w:val="28"/>
                <w:szCs w:val="28"/>
              </w:rPr>
              <w:t>大修S202威青线文登交界至迟家河东段</w:t>
            </w:r>
            <w:r>
              <w:rPr>
                <w:rFonts w:hint="eastAsia" w:eastAsia="楷体"/>
                <w:color w:val="000000"/>
                <w:sz w:val="28"/>
                <w:szCs w:val="28"/>
              </w:rPr>
              <w:t>，全长2</w:t>
            </w:r>
            <w:r>
              <w:rPr>
                <w:rFonts w:eastAsia="楷体"/>
                <w:color w:val="000000"/>
                <w:sz w:val="28"/>
                <w:szCs w:val="28"/>
              </w:rPr>
              <w:t>0.88</w:t>
            </w:r>
            <w:r>
              <w:rPr>
                <w:rFonts w:hint="eastAsia" w:eastAsia="楷体"/>
                <w:color w:val="000000"/>
                <w:sz w:val="28"/>
                <w:szCs w:val="28"/>
              </w:rPr>
              <w:t>公里，按照二级路标准建设，路基宽度1</w:t>
            </w:r>
            <w:r>
              <w:rPr>
                <w:rFonts w:eastAsia="楷体"/>
                <w:color w:val="000000"/>
                <w:sz w:val="28"/>
                <w:szCs w:val="28"/>
              </w:rPr>
              <w:t>5</w:t>
            </w:r>
            <w:r>
              <w:rPr>
                <w:rFonts w:hint="eastAsia" w:eastAsia="楷体"/>
                <w:color w:val="000000"/>
                <w:sz w:val="28"/>
                <w:szCs w:val="28"/>
              </w:rPr>
              <w:t>米，路面宽度1</w:t>
            </w:r>
            <w:r>
              <w:rPr>
                <w:rFonts w:eastAsia="楷体"/>
                <w:color w:val="000000"/>
                <w:sz w:val="28"/>
                <w:szCs w:val="28"/>
              </w:rPr>
              <w:t>2</w:t>
            </w:r>
            <w:r>
              <w:rPr>
                <w:rFonts w:hint="eastAsia" w:eastAsia="楷体"/>
                <w:color w:val="000000"/>
                <w:sz w:val="28"/>
                <w:szCs w:val="28"/>
              </w:rPr>
              <w:t>米</w:t>
            </w:r>
          </w:p>
          <w:p w14:paraId="1D4291E9">
            <w:pPr>
              <w:ind w:firstLine="840" w:firstLineChars="300"/>
              <w:rPr>
                <w:rFonts w:eastAsia="楷体"/>
                <w:color w:val="000000"/>
                <w:sz w:val="28"/>
                <w:szCs w:val="28"/>
              </w:rPr>
            </w:pPr>
            <w:r>
              <w:rPr>
                <w:rFonts w:eastAsia="楷体"/>
                <w:color w:val="000000"/>
                <w:sz w:val="28"/>
                <w:szCs w:val="28"/>
              </w:rPr>
              <w:t>9</w:t>
            </w:r>
            <w:r>
              <w:rPr>
                <w:rFonts w:hint="eastAsia" w:eastAsia="楷体"/>
                <w:color w:val="000000"/>
                <w:sz w:val="28"/>
                <w:szCs w:val="28"/>
              </w:rPr>
              <w:t>.</w:t>
            </w:r>
            <w:r>
              <w:rPr>
                <w:rFonts w:eastAsia="楷体"/>
                <w:color w:val="000000"/>
                <w:sz w:val="28"/>
                <w:szCs w:val="28"/>
              </w:rPr>
              <w:t>大修S207莱乳线乳山口镇秦家庄村至旗杆石村段</w:t>
            </w:r>
            <w:r>
              <w:rPr>
                <w:rFonts w:hint="eastAsia" w:eastAsia="楷体"/>
                <w:color w:val="000000"/>
                <w:sz w:val="28"/>
                <w:szCs w:val="28"/>
              </w:rPr>
              <w:t>，全长6</w:t>
            </w:r>
            <w:r>
              <w:rPr>
                <w:rFonts w:eastAsia="楷体"/>
                <w:color w:val="000000"/>
                <w:sz w:val="28"/>
                <w:szCs w:val="28"/>
              </w:rPr>
              <w:t>.6</w:t>
            </w:r>
            <w:r>
              <w:rPr>
                <w:rFonts w:hint="eastAsia" w:eastAsia="楷体"/>
                <w:color w:val="000000"/>
                <w:sz w:val="28"/>
                <w:szCs w:val="28"/>
              </w:rPr>
              <w:t>公里，按照一级路标准建设，路基宽度2</w:t>
            </w:r>
            <w:r>
              <w:rPr>
                <w:rFonts w:eastAsia="楷体"/>
                <w:color w:val="000000"/>
                <w:sz w:val="28"/>
                <w:szCs w:val="28"/>
              </w:rPr>
              <w:t>5</w:t>
            </w:r>
            <w:r>
              <w:rPr>
                <w:rFonts w:hint="eastAsia" w:eastAsia="楷体"/>
                <w:color w:val="000000"/>
                <w:sz w:val="28"/>
                <w:szCs w:val="28"/>
              </w:rPr>
              <w:t>米，路面宽度2</w:t>
            </w:r>
            <w:r>
              <w:rPr>
                <w:rFonts w:eastAsia="楷体"/>
                <w:color w:val="000000"/>
                <w:sz w:val="28"/>
                <w:szCs w:val="28"/>
              </w:rPr>
              <w:t>1</w:t>
            </w:r>
            <w:r>
              <w:rPr>
                <w:rFonts w:hint="eastAsia" w:eastAsia="楷体"/>
                <w:color w:val="000000"/>
                <w:sz w:val="28"/>
                <w:szCs w:val="28"/>
              </w:rPr>
              <w:t>米</w:t>
            </w:r>
          </w:p>
          <w:p w14:paraId="45467E4B">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0.</w:t>
            </w:r>
            <w:r>
              <w:rPr>
                <w:rFonts w:hint="eastAsia" w:eastAsia="楷体"/>
                <w:color w:val="000000"/>
                <w:sz w:val="28"/>
                <w:szCs w:val="28"/>
              </w:rPr>
              <w:t>续建S</w:t>
            </w:r>
            <w:r>
              <w:rPr>
                <w:rFonts w:eastAsia="楷体"/>
                <w:color w:val="000000"/>
                <w:sz w:val="28"/>
                <w:szCs w:val="28"/>
              </w:rPr>
              <w:t>207</w:t>
            </w:r>
            <w:r>
              <w:rPr>
                <w:rFonts w:hint="eastAsia" w:eastAsia="楷体"/>
                <w:color w:val="000000"/>
                <w:sz w:val="28"/>
                <w:szCs w:val="28"/>
              </w:rPr>
              <w:t>莱乳线乳山绕城段，路线全长1</w:t>
            </w:r>
            <w:r>
              <w:rPr>
                <w:rFonts w:eastAsia="楷体"/>
                <w:color w:val="000000"/>
                <w:sz w:val="28"/>
                <w:szCs w:val="28"/>
              </w:rPr>
              <w:t>9.217</w:t>
            </w:r>
            <w:r>
              <w:rPr>
                <w:rFonts w:hint="eastAsia" w:eastAsia="楷体"/>
                <w:color w:val="000000"/>
                <w:sz w:val="28"/>
                <w:szCs w:val="28"/>
              </w:rPr>
              <w:t>公里，按双向四车道一级公路建设标准，设计速度8</w:t>
            </w:r>
            <w:r>
              <w:rPr>
                <w:rFonts w:eastAsia="楷体"/>
                <w:color w:val="000000"/>
                <w:sz w:val="28"/>
                <w:szCs w:val="28"/>
              </w:rPr>
              <w:t>0</w:t>
            </w:r>
            <w:r>
              <w:rPr>
                <w:rFonts w:hint="eastAsia" w:eastAsia="楷体"/>
                <w:color w:val="000000"/>
                <w:sz w:val="28"/>
                <w:szCs w:val="28"/>
              </w:rPr>
              <w:t>km</w:t>
            </w:r>
            <w:r>
              <w:rPr>
                <w:rFonts w:eastAsia="楷体"/>
                <w:color w:val="000000"/>
                <w:sz w:val="28"/>
                <w:szCs w:val="28"/>
              </w:rPr>
              <w:t>/</w:t>
            </w:r>
            <w:r>
              <w:rPr>
                <w:rFonts w:hint="eastAsia" w:eastAsia="楷体"/>
                <w:color w:val="000000"/>
                <w:sz w:val="28"/>
                <w:szCs w:val="28"/>
              </w:rPr>
              <w:t>h，新建1</w:t>
            </w:r>
            <w:r>
              <w:rPr>
                <w:rFonts w:eastAsia="楷体"/>
                <w:color w:val="000000"/>
                <w:sz w:val="28"/>
                <w:szCs w:val="28"/>
              </w:rPr>
              <w:t>5.9</w:t>
            </w:r>
            <w:r>
              <w:rPr>
                <w:rFonts w:hint="eastAsia" w:eastAsia="楷体"/>
                <w:color w:val="000000"/>
                <w:sz w:val="28"/>
                <w:szCs w:val="28"/>
              </w:rPr>
              <w:t>公里，路基宽度2</w:t>
            </w:r>
            <w:r>
              <w:rPr>
                <w:rFonts w:eastAsia="楷体"/>
                <w:color w:val="000000"/>
                <w:sz w:val="28"/>
                <w:szCs w:val="28"/>
              </w:rPr>
              <w:t>5.5</w:t>
            </w:r>
            <w:r>
              <w:rPr>
                <w:rFonts w:hint="eastAsia" w:eastAsia="楷体"/>
                <w:color w:val="000000"/>
                <w:sz w:val="28"/>
                <w:szCs w:val="28"/>
              </w:rPr>
              <w:t>米，改造利用3</w:t>
            </w:r>
            <w:r>
              <w:rPr>
                <w:rFonts w:eastAsia="楷体"/>
                <w:color w:val="000000"/>
                <w:sz w:val="28"/>
                <w:szCs w:val="28"/>
              </w:rPr>
              <w:t>.317</w:t>
            </w:r>
            <w:r>
              <w:rPr>
                <w:rFonts w:hint="eastAsia" w:eastAsia="楷体"/>
                <w:color w:val="000000"/>
                <w:sz w:val="28"/>
                <w:szCs w:val="28"/>
              </w:rPr>
              <w:t>公里，路基宽度维持现状2</w:t>
            </w:r>
            <w:r>
              <w:rPr>
                <w:rFonts w:eastAsia="楷体"/>
                <w:color w:val="000000"/>
                <w:sz w:val="28"/>
                <w:szCs w:val="28"/>
              </w:rPr>
              <w:t>5.0</w:t>
            </w:r>
            <w:r>
              <w:rPr>
                <w:rFonts w:hint="eastAsia" w:eastAsia="楷体"/>
                <w:color w:val="000000"/>
                <w:sz w:val="28"/>
                <w:szCs w:val="28"/>
              </w:rPr>
              <w:t>米不变。</w:t>
            </w:r>
          </w:p>
          <w:p w14:paraId="6FDF835A">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1.</w:t>
            </w:r>
            <w:r>
              <w:rPr>
                <w:rFonts w:hint="eastAsia" w:eastAsia="楷体"/>
                <w:color w:val="000000"/>
                <w:sz w:val="28"/>
                <w:szCs w:val="28"/>
              </w:rPr>
              <w:t>大修S</w:t>
            </w:r>
            <w:r>
              <w:rPr>
                <w:rFonts w:eastAsia="楷体"/>
                <w:color w:val="000000"/>
                <w:sz w:val="28"/>
                <w:szCs w:val="28"/>
              </w:rPr>
              <w:t>208</w:t>
            </w:r>
            <w:r>
              <w:rPr>
                <w:rFonts w:hint="eastAsia" w:eastAsia="楷体"/>
                <w:color w:val="000000"/>
                <w:sz w:val="28"/>
                <w:szCs w:val="28"/>
              </w:rPr>
              <w:t>烟海线牟平界至诸往镇沟留家村后段，全长1</w:t>
            </w:r>
            <w:r>
              <w:rPr>
                <w:rFonts w:eastAsia="楷体"/>
                <w:color w:val="000000"/>
                <w:sz w:val="28"/>
                <w:szCs w:val="28"/>
              </w:rPr>
              <w:t>4.6</w:t>
            </w:r>
            <w:r>
              <w:rPr>
                <w:rFonts w:hint="eastAsia" w:eastAsia="楷体"/>
                <w:color w:val="000000"/>
                <w:sz w:val="28"/>
                <w:szCs w:val="28"/>
              </w:rPr>
              <w:t>公里，按照二级路标准建设，路基宽度8</w:t>
            </w:r>
            <w:r>
              <w:rPr>
                <w:rFonts w:eastAsia="楷体"/>
                <w:color w:val="000000"/>
                <w:sz w:val="28"/>
                <w:szCs w:val="28"/>
              </w:rPr>
              <w:t>.5</w:t>
            </w:r>
            <w:r>
              <w:rPr>
                <w:rFonts w:hint="eastAsia" w:eastAsia="楷体"/>
                <w:color w:val="000000"/>
                <w:sz w:val="28"/>
                <w:szCs w:val="28"/>
              </w:rPr>
              <w:t>米，路面宽度7</w:t>
            </w:r>
            <w:r>
              <w:rPr>
                <w:rFonts w:eastAsia="楷体"/>
                <w:color w:val="000000"/>
                <w:sz w:val="28"/>
                <w:szCs w:val="28"/>
              </w:rPr>
              <w:t>.5</w:t>
            </w:r>
            <w:r>
              <w:rPr>
                <w:rFonts w:hint="eastAsia" w:eastAsia="楷体"/>
                <w:color w:val="000000"/>
                <w:sz w:val="28"/>
                <w:szCs w:val="28"/>
              </w:rPr>
              <w:t>米</w:t>
            </w:r>
          </w:p>
          <w:p w14:paraId="46D0238F">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2.</w:t>
            </w:r>
            <w:r>
              <w:rPr>
                <w:rFonts w:hint="eastAsia"/>
                <w:color w:val="000000"/>
                <w:sz w:val="32"/>
                <w:szCs w:val="32"/>
              </w:rPr>
              <w:t xml:space="preserve"> </w:t>
            </w:r>
            <w:r>
              <w:rPr>
                <w:rFonts w:hint="eastAsia" w:eastAsia="楷体"/>
                <w:color w:val="000000"/>
                <w:sz w:val="28"/>
                <w:szCs w:val="28"/>
              </w:rPr>
              <w:t>大修S</w:t>
            </w:r>
            <w:r>
              <w:rPr>
                <w:rFonts w:eastAsia="楷体"/>
                <w:color w:val="000000"/>
                <w:sz w:val="28"/>
                <w:szCs w:val="28"/>
              </w:rPr>
              <w:t>208烟海线诸往镇姜格庄村北至乳山站大桥西丁字路口段</w:t>
            </w:r>
            <w:r>
              <w:rPr>
                <w:rFonts w:hint="eastAsia" w:eastAsia="楷体"/>
                <w:color w:val="000000"/>
                <w:sz w:val="28"/>
                <w:szCs w:val="28"/>
              </w:rPr>
              <w:t>，全长1</w:t>
            </w:r>
            <w:r>
              <w:rPr>
                <w:rFonts w:eastAsia="楷体"/>
                <w:color w:val="000000"/>
                <w:sz w:val="28"/>
                <w:szCs w:val="28"/>
              </w:rPr>
              <w:t>9.8</w:t>
            </w:r>
            <w:r>
              <w:rPr>
                <w:rFonts w:hint="eastAsia" w:eastAsia="楷体"/>
                <w:color w:val="000000"/>
                <w:sz w:val="28"/>
                <w:szCs w:val="28"/>
              </w:rPr>
              <w:t>公里，按照二级路标准建设，路基宽度1</w:t>
            </w:r>
            <w:r>
              <w:rPr>
                <w:rFonts w:eastAsia="楷体"/>
                <w:color w:val="000000"/>
                <w:sz w:val="28"/>
                <w:szCs w:val="28"/>
              </w:rPr>
              <w:t>6</w:t>
            </w:r>
            <w:r>
              <w:rPr>
                <w:rFonts w:hint="eastAsia" w:eastAsia="楷体"/>
                <w:color w:val="000000"/>
                <w:sz w:val="28"/>
                <w:szCs w:val="28"/>
              </w:rPr>
              <w:t>米，路面宽度1</w:t>
            </w:r>
            <w:r>
              <w:rPr>
                <w:rFonts w:eastAsia="楷体"/>
                <w:color w:val="000000"/>
                <w:sz w:val="28"/>
                <w:szCs w:val="28"/>
              </w:rPr>
              <w:t>4</w:t>
            </w:r>
            <w:r>
              <w:rPr>
                <w:rFonts w:hint="eastAsia" w:eastAsia="楷体"/>
                <w:color w:val="000000"/>
                <w:sz w:val="28"/>
                <w:szCs w:val="28"/>
              </w:rPr>
              <w:t>米</w:t>
            </w:r>
          </w:p>
          <w:p w14:paraId="46EFC2D1">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3.</w:t>
            </w:r>
            <w:r>
              <w:rPr>
                <w:rFonts w:hint="eastAsia" w:eastAsia="楷体"/>
                <w:color w:val="000000"/>
                <w:sz w:val="28"/>
                <w:szCs w:val="28"/>
              </w:rPr>
              <w:t>中修S</w:t>
            </w:r>
            <w:r>
              <w:rPr>
                <w:rFonts w:eastAsia="楷体"/>
                <w:color w:val="000000"/>
                <w:sz w:val="28"/>
                <w:szCs w:val="28"/>
              </w:rPr>
              <w:t>208</w:t>
            </w:r>
            <w:r>
              <w:rPr>
                <w:rFonts w:hint="eastAsia" w:eastAsia="楷体"/>
                <w:color w:val="000000"/>
                <w:sz w:val="28"/>
                <w:szCs w:val="28"/>
              </w:rPr>
              <w:t>烟海线沪山河桥东至烟海线与世纪大道交叉口段，全长5</w:t>
            </w:r>
            <w:r>
              <w:rPr>
                <w:rFonts w:eastAsia="楷体"/>
                <w:color w:val="000000"/>
                <w:sz w:val="28"/>
                <w:szCs w:val="28"/>
              </w:rPr>
              <w:t>.2</w:t>
            </w:r>
            <w:r>
              <w:rPr>
                <w:rFonts w:hint="eastAsia" w:eastAsia="楷体"/>
                <w:color w:val="000000"/>
                <w:sz w:val="28"/>
                <w:szCs w:val="28"/>
              </w:rPr>
              <w:t>公里，按照一级路标准建设，路基宽度2</w:t>
            </w:r>
            <w:r>
              <w:rPr>
                <w:rFonts w:eastAsia="楷体"/>
                <w:color w:val="000000"/>
                <w:sz w:val="28"/>
                <w:szCs w:val="28"/>
              </w:rPr>
              <w:t>2</w:t>
            </w:r>
            <w:r>
              <w:rPr>
                <w:rFonts w:hint="eastAsia" w:eastAsia="楷体"/>
                <w:color w:val="000000"/>
                <w:sz w:val="28"/>
                <w:szCs w:val="28"/>
              </w:rPr>
              <w:t>米，路面宽度1</w:t>
            </w:r>
            <w:r>
              <w:rPr>
                <w:rFonts w:eastAsia="楷体"/>
                <w:color w:val="000000"/>
                <w:sz w:val="28"/>
                <w:szCs w:val="28"/>
              </w:rPr>
              <w:t>8</w:t>
            </w:r>
            <w:r>
              <w:rPr>
                <w:rFonts w:hint="eastAsia" w:eastAsia="楷体"/>
                <w:color w:val="000000"/>
                <w:sz w:val="28"/>
                <w:szCs w:val="28"/>
              </w:rPr>
              <w:t>米</w:t>
            </w:r>
          </w:p>
          <w:p w14:paraId="4736C175">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4.</w:t>
            </w:r>
            <w:r>
              <w:rPr>
                <w:rFonts w:hint="eastAsia" w:eastAsia="楷体"/>
                <w:color w:val="000000"/>
                <w:sz w:val="28"/>
                <w:szCs w:val="28"/>
              </w:rPr>
              <w:t>中修S</w:t>
            </w:r>
            <w:r>
              <w:rPr>
                <w:rFonts w:eastAsia="楷体"/>
                <w:color w:val="000000"/>
                <w:sz w:val="28"/>
                <w:szCs w:val="28"/>
              </w:rPr>
              <w:t>208</w:t>
            </w:r>
            <w:r>
              <w:rPr>
                <w:rFonts w:hint="eastAsia" w:eastAsia="楷体"/>
                <w:color w:val="000000"/>
                <w:sz w:val="28"/>
                <w:szCs w:val="28"/>
              </w:rPr>
              <w:t>烟海线世纪大道交叉口至兰家庄村东段，全长2</w:t>
            </w:r>
            <w:r>
              <w:rPr>
                <w:rFonts w:eastAsia="楷体"/>
                <w:color w:val="000000"/>
                <w:sz w:val="28"/>
                <w:szCs w:val="28"/>
              </w:rPr>
              <w:t>.2</w:t>
            </w:r>
            <w:r>
              <w:rPr>
                <w:rFonts w:hint="eastAsia" w:eastAsia="楷体"/>
                <w:color w:val="000000"/>
                <w:sz w:val="28"/>
                <w:szCs w:val="28"/>
              </w:rPr>
              <w:t>公里，按照一级路标准建设，路基宽度3</w:t>
            </w:r>
            <w:r>
              <w:rPr>
                <w:rFonts w:eastAsia="楷体"/>
                <w:color w:val="000000"/>
                <w:sz w:val="28"/>
                <w:szCs w:val="28"/>
              </w:rPr>
              <w:t>4</w:t>
            </w:r>
            <w:r>
              <w:rPr>
                <w:rFonts w:hint="eastAsia" w:eastAsia="楷体"/>
                <w:color w:val="000000"/>
                <w:sz w:val="28"/>
                <w:szCs w:val="28"/>
              </w:rPr>
              <w:t>米，路面宽度</w:t>
            </w:r>
            <w:r>
              <w:rPr>
                <w:rFonts w:eastAsia="楷体"/>
                <w:color w:val="000000"/>
                <w:sz w:val="28"/>
                <w:szCs w:val="28"/>
              </w:rPr>
              <w:t>30</w:t>
            </w:r>
            <w:r>
              <w:rPr>
                <w:rFonts w:hint="eastAsia" w:eastAsia="楷体"/>
                <w:color w:val="000000"/>
                <w:sz w:val="28"/>
                <w:szCs w:val="28"/>
              </w:rPr>
              <w:t>米</w:t>
            </w:r>
          </w:p>
          <w:p w14:paraId="25B41218">
            <w:pPr>
              <w:ind w:firstLine="840" w:firstLineChars="300"/>
              <w:rPr>
                <w:rFonts w:eastAsia="楷体"/>
                <w:color w:val="000000"/>
                <w:sz w:val="28"/>
                <w:szCs w:val="28"/>
              </w:rPr>
            </w:pPr>
            <w:r>
              <w:rPr>
                <w:rFonts w:hint="eastAsia" w:eastAsia="楷体"/>
                <w:color w:val="000000"/>
                <w:sz w:val="28"/>
                <w:szCs w:val="28"/>
              </w:rPr>
              <w:t>1</w:t>
            </w:r>
            <w:r>
              <w:rPr>
                <w:rFonts w:eastAsia="楷体"/>
                <w:color w:val="000000"/>
                <w:sz w:val="28"/>
                <w:szCs w:val="28"/>
              </w:rPr>
              <w:t>5.</w:t>
            </w:r>
            <w:r>
              <w:rPr>
                <w:rFonts w:hint="eastAsia" w:eastAsia="楷体"/>
                <w:color w:val="000000"/>
                <w:sz w:val="28"/>
                <w:szCs w:val="28"/>
              </w:rPr>
              <w:t>中修S</w:t>
            </w:r>
            <w:r>
              <w:rPr>
                <w:rFonts w:eastAsia="楷体"/>
                <w:color w:val="000000"/>
                <w:sz w:val="28"/>
                <w:szCs w:val="28"/>
              </w:rPr>
              <w:t>208</w:t>
            </w:r>
            <w:r>
              <w:rPr>
                <w:rFonts w:hint="eastAsia" w:eastAsia="楷体"/>
                <w:color w:val="000000"/>
                <w:sz w:val="28"/>
                <w:szCs w:val="28"/>
              </w:rPr>
              <w:t>烟海线兰家庄村东至海阳所镇海阳所村段，全长1</w:t>
            </w:r>
            <w:r>
              <w:rPr>
                <w:rFonts w:eastAsia="楷体"/>
                <w:color w:val="000000"/>
                <w:sz w:val="28"/>
                <w:szCs w:val="28"/>
              </w:rPr>
              <w:t>2.6</w:t>
            </w:r>
            <w:r>
              <w:rPr>
                <w:rFonts w:hint="eastAsia" w:eastAsia="楷体"/>
                <w:color w:val="000000"/>
                <w:sz w:val="28"/>
                <w:szCs w:val="28"/>
              </w:rPr>
              <w:t>公里，按照一级路标准建设，路基宽度3</w:t>
            </w:r>
            <w:r>
              <w:rPr>
                <w:rFonts w:eastAsia="楷体"/>
                <w:color w:val="000000"/>
                <w:sz w:val="28"/>
                <w:szCs w:val="28"/>
              </w:rPr>
              <w:t>7.2</w:t>
            </w:r>
            <w:r>
              <w:rPr>
                <w:rFonts w:hint="eastAsia" w:eastAsia="楷体"/>
                <w:color w:val="000000"/>
                <w:sz w:val="28"/>
                <w:szCs w:val="28"/>
              </w:rPr>
              <w:t>米，路面宽度2</w:t>
            </w:r>
            <w:r>
              <w:rPr>
                <w:rFonts w:eastAsia="楷体"/>
                <w:color w:val="000000"/>
                <w:sz w:val="28"/>
                <w:szCs w:val="28"/>
              </w:rPr>
              <w:t>9</w:t>
            </w:r>
            <w:r>
              <w:rPr>
                <w:rFonts w:hint="eastAsia" w:eastAsia="楷体"/>
                <w:color w:val="000000"/>
                <w:sz w:val="28"/>
                <w:szCs w:val="28"/>
              </w:rPr>
              <w:t>米</w:t>
            </w:r>
          </w:p>
          <w:p w14:paraId="368F048A">
            <w:pPr>
              <w:numPr>
                <w:ilvl w:val="0"/>
                <w:numId w:val="3"/>
              </w:numPr>
              <w:rPr>
                <w:rFonts w:eastAsia="楷体"/>
                <w:b w:val="0"/>
                <w:bCs w:val="0"/>
                <w:color w:val="000000"/>
                <w:sz w:val="28"/>
                <w:szCs w:val="28"/>
              </w:rPr>
            </w:pPr>
            <w:r>
              <w:rPr>
                <w:rFonts w:eastAsia="楷体"/>
                <w:color w:val="000000"/>
                <w:sz w:val="28"/>
                <w:szCs w:val="28"/>
              </w:rPr>
              <w:t>桥梁</w:t>
            </w:r>
          </w:p>
          <w:p w14:paraId="76DEA686">
            <w:pPr>
              <w:ind w:firstLine="840" w:firstLineChars="300"/>
              <w:rPr>
                <w:rFonts w:eastAsia="楷体"/>
                <w:color w:val="000000"/>
                <w:sz w:val="28"/>
                <w:szCs w:val="28"/>
              </w:rPr>
            </w:pPr>
            <w:r>
              <w:rPr>
                <w:rFonts w:eastAsia="楷体"/>
                <w:color w:val="000000"/>
                <w:sz w:val="28"/>
                <w:szCs w:val="28"/>
              </w:rPr>
              <w:t>1</w:t>
            </w:r>
            <w:r>
              <w:rPr>
                <w:rFonts w:hint="eastAsia" w:eastAsia="楷体"/>
                <w:color w:val="000000"/>
                <w:sz w:val="28"/>
                <w:szCs w:val="28"/>
              </w:rPr>
              <w:t>.</w:t>
            </w:r>
            <w:r>
              <w:rPr>
                <w:rFonts w:eastAsia="楷体"/>
                <w:color w:val="000000"/>
                <w:sz w:val="28"/>
                <w:szCs w:val="28"/>
              </w:rPr>
              <w:t>建设一座乳山口跨海大桥</w:t>
            </w:r>
            <w:r>
              <w:rPr>
                <w:rFonts w:hint="eastAsia" w:eastAsia="楷体"/>
                <w:color w:val="000000"/>
                <w:sz w:val="28"/>
                <w:szCs w:val="28"/>
              </w:rPr>
              <w:t>，路线总长约4</w:t>
            </w:r>
            <w:r>
              <w:rPr>
                <w:rFonts w:eastAsia="楷体"/>
                <w:color w:val="000000"/>
                <w:sz w:val="28"/>
                <w:szCs w:val="28"/>
              </w:rPr>
              <w:t>.01</w:t>
            </w:r>
            <w:r>
              <w:rPr>
                <w:rFonts w:hint="eastAsia" w:eastAsia="楷体"/>
                <w:color w:val="000000"/>
                <w:sz w:val="28"/>
                <w:szCs w:val="28"/>
              </w:rPr>
              <w:t>公里，桥梁总长</w:t>
            </w:r>
            <w:r>
              <w:rPr>
                <w:rFonts w:eastAsia="楷体"/>
                <w:color w:val="000000"/>
                <w:sz w:val="28"/>
                <w:szCs w:val="28"/>
              </w:rPr>
              <w:t>2683</w:t>
            </w:r>
            <w:r>
              <w:rPr>
                <w:rFonts w:hint="eastAsia" w:eastAsia="楷体"/>
                <w:color w:val="000000"/>
                <w:sz w:val="28"/>
                <w:szCs w:val="28"/>
              </w:rPr>
              <w:t>米，桥梁宽度2</w:t>
            </w:r>
            <w:r>
              <w:rPr>
                <w:rFonts w:eastAsia="楷体"/>
                <w:color w:val="000000"/>
                <w:sz w:val="28"/>
                <w:szCs w:val="28"/>
              </w:rPr>
              <w:t>8.5</w:t>
            </w:r>
            <w:r>
              <w:rPr>
                <w:rFonts w:hint="eastAsia" w:eastAsia="楷体"/>
                <w:color w:val="000000"/>
                <w:sz w:val="28"/>
                <w:szCs w:val="28"/>
              </w:rPr>
              <w:t>米，设计时速8</w:t>
            </w:r>
            <w:r>
              <w:rPr>
                <w:rFonts w:eastAsia="楷体"/>
                <w:color w:val="000000"/>
                <w:sz w:val="28"/>
                <w:szCs w:val="28"/>
              </w:rPr>
              <w:t>0</w:t>
            </w:r>
            <w:r>
              <w:rPr>
                <w:rFonts w:hint="eastAsia" w:eastAsia="楷体"/>
                <w:color w:val="000000"/>
                <w:sz w:val="28"/>
                <w:szCs w:val="28"/>
              </w:rPr>
              <w:t>公里/小时；路基总长1</w:t>
            </w:r>
            <w:r>
              <w:rPr>
                <w:rFonts w:eastAsia="楷体"/>
                <w:color w:val="000000"/>
                <w:sz w:val="28"/>
                <w:szCs w:val="28"/>
              </w:rPr>
              <w:t>325</w:t>
            </w:r>
            <w:r>
              <w:rPr>
                <w:rFonts w:hint="eastAsia" w:eastAsia="楷体"/>
                <w:color w:val="000000"/>
                <w:sz w:val="28"/>
                <w:szCs w:val="28"/>
              </w:rPr>
              <w:t>米，一级公路标准，接线路基宽度2</w:t>
            </w:r>
            <w:r>
              <w:rPr>
                <w:rFonts w:eastAsia="楷体"/>
                <w:color w:val="000000"/>
                <w:sz w:val="28"/>
                <w:szCs w:val="28"/>
              </w:rPr>
              <w:t>5.5</w:t>
            </w:r>
            <w:r>
              <w:rPr>
                <w:rFonts w:hint="eastAsia" w:eastAsia="楷体"/>
                <w:color w:val="000000"/>
                <w:sz w:val="28"/>
                <w:szCs w:val="28"/>
              </w:rPr>
              <w:t>米。</w:t>
            </w:r>
          </w:p>
          <w:p w14:paraId="3843018C">
            <w:pPr>
              <w:ind w:firstLine="840" w:firstLineChars="300"/>
              <w:rPr>
                <w:rFonts w:eastAsia="楷体"/>
                <w:color w:val="000000"/>
                <w:sz w:val="28"/>
                <w:szCs w:val="28"/>
              </w:rPr>
            </w:pPr>
            <w:r>
              <w:rPr>
                <w:rFonts w:eastAsia="楷体"/>
                <w:color w:val="000000"/>
                <w:sz w:val="28"/>
                <w:szCs w:val="28"/>
              </w:rPr>
              <w:t>2</w:t>
            </w:r>
            <w:r>
              <w:rPr>
                <w:rFonts w:hint="eastAsia" w:eastAsia="楷体"/>
                <w:color w:val="000000"/>
                <w:sz w:val="28"/>
                <w:szCs w:val="28"/>
              </w:rPr>
              <w:t>.</w:t>
            </w:r>
            <w:r>
              <w:rPr>
                <w:rFonts w:eastAsia="楷体"/>
                <w:color w:val="000000"/>
                <w:sz w:val="28"/>
                <w:szCs w:val="28"/>
              </w:rPr>
              <w:t>拆除重建20座四、五类危桥</w:t>
            </w:r>
          </w:p>
          <w:p w14:paraId="0E5CC87D">
            <w:pPr>
              <w:numPr>
                <w:ilvl w:val="0"/>
                <w:numId w:val="4"/>
              </w:numPr>
              <w:rPr>
                <w:rFonts w:eastAsia="楷体"/>
                <w:b w:val="0"/>
                <w:bCs w:val="0"/>
                <w:color w:val="000000"/>
                <w:sz w:val="28"/>
                <w:szCs w:val="28"/>
              </w:rPr>
            </w:pPr>
            <w:r>
              <w:rPr>
                <w:rFonts w:eastAsia="楷体"/>
                <w:color w:val="000000"/>
                <w:sz w:val="28"/>
                <w:szCs w:val="28"/>
              </w:rPr>
              <w:t>农村公路</w:t>
            </w:r>
          </w:p>
          <w:p w14:paraId="730B6371">
            <w:pPr>
              <w:ind w:firstLine="840" w:firstLineChars="300"/>
              <w:rPr>
                <w:rFonts w:eastAsia="楷体"/>
                <w:color w:val="000000"/>
                <w:sz w:val="28"/>
                <w:szCs w:val="28"/>
              </w:rPr>
            </w:pPr>
            <w:r>
              <w:rPr>
                <w:rFonts w:eastAsia="楷体"/>
                <w:color w:val="000000"/>
                <w:sz w:val="28"/>
                <w:szCs w:val="28"/>
              </w:rPr>
              <w:t>1</w:t>
            </w:r>
            <w:r>
              <w:rPr>
                <w:rFonts w:hint="eastAsia" w:eastAsia="楷体"/>
                <w:color w:val="000000"/>
                <w:sz w:val="28"/>
                <w:szCs w:val="28"/>
              </w:rPr>
              <w:t>.</w:t>
            </w:r>
            <w:r>
              <w:rPr>
                <w:rFonts w:eastAsia="楷体"/>
                <w:color w:val="000000"/>
                <w:sz w:val="28"/>
                <w:szCs w:val="28"/>
              </w:rPr>
              <w:t>大中修改造140多公里的县乡公路</w:t>
            </w:r>
          </w:p>
          <w:p w14:paraId="5D6DF45F">
            <w:pPr>
              <w:ind w:firstLine="840" w:firstLineChars="300"/>
              <w:rPr>
                <w:rFonts w:eastAsia="楷体"/>
                <w:color w:val="000000"/>
                <w:sz w:val="28"/>
                <w:szCs w:val="28"/>
              </w:rPr>
            </w:pPr>
            <w:r>
              <w:rPr>
                <w:rFonts w:eastAsia="楷体"/>
                <w:color w:val="000000"/>
                <w:sz w:val="28"/>
                <w:szCs w:val="28"/>
              </w:rPr>
              <w:t>2</w:t>
            </w:r>
            <w:r>
              <w:rPr>
                <w:rFonts w:hint="eastAsia" w:eastAsia="楷体"/>
                <w:color w:val="000000"/>
                <w:sz w:val="28"/>
                <w:szCs w:val="28"/>
              </w:rPr>
              <w:t>.</w:t>
            </w:r>
            <w:r>
              <w:rPr>
                <w:rFonts w:eastAsia="楷体"/>
                <w:color w:val="000000"/>
                <w:sz w:val="28"/>
                <w:szCs w:val="28"/>
              </w:rPr>
              <w:t>实施威海西部环山路（乳山段）建设项目</w:t>
            </w:r>
          </w:p>
          <w:p w14:paraId="5F322534">
            <w:pPr>
              <w:ind w:firstLine="840" w:firstLineChars="300"/>
              <w:rPr>
                <w:rFonts w:eastAsia="楷体"/>
                <w:color w:val="000000"/>
                <w:sz w:val="28"/>
                <w:szCs w:val="28"/>
              </w:rPr>
            </w:pPr>
            <w:r>
              <w:rPr>
                <w:rFonts w:eastAsia="楷体"/>
                <w:color w:val="000000"/>
                <w:sz w:val="28"/>
                <w:szCs w:val="28"/>
              </w:rPr>
              <w:t>3</w:t>
            </w:r>
            <w:r>
              <w:rPr>
                <w:rFonts w:hint="eastAsia" w:eastAsia="楷体"/>
                <w:color w:val="000000"/>
                <w:sz w:val="28"/>
                <w:szCs w:val="28"/>
              </w:rPr>
              <w:t>.</w:t>
            </w:r>
            <w:r>
              <w:rPr>
                <w:rFonts w:eastAsia="楷体"/>
                <w:color w:val="000000"/>
                <w:sz w:val="28"/>
                <w:szCs w:val="28"/>
              </w:rPr>
              <w:t>实施辛家疃-腾家庄战备公路改建项目</w:t>
            </w:r>
          </w:p>
          <w:p w14:paraId="50D511F6">
            <w:pPr>
              <w:ind w:firstLine="840" w:firstLineChars="300"/>
              <w:rPr>
                <w:rFonts w:eastAsia="楷体"/>
                <w:color w:val="000000"/>
                <w:sz w:val="28"/>
                <w:szCs w:val="28"/>
              </w:rPr>
            </w:pPr>
            <w:r>
              <w:rPr>
                <w:rFonts w:eastAsia="楷体"/>
                <w:color w:val="000000"/>
                <w:sz w:val="28"/>
                <w:szCs w:val="28"/>
              </w:rPr>
              <w:t>4</w:t>
            </w:r>
            <w:r>
              <w:rPr>
                <w:rFonts w:hint="eastAsia" w:eastAsia="楷体"/>
                <w:color w:val="000000"/>
                <w:sz w:val="28"/>
                <w:szCs w:val="28"/>
              </w:rPr>
              <w:t>.</w:t>
            </w:r>
            <w:r>
              <w:rPr>
                <w:rFonts w:eastAsia="楷体"/>
                <w:color w:val="000000"/>
                <w:sz w:val="28"/>
                <w:szCs w:val="28"/>
              </w:rPr>
              <w:t>指导各乡镇完成村级道路改造273公里</w:t>
            </w:r>
          </w:p>
          <w:p w14:paraId="5632EA51">
            <w:pPr>
              <w:ind w:firstLine="840" w:firstLineChars="300"/>
              <w:rPr>
                <w:color w:val="000000"/>
              </w:rPr>
            </w:pPr>
            <w:r>
              <w:rPr>
                <w:rFonts w:eastAsia="楷体"/>
                <w:color w:val="000000"/>
                <w:sz w:val="28"/>
                <w:szCs w:val="28"/>
              </w:rPr>
              <w:t>5</w:t>
            </w:r>
            <w:r>
              <w:rPr>
                <w:rFonts w:hint="eastAsia" w:eastAsia="楷体"/>
                <w:color w:val="000000"/>
                <w:sz w:val="28"/>
                <w:szCs w:val="28"/>
              </w:rPr>
              <w:t>.</w:t>
            </w:r>
            <w:r>
              <w:rPr>
                <w:rFonts w:eastAsia="楷体"/>
                <w:color w:val="000000"/>
                <w:sz w:val="28"/>
                <w:szCs w:val="28"/>
              </w:rPr>
              <w:t>增补县乡路损坏及丢失的安保设施</w:t>
            </w:r>
          </w:p>
        </w:tc>
      </w:tr>
    </w:tbl>
    <w:p w14:paraId="4541FE26">
      <w:pPr>
        <w:pStyle w:val="21"/>
        <w:rPr>
          <w:color w:val="000000"/>
          <w:sz w:val="32"/>
        </w:rPr>
      </w:pPr>
      <w:bookmarkStart w:id="41" w:name="_Toc89371383"/>
      <w:r>
        <w:rPr>
          <w:rFonts w:hint="eastAsia"/>
          <w:color w:val="000000"/>
          <w:sz w:val="32"/>
        </w:rPr>
        <w:t>2</w:t>
      </w:r>
      <w:r>
        <w:rPr>
          <w:color w:val="000000"/>
          <w:sz w:val="32"/>
        </w:rPr>
        <w:t>.</w:t>
      </w:r>
      <w:r>
        <w:rPr>
          <w:rFonts w:hint="eastAsia"/>
          <w:color w:val="000000"/>
          <w:sz w:val="32"/>
        </w:rPr>
        <w:t>加强公路养护管理</w:t>
      </w:r>
      <w:bookmarkEnd w:id="41"/>
    </w:p>
    <w:p w14:paraId="2F20C244">
      <w:pPr>
        <w:rPr>
          <w:color w:val="000000"/>
          <w:sz w:val="32"/>
          <w:szCs w:val="32"/>
        </w:rPr>
      </w:pPr>
      <w:r>
        <w:rPr>
          <w:rFonts w:hint="eastAsia"/>
          <w:color w:val="000000"/>
          <w:sz w:val="32"/>
          <w:szCs w:val="32"/>
        </w:rPr>
        <w:t>（1）建设目标</w:t>
      </w:r>
    </w:p>
    <w:p w14:paraId="3CD6974D">
      <w:pPr>
        <w:spacing w:line="360" w:lineRule="auto"/>
        <w:ind w:firstLine="640" w:firstLineChars="200"/>
        <w:rPr>
          <w:color w:val="000000"/>
          <w:sz w:val="32"/>
          <w:szCs w:val="32"/>
        </w:rPr>
      </w:pPr>
      <w:r>
        <w:rPr>
          <w:rFonts w:hint="eastAsia"/>
          <w:color w:val="000000"/>
          <w:sz w:val="32"/>
          <w:szCs w:val="32"/>
        </w:rPr>
        <w:t>加强农村公路养护工程建设，在美化、绿化、亮化上着重开展实施。</w:t>
      </w:r>
    </w:p>
    <w:p w14:paraId="3A5B8B1F">
      <w:pPr>
        <w:spacing w:line="360" w:lineRule="auto"/>
        <w:ind w:firstLine="640" w:firstLineChars="200"/>
        <w:rPr>
          <w:color w:val="000000"/>
          <w:sz w:val="32"/>
          <w:szCs w:val="32"/>
        </w:rPr>
      </w:pPr>
      <w:r>
        <w:rPr>
          <w:rFonts w:hint="eastAsia"/>
          <w:color w:val="000000"/>
          <w:sz w:val="32"/>
          <w:szCs w:val="32"/>
        </w:rPr>
        <w:t>加强农村公路路政管理工程建设，建立健全路长制工作实施方案。</w:t>
      </w:r>
    </w:p>
    <w:p w14:paraId="4C99DA8F">
      <w:pPr>
        <w:spacing w:line="360" w:lineRule="auto"/>
        <w:ind w:firstLine="640" w:firstLineChars="200"/>
        <w:rPr>
          <w:color w:val="000000"/>
          <w:sz w:val="32"/>
          <w:szCs w:val="32"/>
        </w:rPr>
      </w:pPr>
      <w:r>
        <w:rPr>
          <w:rFonts w:hint="eastAsia"/>
          <w:color w:val="000000"/>
          <w:sz w:val="32"/>
          <w:szCs w:val="32"/>
        </w:rPr>
        <w:t>优化提升生命防护工程体系质量，并结合实际需要，逐步完善农村公路交通安全设施、标志标线设置。</w:t>
      </w:r>
    </w:p>
    <w:p w14:paraId="3EDB99E3">
      <w:pPr>
        <w:spacing w:line="360" w:lineRule="auto"/>
        <w:ind w:firstLine="640" w:firstLineChars="200"/>
        <w:rPr>
          <w:color w:val="000000"/>
          <w:sz w:val="32"/>
          <w:szCs w:val="32"/>
        </w:rPr>
      </w:pPr>
      <w:r>
        <w:rPr>
          <w:rFonts w:hint="eastAsia"/>
          <w:color w:val="000000"/>
          <w:sz w:val="32"/>
          <w:szCs w:val="32"/>
        </w:rPr>
        <w:t>完善农村公路法制建设，实施路警联合执法体制，建立非现场执法点。</w:t>
      </w:r>
    </w:p>
    <w:p w14:paraId="025B3967">
      <w:pPr>
        <w:spacing w:line="360" w:lineRule="auto"/>
        <w:ind w:firstLine="640" w:firstLineChars="200"/>
        <w:rPr>
          <w:color w:val="000000"/>
          <w:sz w:val="32"/>
          <w:szCs w:val="32"/>
        </w:rPr>
      </w:pPr>
      <w:r>
        <w:rPr>
          <w:rFonts w:hint="eastAsia"/>
          <w:color w:val="000000"/>
          <w:sz w:val="32"/>
          <w:szCs w:val="32"/>
        </w:rPr>
        <w:t>加强公路养护的信息化管理，实现从路况数据采集、养护计划、巡查检查、养护质量、评价分析等养护全过程的信息化，提高公路养护管理的水平。</w:t>
      </w:r>
    </w:p>
    <w:p w14:paraId="19F68B65">
      <w:pPr>
        <w:rPr>
          <w:color w:val="000000"/>
          <w:sz w:val="32"/>
          <w:szCs w:val="32"/>
        </w:rPr>
      </w:pPr>
      <w:r>
        <w:rPr>
          <w:rFonts w:hint="eastAsia"/>
          <w:color w:val="000000"/>
          <w:sz w:val="32"/>
          <w:szCs w:val="32"/>
        </w:rPr>
        <w:t>（2）重点任务</w:t>
      </w:r>
    </w:p>
    <w:p w14:paraId="2D4327A1">
      <w:pPr>
        <w:spacing w:line="360" w:lineRule="auto"/>
        <w:ind w:firstLine="640" w:firstLineChars="200"/>
        <w:rPr>
          <w:color w:val="000000"/>
          <w:sz w:val="32"/>
          <w:szCs w:val="32"/>
        </w:rPr>
      </w:pPr>
      <w:r>
        <w:rPr>
          <w:rFonts w:hint="eastAsia"/>
          <w:color w:val="000000"/>
          <w:sz w:val="32"/>
          <w:szCs w:val="32"/>
        </w:rPr>
        <w:t>1）养护工程</w:t>
      </w:r>
    </w:p>
    <w:p w14:paraId="247120D3">
      <w:pPr>
        <w:spacing w:line="360" w:lineRule="auto"/>
        <w:ind w:firstLine="640" w:firstLineChars="200"/>
        <w:rPr>
          <w:color w:val="000000"/>
          <w:sz w:val="32"/>
          <w:szCs w:val="32"/>
        </w:rPr>
      </w:pPr>
      <w:r>
        <w:rPr>
          <w:rFonts w:hint="eastAsia"/>
          <w:color w:val="000000"/>
          <w:sz w:val="32"/>
          <w:szCs w:val="32"/>
        </w:rPr>
        <w:t>①绿化、美化：在满足公路交通功能的前提下，结合公路沿线的气候特性、地形地貌、生态环境等自然因素以及区域的历史文化、风俗习惯等人文因素，选择银杏、水杉、</w:t>
      </w:r>
      <w:r>
        <w:rPr>
          <w:color w:val="000000"/>
          <w:sz w:val="32"/>
          <w:szCs w:val="32"/>
        </w:rPr>
        <w:t>垂柳、枫杨、白榆</w:t>
      </w:r>
      <w:r>
        <w:rPr>
          <w:rFonts w:hint="eastAsia"/>
          <w:color w:val="000000"/>
          <w:sz w:val="32"/>
          <w:szCs w:val="32"/>
        </w:rPr>
        <w:t>等树种对公路绿化，选择良种大苗、壮苗规范移植，确保成活率和绿化效果。</w:t>
      </w:r>
    </w:p>
    <w:p w14:paraId="724C5B42">
      <w:pPr>
        <w:spacing w:line="360" w:lineRule="auto"/>
        <w:ind w:firstLine="640" w:firstLineChars="200"/>
        <w:rPr>
          <w:color w:val="000000"/>
          <w:sz w:val="32"/>
          <w:szCs w:val="32"/>
        </w:rPr>
      </w:pPr>
      <w:r>
        <w:rPr>
          <w:color w:val="000000"/>
          <w:sz w:val="32"/>
          <w:szCs w:val="32"/>
        </w:rPr>
        <w:t>集中力量对农村公路路肩、边沟</w:t>
      </w:r>
      <w:r>
        <w:rPr>
          <w:rFonts w:hint="eastAsia"/>
          <w:color w:val="000000"/>
          <w:sz w:val="32"/>
          <w:szCs w:val="32"/>
        </w:rPr>
        <w:t>、边坡</w:t>
      </w:r>
      <w:r>
        <w:rPr>
          <w:color w:val="000000"/>
          <w:sz w:val="32"/>
          <w:szCs w:val="32"/>
        </w:rPr>
        <w:t>实施统一整修美化，并对沿线绿化、亮化设施进行提档升级，在改善群众出行条件的同时，为沿途村庄美化人居环境打下了良好基础。</w:t>
      </w:r>
    </w:p>
    <w:p w14:paraId="1D3BB088">
      <w:pPr>
        <w:spacing w:line="360" w:lineRule="auto"/>
        <w:ind w:firstLine="640" w:firstLineChars="200"/>
        <w:rPr>
          <w:color w:val="000000"/>
          <w:sz w:val="32"/>
          <w:szCs w:val="32"/>
        </w:rPr>
      </w:pPr>
      <w:r>
        <w:rPr>
          <w:rFonts w:hint="eastAsia" w:ascii="宋体" w:hAnsi="宋体" w:cs="宋体"/>
          <w:color w:val="000000"/>
          <w:sz w:val="32"/>
          <w:szCs w:val="32"/>
          <w:lang w:eastAsia="ja-JP"/>
        </w:rPr>
        <w:t>②</w:t>
      </w:r>
      <w:r>
        <w:rPr>
          <w:rFonts w:hint="eastAsia"/>
          <w:color w:val="000000"/>
          <w:sz w:val="32"/>
          <w:szCs w:val="32"/>
        </w:rPr>
        <w:t>亮化：农村公路安置路灯，路灯的设置按照“安全、节能、实用、因地制宜”原则，在符合照明工程技术规范要求的前提下，结合农村公路实际，设计间距为30~40m，单侧安装。积极推进农村公路的亮化工程，进一步提升农村道路安全条件和通畅水平，农村公路亮化水平得到进一步提升，有效解决群众夜间出行的需要，使农村道路交通事故预防能力得到全面提高。</w:t>
      </w:r>
    </w:p>
    <w:p w14:paraId="7A42D85E">
      <w:pPr>
        <w:spacing w:line="360" w:lineRule="auto"/>
        <w:rPr>
          <w:color w:val="000000"/>
        </w:rPr>
      </w:pPr>
      <w:r>
        <w:rPr>
          <w:color w:val="000000"/>
        </w:rPr>
        <w:drawing>
          <wp:inline distT="0" distB="0" distL="0" distR="0">
            <wp:extent cx="2519680" cy="1915160"/>
            <wp:effectExtent l="0" t="0" r="0" b="8255"/>
            <wp:docPr id="1038" name="图片 33"/>
            <wp:cNvGraphicFramePr/>
            <a:graphic xmlns:a="http://schemas.openxmlformats.org/drawingml/2006/main">
              <a:graphicData uri="http://schemas.openxmlformats.org/drawingml/2006/picture">
                <pic:pic xmlns:pic="http://schemas.openxmlformats.org/drawingml/2006/picture">
                  <pic:nvPicPr>
                    <pic:cNvPr id="1038" name="图片 33"/>
                    <pic:cNvPicPr/>
                  </pic:nvPicPr>
                  <pic:blipFill>
                    <a:blip r:embed="rId22" cstate="print"/>
                    <a:srcRect b="18284"/>
                    <a:stretch>
                      <a:fillRect/>
                    </a:stretch>
                  </pic:blipFill>
                  <pic:spPr>
                    <a:xfrm>
                      <a:off x="0" y="0"/>
                      <a:ext cx="2519680" cy="1915794"/>
                    </a:xfrm>
                    <a:prstGeom prst="rect">
                      <a:avLst/>
                    </a:prstGeom>
                    <a:ln>
                      <a:noFill/>
                    </a:ln>
                  </pic:spPr>
                </pic:pic>
              </a:graphicData>
            </a:graphic>
          </wp:inline>
        </w:drawing>
      </w:r>
      <w:r>
        <w:rPr>
          <w:color w:val="000000"/>
        </w:rPr>
        <w:drawing>
          <wp:inline distT="0" distB="0" distL="0" distR="0">
            <wp:extent cx="2616200" cy="1925320"/>
            <wp:effectExtent l="0" t="0" r="0" b="0"/>
            <wp:docPr id="1039" name="图片 34"/>
            <wp:cNvGraphicFramePr/>
            <a:graphic xmlns:a="http://schemas.openxmlformats.org/drawingml/2006/main">
              <a:graphicData uri="http://schemas.openxmlformats.org/drawingml/2006/picture">
                <pic:pic xmlns:pic="http://schemas.openxmlformats.org/drawingml/2006/picture">
                  <pic:nvPicPr>
                    <pic:cNvPr id="1039" name="图片 34"/>
                    <pic:cNvPicPr/>
                  </pic:nvPicPr>
                  <pic:blipFill>
                    <a:blip r:embed="rId23" cstate="print"/>
                    <a:srcRect l="31305" t="27579" r="201" b="11989"/>
                    <a:stretch>
                      <a:fillRect/>
                    </a:stretch>
                  </pic:blipFill>
                  <pic:spPr>
                    <a:xfrm>
                      <a:off x="0" y="0"/>
                      <a:ext cx="2616200" cy="1925320"/>
                    </a:xfrm>
                    <a:prstGeom prst="rect">
                      <a:avLst/>
                    </a:prstGeom>
                    <a:ln>
                      <a:noFill/>
                    </a:ln>
                  </pic:spPr>
                </pic:pic>
              </a:graphicData>
            </a:graphic>
          </wp:inline>
        </w:drawing>
      </w:r>
    </w:p>
    <w:p w14:paraId="2119E345">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 xml:space="preserve">12 </w:t>
      </w:r>
      <w:r>
        <w:rPr>
          <w:rFonts w:hint="eastAsia" w:eastAsia="楷体"/>
          <w:color w:val="000000"/>
          <w:sz w:val="24"/>
        </w:rPr>
        <w:t>农村公路美化、绿化、亮化工程</w:t>
      </w:r>
    </w:p>
    <w:p w14:paraId="5B6EE3C0">
      <w:pPr>
        <w:spacing w:line="360" w:lineRule="auto"/>
        <w:ind w:firstLine="640" w:firstLineChars="200"/>
        <w:rPr>
          <w:color w:val="000000"/>
          <w:sz w:val="32"/>
          <w:szCs w:val="32"/>
        </w:rPr>
      </w:pPr>
      <w:r>
        <w:rPr>
          <w:rFonts w:hint="eastAsia"/>
          <w:color w:val="000000"/>
          <w:sz w:val="32"/>
          <w:szCs w:val="32"/>
        </w:rPr>
        <w:t>③人民政府要将公路安全设施维护纳入养护工程范畴，根据安全设施的使用年限定期进行维护更新。安全性能不适应新情况的，应结合公路安全隐患治理规划及时升级改造；安全设施遭到损毁的，要及时进行修复，确保公路及其附属设施处于良好的技术状况。要加大部门联合整治力度，严厉打击、惩治偷盗公路安全设施的违法行为。</w:t>
      </w:r>
    </w:p>
    <w:p w14:paraId="3B302E0F">
      <w:pPr>
        <w:spacing w:line="360" w:lineRule="auto"/>
        <w:ind w:firstLine="640" w:firstLineChars="200"/>
        <w:rPr>
          <w:color w:val="000000"/>
          <w:sz w:val="32"/>
          <w:szCs w:val="32"/>
        </w:rPr>
      </w:pPr>
      <w:r>
        <w:rPr>
          <w:rFonts w:hint="eastAsia"/>
          <w:color w:val="000000"/>
          <w:sz w:val="32"/>
          <w:szCs w:val="32"/>
        </w:rPr>
        <w:t>2）管理工程</w:t>
      </w:r>
    </w:p>
    <w:p w14:paraId="00FBC00D">
      <w:pPr>
        <w:spacing w:line="360" w:lineRule="auto"/>
        <w:ind w:firstLine="640" w:firstLineChars="200"/>
        <w:rPr>
          <w:color w:val="000000"/>
          <w:sz w:val="32"/>
          <w:szCs w:val="32"/>
        </w:rPr>
      </w:pPr>
      <w:r>
        <w:rPr>
          <w:rFonts w:hint="eastAsia"/>
          <w:color w:val="000000"/>
          <w:sz w:val="32"/>
          <w:szCs w:val="32"/>
        </w:rPr>
        <w:t>①完善农村公路法制建设。</w:t>
      </w:r>
      <w:r>
        <w:rPr>
          <w:color w:val="000000"/>
          <w:sz w:val="32"/>
          <w:szCs w:val="32"/>
        </w:rPr>
        <w:t>扎实</w:t>
      </w:r>
      <w:r>
        <w:rPr>
          <w:rFonts w:hint="eastAsia"/>
          <w:color w:val="000000"/>
          <w:sz w:val="32"/>
          <w:szCs w:val="32"/>
        </w:rPr>
        <w:t>推动</w:t>
      </w:r>
      <w:r>
        <w:rPr>
          <w:color w:val="000000"/>
          <w:sz w:val="32"/>
          <w:szCs w:val="32"/>
        </w:rPr>
        <w:t>法治部门建设。加快完善法规体系，推进地方性标准修订，并加强规范性文件的监督管理。提高依法行政能力，整合执法职责，推进综合执法、统一执法、联合执法、路警共建等交通运输行政执法模式改革，理顺各门类执法机构管理关系，减少执法层级，从体制机制上解决多头执法、职责交叉、重复处罚等问题</w:t>
      </w:r>
      <w:r>
        <w:rPr>
          <w:rFonts w:hint="eastAsia"/>
          <w:color w:val="000000"/>
          <w:sz w:val="32"/>
          <w:szCs w:val="32"/>
        </w:rPr>
        <w:t>。</w:t>
      </w:r>
    </w:p>
    <w:p w14:paraId="1362FFE7">
      <w:pPr>
        <w:spacing w:line="360" w:lineRule="auto"/>
        <w:ind w:firstLine="640" w:firstLineChars="200"/>
        <w:rPr>
          <w:color w:val="000000"/>
          <w:sz w:val="32"/>
          <w:szCs w:val="32"/>
        </w:rPr>
      </w:pPr>
      <w:r>
        <w:rPr>
          <w:rFonts w:hint="eastAsia"/>
          <w:color w:val="000000"/>
          <w:sz w:val="32"/>
          <w:szCs w:val="32"/>
        </w:rPr>
        <w:t>②加</w:t>
      </w:r>
      <w:r>
        <w:rPr>
          <w:color w:val="000000"/>
          <w:sz w:val="32"/>
          <w:szCs w:val="32"/>
        </w:rPr>
        <w:t>快完善现代市场体系。完善交通运输市场价格形成机制，加快推进铁路运输、邮政等领域的市场化改革，逐步放开竞争性环节价格，充分发挥市场调节作用。消除运输市场壁垒，清理阻碍旅客联程运输、货物多式联运、旅游客运等发展的规章和政策，着力解决地方保护以及阻碍企业网络化、联盟化发展等突出问题，促进运输资源优化配置。加强诚信体系建设，完善信用考核标准，加强信用考核评价监督管理，建立综合运输服务统一的信用信息平台，推进与公安、工商、税务、金融等部门信用系统的有效对接和信息共享</w:t>
      </w:r>
      <w:r>
        <w:rPr>
          <w:rFonts w:hint="eastAsia"/>
          <w:color w:val="000000"/>
          <w:sz w:val="32"/>
          <w:szCs w:val="32"/>
        </w:rPr>
        <w:t>。</w:t>
      </w:r>
    </w:p>
    <w:p w14:paraId="6181A732">
      <w:pPr>
        <w:spacing w:line="360" w:lineRule="auto"/>
        <w:ind w:firstLine="640" w:firstLineChars="200"/>
        <w:rPr>
          <w:color w:val="000000"/>
          <w:sz w:val="32"/>
          <w:szCs w:val="32"/>
        </w:rPr>
      </w:pPr>
      <w:r>
        <w:rPr>
          <w:rFonts w:hint="eastAsia"/>
          <w:color w:val="000000"/>
          <w:sz w:val="32"/>
          <w:szCs w:val="32"/>
        </w:rPr>
        <w:t>③</w:t>
      </w:r>
      <w:r>
        <w:rPr>
          <w:color w:val="000000"/>
          <w:sz w:val="32"/>
          <w:szCs w:val="32"/>
        </w:rPr>
        <w:t>加强交通运输人才队伍建设，</w:t>
      </w:r>
      <w:r>
        <w:rPr>
          <w:rFonts w:hint="eastAsia"/>
          <w:color w:val="000000"/>
          <w:sz w:val="32"/>
          <w:szCs w:val="32"/>
        </w:rPr>
        <w:t>建立健全路长制工作实施方案。</w:t>
      </w:r>
      <w:r>
        <w:rPr>
          <w:color w:val="000000"/>
          <w:sz w:val="32"/>
          <w:szCs w:val="32"/>
        </w:rPr>
        <w:t>一是通过企业内部培训加强专业技术人员继续教育，使一线工作人员的知识和技能不断得到更新、补充、拓展和提高。二是制定人才引进相关优惠政策，加大紧缺人才的引进力度，吸纳更多高层次创新型人才和高技能人才进入交通规划部门，提升交通规划和维护水平。吸纳更多高水平管理人才进入交通管理部门，提升行业管理水平。</w:t>
      </w:r>
    </w:p>
    <w:p w14:paraId="228AC934">
      <w:pPr>
        <w:spacing w:line="360" w:lineRule="auto"/>
        <w:ind w:firstLine="640" w:firstLineChars="200"/>
        <w:rPr>
          <w:color w:val="000000"/>
          <w:sz w:val="32"/>
          <w:szCs w:val="32"/>
        </w:rPr>
      </w:pPr>
      <w:r>
        <w:rPr>
          <w:rFonts w:hint="eastAsia"/>
          <w:color w:val="000000"/>
          <w:sz w:val="32"/>
          <w:szCs w:val="32"/>
        </w:rPr>
        <w:t>④公路安全生命防护需根据公路状况、事故特征、交通流量等实际状况，科学判断改造需求，制定村道及以上公路的切实可行的工程改造方案，注重整条路线的规模效益，科学有序组织实施。安全隐患治理完成后，要按程序组织工程验收，确保隐患整改符合要求。对列入政府挂牌督办的安全隐患，在隐患治理完成后要组织开展治理效果评估，治理效果达不到规定要求的，要继续挂牌督办。对隐患整治不到位的农村公路，不得开通客运班线和校车。已开通的，在隐患整治到位之前要对线路进行调整；因客观条件无法调整的，应当暂停营运。</w:t>
      </w:r>
    </w:p>
    <w:p w14:paraId="7180894F">
      <w:pPr>
        <w:spacing w:line="360" w:lineRule="auto"/>
        <w:ind w:firstLine="640" w:firstLineChars="200"/>
        <w:rPr>
          <w:color w:val="000000"/>
          <w:sz w:val="32"/>
          <w:szCs w:val="32"/>
        </w:rPr>
      </w:pPr>
      <w:r>
        <w:rPr>
          <w:rFonts w:hint="eastAsia"/>
          <w:color w:val="000000"/>
          <w:sz w:val="32"/>
          <w:szCs w:val="32"/>
        </w:rPr>
        <w:t>整合现有标准规定，吸收各地区经验做法，修订完善公路安全设施标准。建立公路工程技术标准的动态发展工作机制，根据经济发展和实际情况不断修订完善标准。着重研究修订低等级公路技术标准，结合农村、山区实际情况，确定线形指标及安全设施设置等相关技术要求，提高技术标准的针对性和实用性。</w:t>
      </w:r>
    </w:p>
    <w:p w14:paraId="1A1C6D67">
      <w:pPr>
        <w:spacing w:line="360" w:lineRule="auto"/>
        <w:ind w:firstLine="640" w:firstLineChars="200"/>
        <w:rPr>
          <w:color w:val="000000"/>
          <w:sz w:val="32"/>
          <w:szCs w:val="32"/>
        </w:rPr>
      </w:pPr>
      <w:r>
        <w:rPr>
          <w:rFonts w:hint="eastAsia"/>
          <w:color w:val="000000"/>
          <w:sz w:val="32"/>
          <w:szCs w:val="32"/>
        </w:rPr>
        <w:t>公路安全设施建设必须符合有关工程技术标准和合同约定的要求，鼓励采用标准化结构、标准化施工，严格执行基本建设程序，不得随意降低标准、更改设计方案，保证公路安全设施齐全有效。各地区要进一步健全公路工程交工验收制度，严格按照公路工程管理权限吸收相应层级的公安交通管理、安全监管等部门人员参加，将安全设施作为验收重要内容，验收不合格的，不得交付使用、通车运行。</w:t>
      </w:r>
    </w:p>
    <w:p w14:paraId="77760FB1">
      <w:pPr>
        <w:pStyle w:val="21"/>
        <w:rPr>
          <w:color w:val="000000"/>
          <w:sz w:val="32"/>
        </w:rPr>
      </w:pPr>
      <w:bookmarkStart w:id="42" w:name="_Toc89371384"/>
      <w:r>
        <w:rPr>
          <w:color w:val="000000"/>
          <w:sz w:val="32"/>
        </w:rPr>
        <w:t>3.</w:t>
      </w:r>
      <w:r>
        <w:rPr>
          <w:rFonts w:hint="eastAsia"/>
          <w:color w:val="000000"/>
          <w:sz w:val="32"/>
        </w:rPr>
        <w:t>构建现代铁路运输网</w:t>
      </w:r>
      <w:bookmarkEnd w:id="42"/>
    </w:p>
    <w:p w14:paraId="684BAC17">
      <w:pPr>
        <w:spacing w:line="360" w:lineRule="auto"/>
        <w:rPr>
          <w:color w:val="000000"/>
          <w:sz w:val="32"/>
          <w:szCs w:val="32"/>
        </w:rPr>
      </w:pPr>
      <w:r>
        <w:rPr>
          <w:rFonts w:hint="eastAsia"/>
          <w:color w:val="000000"/>
          <w:sz w:val="32"/>
          <w:szCs w:val="32"/>
        </w:rPr>
        <w:t>（1）建设目标</w:t>
      </w:r>
    </w:p>
    <w:p w14:paraId="51138E94">
      <w:pPr>
        <w:spacing w:line="560" w:lineRule="exact"/>
        <w:ind w:firstLine="640" w:firstLineChars="200"/>
        <w:rPr>
          <w:color w:val="000000"/>
          <w:sz w:val="32"/>
          <w:szCs w:val="32"/>
        </w:rPr>
      </w:pPr>
      <w:r>
        <w:rPr>
          <w:rFonts w:hint="eastAsia"/>
          <w:color w:val="000000"/>
          <w:sz w:val="32"/>
          <w:szCs w:val="32"/>
        </w:rPr>
        <w:t>到202</w:t>
      </w:r>
      <w:r>
        <w:rPr>
          <w:color w:val="000000"/>
          <w:sz w:val="32"/>
          <w:szCs w:val="32"/>
        </w:rPr>
        <w:t>5</w:t>
      </w:r>
      <w:r>
        <w:rPr>
          <w:rFonts w:hint="eastAsia"/>
          <w:color w:val="000000"/>
          <w:sz w:val="32"/>
          <w:szCs w:val="32"/>
        </w:rPr>
        <w:t>年底，建成布局完善、覆盖范围广、通道能力强、技术结构合理的铁路运输网。完成乳山高铁场站配套基础设施建设，建设内容包括基础设施建设、综合配套设施建设两个部分内容。其中基础设施建设为新建山河街东延工程，道路长度2</w:t>
      </w:r>
      <w:r>
        <w:rPr>
          <w:color w:val="000000"/>
          <w:sz w:val="32"/>
          <w:szCs w:val="32"/>
        </w:rPr>
        <w:t>173</w:t>
      </w:r>
      <w:r>
        <w:rPr>
          <w:rFonts w:hint="eastAsia"/>
          <w:color w:val="000000"/>
          <w:sz w:val="32"/>
          <w:szCs w:val="32"/>
        </w:rPr>
        <w:t>米，综合配套设施建设内容主要为5个公共收费停车场、办公综合体、高铁站及长途汽车站。</w:t>
      </w:r>
    </w:p>
    <w:p w14:paraId="0CDAE3D7">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）重点任务</w:t>
      </w:r>
    </w:p>
    <w:p w14:paraId="5A99DEFD">
      <w:pPr>
        <w:spacing w:line="560" w:lineRule="exact"/>
        <w:ind w:firstLine="640" w:firstLineChars="200"/>
        <w:rPr>
          <w:color w:val="000000"/>
          <w:sz w:val="32"/>
          <w:szCs w:val="32"/>
        </w:rPr>
      </w:pPr>
      <w:r>
        <w:rPr>
          <w:color w:val="000000"/>
          <w:sz w:val="32"/>
          <w:szCs w:val="32"/>
        </w:rPr>
        <w:t>——</w:t>
      </w:r>
      <w:r>
        <w:rPr>
          <w:rFonts w:hint="eastAsia"/>
          <w:color w:val="000000"/>
          <w:sz w:val="32"/>
          <w:szCs w:val="32"/>
        </w:rPr>
        <w:t>普通铁路。建设下初至水道恒邦化工园区铁路专用线工程，建设威海（乳山）港区铁路，建设桃威铁路电气化改造工程、择机实施乳山口港疏港铁路工程。</w:t>
      </w:r>
    </w:p>
    <w:p w14:paraId="151B64A3">
      <w:pPr>
        <w:spacing w:line="560" w:lineRule="exact"/>
        <w:ind w:firstLine="640" w:firstLineChars="200"/>
        <w:rPr>
          <w:color w:val="000000"/>
          <w:sz w:val="32"/>
          <w:szCs w:val="32"/>
        </w:rPr>
      </w:pPr>
      <w:r>
        <w:rPr>
          <w:rFonts w:hint="eastAsia"/>
          <w:color w:val="000000"/>
          <w:sz w:val="32"/>
          <w:szCs w:val="32"/>
        </w:rPr>
        <w:t>1）为提高铁路的运输能力和服务水平，打通我市“铁水联运”通道，根据腹地和港口的需求，在乳山口港与乳山站之间增加疏港货运铁路线，拟建设里程25公里，总投资约6亿元。该疏港铁路采用电气化单线，自乳山口向北经城区西侧一直延伸至牟乳线，并入桃威线，进乳山站，开辟便捷的出海通道。</w:t>
      </w:r>
    </w:p>
    <w:p w14:paraId="3DBB292A">
      <w:pPr>
        <w:spacing w:line="560" w:lineRule="exact"/>
        <w:ind w:firstLine="640" w:firstLineChars="200"/>
        <w:rPr>
          <w:color w:val="000000"/>
          <w:sz w:val="32"/>
          <w:szCs w:val="32"/>
        </w:rPr>
      </w:pPr>
      <w:r>
        <w:rPr>
          <w:rFonts w:hint="eastAsia"/>
          <w:color w:val="000000"/>
          <w:sz w:val="32"/>
          <w:szCs w:val="32"/>
        </w:rPr>
        <w:t>在对铁路改、扩建时，应进行科学论证、统筹安排，结合全市发展规划，预留足够的连接空间，以适应今后发展的需要。</w:t>
      </w:r>
    </w:p>
    <w:p w14:paraId="6CAE41D2">
      <w:pPr>
        <w:spacing w:line="560" w:lineRule="exact"/>
        <w:ind w:firstLine="640" w:firstLineChars="200"/>
        <w:rPr>
          <w:color w:val="000000"/>
          <w:sz w:val="32"/>
          <w:szCs w:val="32"/>
        </w:rPr>
      </w:pPr>
      <w:r>
        <w:rPr>
          <w:color w:val="000000"/>
          <w:sz w:val="32"/>
          <w:szCs w:val="32"/>
        </w:rPr>
        <w:t>——</w:t>
      </w:r>
      <w:r>
        <w:rPr>
          <w:rFonts w:hint="eastAsia"/>
          <w:color w:val="000000"/>
          <w:sz w:val="32"/>
          <w:szCs w:val="32"/>
        </w:rPr>
        <w:t>城际铁路。建设青岛-海阳-乳山，威海-南海-乳山两条城际铁路线，为居民提供可达性更高、更便捷的出行选择。</w:t>
      </w:r>
    </w:p>
    <w:p w14:paraId="67C05491">
      <w:pPr>
        <w:spacing w:line="360" w:lineRule="auto"/>
        <w:ind w:firstLine="640" w:firstLineChars="200"/>
        <w:rPr>
          <w:bCs/>
          <w:color w:val="000000"/>
          <w:sz w:val="32"/>
          <w:szCs w:val="32"/>
          <w:lang w:val="zh-TW"/>
        </w:rPr>
      </w:pPr>
      <w:r>
        <w:rPr>
          <w:color w:val="000000"/>
          <w:sz w:val="32"/>
          <w:szCs w:val="32"/>
        </w:rPr>
        <w:t>——</w:t>
      </w:r>
      <w:r>
        <w:rPr>
          <w:rFonts w:hint="eastAsia"/>
          <w:color w:val="000000"/>
          <w:sz w:val="32"/>
          <w:szCs w:val="32"/>
        </w:rPr>
        <w:t>高速铁路。建设莱荣高铁，2</w:t>
      </w:r>
      <w:r>
        <w:rPr>
          <w:color w:val="000000"/>
          <w:sz w:val="32"/>
          <w:szCs w:val="32"/>
        </w:rPr>
        <w:t>020</w:t>
      </w:r>
      <w:r>
        <w:rPr>
          <w:rFonts w:hint="eastAsia"/>
          <w:color w:val="000000"/>
          <w:sz w:val="32"/>
          <w:szCs w:val="32"/>
        </w:rPr>
        <w:t>年9月开工实施。</w:t>
      </w:r>
      <w:r>
        <w:rPr>
          <w:rFonts w:hint="eastAsia"/>
          <w:bCs/>
          <w:color w:val="000000"/>
          <w:sz w:val="32"/>
          <w:szCs w:val="32"/>
          <w:lang w:val="zh-TW"/>
        </w:rPr>
        <w:t>莱荣高铁是胶东半岛南部沿海地区对外联系的重要通道，与青荣高铁共同构成环胶东半岛的快速客运通道，是山东省城际铁路网的重要组成部分，项目建成后，在乳山乘高铁</w:t>
      </w:r>
      <w:r>
        <w:rPr>
          <w:bCs/>
          <w:color w:val="000000"/>
          <w:sz w:val="32"/>
          <w:szCs w:val="32"/>
          <w:lang w:val="zh-TW"/>
        </w:rPr>
        <w:t>2小时可达济南，</w:t>
      </w:r>
      <w:r>
        <w:rPr>
          <w:bCs/>
          <w:color w:val="000000"/>
          <w:sz w:val="32"/>
          <w:szCs w:val="32"/>
        </w:rPr>
        <w:t>5</w:t>
      </w:r>
      <w:r>
        <w:rPr>
          <w:bCs/>
          <w:color w:val="000000"/>
          <w:sz w:val="32"/>
          <w:szCs w:val="32"/>
          <w:lang w:val="zh-TW"/>
        </w:rPr>
        <w:t>小时内可直达上海、北京。</w:t>
      </w:r>
    </w:p>
    <w:p w14:paraId="03F65534">
      <w:pPr>
        <w:spacing w:line="360" w:lineRule="auto"/>
        <w:ind w:firstLine="640" w:firstLineChars="200"/>
        <w:rPr>
          <w:rFonts w:eastAsia="PMingLiU"/>
          <w:color w:val="000000"/>
          <w:sz w:val="32"/>
          <w:szCs w:val="32"/>
          <w:lang w:eastAsia="zh-TW"/>
        </w:rPr>
      </w:pPr>
      <w:r>
        <w:rPr>
          <w:bCs/>
          <w:color w:val="000000"/>
          <w:sz w:val="32"/>
          <w:szCs w:val="32"/>
        </w:rPr>
        <w:t>——</w:t>
      </w:r>
      <w:r>
        <w:rPr>
          <w:rFonts w:hint="eastAsia"/>
          <w:bCs/>
          <w:color w:val="000000"/>
          <w:sz w:val="32"/>
          <w:szCs w:val="32"/>
          <w:lang w:val="zh-TW"/>
        </w:rPr>
        <w:t>高铁片区。建设乳山高铁场站配套基础设施，项目位于乳山市经济开发区青威高速南、山河街北、世纪大道东、能源路西，总建设用地为1</w:t>
      </w:r>
      <w:r>
        <w:rPr>
          <w:rFonts w:eastAsia="PMingLiU"/>
          <w:bCs/>
          <w:color w:val="000000"/>
          <w:sz w:val="32"/>
          <w:szCs w:val="32"/>
          <w:lang w:val="zh-TW" w:eastAsia="zh-TW"/>
        </w:rPr>
        <w:t>57.4</w:t>
      </w:r>
      <w:r>
        <w:rPr>
          <w:rFonts w:hint="eastAsia" w:ascii="等线" w:hAnsi="等线" w:eastAsia="等线"/>
          <w:bCs/>
          <w:color w:val="000000"/>
          <w:sz w:val="32"/>
          <w:szCs w:val="32"/>
          <w:lang w:val="zh-TW" w:eastAsia="zh-TW"/>
        </w:rPr>
        <w:t>亩</w:t>
      </w:r>
      <w:r>
        <w:rPr>
          <w:rFonts w:hint="eastAsia"/>
          <w:bCs/>
          <w:color w:val="000000"/>
          <w:sz w:val="32"/>
          <w:szCs w:val="32"/>
          <w:lang w:val="zh-TW" w:eastAsia="zh-TW"/>
        </w:rPr>
        <w:t>。</w:t>
      </w:r>
    </w:p>
    <w:p w14:paraId="14CA6A3D">
      <w:pPr>
        <w:spacing w:line="360" w:lineRule="auto"/>
        <w:ind w:firstLine="640" w:firstLineChars="200"/>
        <w:rPr>
          <w:color w:val="000000"/>
          <w:sz w:val="32"/>
          <w:szCs w:val="32"/>
        </w:rPr>
      </w:pPr>
      <w:r>
        <w:rPr>
          <w:rFonts w:hint="eastAsia"/>
          <w:color w:val="000000"/>
          <w:sz w:val="32"/>
          <w:szCs w:val="32"/>
        </w:rPr>
        <w:t>1）莱荣高铁项目概况</w:t>
      </w:r>
    </w:p>
    <w:p w14:paraId="24A11EE8">
      <w:pPr>
        <w:spacing w:line="360" w:lineRule="auto"/>
        <w:ind w:firstLine="640" w:firstLineChars="200"/>
        <w:rPr>
          <w:color w:val="000000"/>
          <w:sz w:val="32"/>
          <w:szCs w:val="32"/>
        </w:rPr>
      </w:pPr>
      <w:r>
        <w:rPr>
          <w:rFonts w:hint="eastAsia"/>
          <w:color w:val="000000"/>
          <w:sz w:val="32"/>
          <w:szCs w:val="32"/>
        </w:rPr>
        <w:t>莱荣高铁项目全长约192公里，前期评审估算总投资约286亿元。设计最高时速350公里，线路起自青岛莱西，经莱阳、海阳、乳山、文登，终至荣成市，沿途共设莱西北、莱阳南、海阳、乳山南、威海南海、文登南、荣成7座车站。乳山境内长43公里，途径滨海新区、经济开发区、城区街道办、乳山口镇、白沙滩镇、大孤山镇、南黄镇、乳山寨镇、徐家镇，投资概算66.2亿元。</w:t>
      </w:r>
    </w:p>
    <w:p w14:paraId="728AB4FB">
      <w:pPr>
        <w:spacing w:line="360" w:lineRule="auto"/>
        <w:ind w:firstLine="640" w:firstLineChars="200"/>
        <w:rPr>
          <w:color w:val="000000"/>
          <w:sz w:val="32"/>
          <w:szCs w:val="32"/>
        </w:rPr>
      </w:pPr>
      <w:r>
        <w:rPr>
          <w:rFonts w:hint="eastAsia"/>
          <w:color w:val="000000"/>
          <w:sz w:val="32"/>
          <w:szCs w:val="32"/>
        </w:rPr>
        <w:t>2）</w:t>
      </w:r>
      <w:r>
        <w:rPr>
          <w:color w:val="000000"/>
          <w:sz w:val="32"/>
          <w:szCs w:val="32"/>
        </w:rPr>
        <w:t>莱荣高铁推进情况</w:t>
      </w:r>
    </w:p>
    <w:p w14:paraId="7E9B5074">
      <w:pPr>
        <w:spacing w:line="360" w:lineRule="auto"/>
        <w:ind w:firstLine="640" w:firstLineChars="200"/>
        <w:rPr>
          <w:color w:val="000000"/>
          <w:sz w:val="32"/>
          <w:szCs w:val="32"/>
        </w:rPr>
      </w:pPr>
      <w:r>
        <w:rPr>
          <w:rFonts w:hint="eastAsia"/>
          <w:color w:val="000000"/>
          <w:sz w:val="32"/>
          <w:szCs w:val="32"/>
        </w:rPr>
        <w:t>市政府组建了莱荣高铁</w:t>
      </w:r>
      <w:r>
        <w:rPr>
          <w:rFonts w:hint="eastAsia"/>
          <w:b/>
          <w:bCs/>
          <w:color w:val="000000"/>
          <w:sz w:val="32"/>
          <w:szCs w:val="32"/>
        </w:rPr>
        <w:t>乳山段</w:t>
      </w:r>
      <w:r>
        <w:rPr>
          <w:rFonts w:hint="eastAsia"/>
          <w:color w:val="000000"/>
          <w:sz w:val="32"/>
          <w:szCs w:val="32"/>
        </w:rPr>
        <w:t>推进工作专班，下设7个小组，全力推进莱荣高铁项目建设，预计</w:t>
      </w:r>
      <w:r>
        <w:rPr>
          <w:color w:val="000000"/>
          <w:sz w:val="32"/>
          <w:szCs w:val="32"/>
        </w:rPr>
        <w:t>2020</w:t>
      </w:r>
      <w:r>
        <w:rPr>
          <w:rFonts w:hint="eastAsia"/>
          <w:color w:val="000000"/>
          <w:sz w:val="32"/>
          <w:szCs w:val="32"/>
        </w:rPr>
        <w:t>年9月份开工建设，工期3</w:t>
      </w:r>
      <w:r>
        <w:rPr>
          <w:color w:val="000000"/>
          <w:sz w:val="32"/>
          <w:szCs w:val="32"/>
        </w:rPr>
        <w:t>.5</w:t>
      </w:r>
      <w:r>
        <w:rPr>
          <w:rFonts w:hint="eastAsia"/>
          <w:color w:val="000000"/>
          <w:sz w:val="32"/>
          <w:szCs w:val="32"/>
        </w:rPr>
        <w:t>年。</w:t>
      </w:r>
    </w:p>
    <w:p w14:paraId="03F3B04E">
      <w:pPr>
        <w:spacing w:line="360" w:lineRule="auto"/>
        <w:jc w:val="center"/>
        <w:rPr>
          <w:color w:val="000000"/>
          <w:sz w:val="32"/>
          <w:szCs w:val="32"/>
        </w:rPr>
      </w:pPr>
      <w:r>
        <w:rPr>
          <w:color w:val="000000"/>
          <w:sz w:val="32"/>
          <w:szCs w:val="32"/>
        </w:rPr>
        <w:drawing>
          <wp:inline distT="0" distB="0" distL="0" distR="0">
            <wp:extent cx="4641215" cy="2973705"/>
            <wp:effectExtent l="0" t="0" r="6985" b="0"/>
            <wp:docPr id="1040" name="图片 48"/>
            <wp:cNvGraphicFramePr/>
            <a:graphic xmlns:a="http://schemas.openxmlformats.org/drawingml/2006/main">
              <a:graphicData uri="http://schemas.openxmlformats.org/drawingml/2006/picture">
                <pic:pic xmlns:pic="http://schemas.openxmlformats.org/drawingml/2006/picture">
                  <pic:nvPicPr>
                    <pic:cNvPr id="1040" name="图片 48"/>
                    <pic:cNvPicPr/>
                  </pic:nvPicPr>
                  <pic:blipFill>
                    <a:blip r:embed="rId24" cstate="print"/>
                    <a:srcRect t="9363"/>
                    <a:stretch>
                      <a:fillRect/>
                    </a:stretch>
                  </pic:blipFill>
                  <pic:spPr>
                    <a:xfrm>
                      <a:off x="0" y="0"/>
                      <a:ext cx="4641215" cy="2973705"/>
                    </a:xfrm>
                    <a:prstGeom prst="rect">
                      <a:avLst/>
                    </a:prstGeom>
                    <a:ln>
                      <a:noFill/>
                    </a:ln>
                  </pic:spPr>
                </pic:pic>
              </a:graphicData>
            </a:graphic>
          </wp:inline>
        </w:drawing>
      </w:r>
    </w:p>
    <w:p w14:paraId="7C03F616">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 xml:space="preserve">13 </w:t>
      </w:r>
      <w:r>
        <w:rPr>
          <w:rFonts w:hint="eastAsia" w:eastAsia="楷体"/>
          <w:color w:val="000000"/>
          <w:sz w:val="24"/>
        </w:rPr>
        <w:t>莱荣高铁建设项目区位图</w:t>
      </w:r>
    </w:p>
    <w:p w14:paraId="162D7CD2">
      <w:pPr>
        <w:ind w:firstLine="640"/>
        <w:rPr>
          <w:color w:val="000000"/>
          <w:sz w:val="32"/>
          <w:szCs w:val="32"/>
        </w:rPr>
      </w:pPr>
      <w:r>
        <w:rPr>
          <w:rFonts w:hint="eastAsia"/>
          <w:color w:val="000000"/>
          <w:sz w:val="32"/>
          <w:szCs w:val="32"/>
        </w:rPr>
        <w:t>3）高铁接驳公交场站</w:t>
      </w:r>
    </w:p>
    <w:p w14:paraId="25C50976">
      <w:pPr>
        <w:ind w:firstLine="640"/>
        <w:rPr>
          <w:color w:val="000000"/>
          <w:sz w:val="32"/>
          <w:szCs w:val="32"/>
        </w:rPr>
      </w:pPr>
      <w:r>
        <w:rPr>
          <w:rFonts w:hint="eastAsia"/>
          <w:color w:val="000000"/>
          <w:sz w:val="32"/>
          <w:szCs w:val="32"/>
        </w:rPr>
        <w:t>高</w:t>
      </w:r>
      <w:r>
        <w:rPr>
          <w:rFonts w:hint="eastAsia" w:ascii="宋体" w:hAnsi="宋体" w:cs="宋体"/>
          <w:color w:val="000000"/>
          <w:sz w:val="32"/>
          <w:szCs w:val="32"/>
        </w:rPr>
        <w:t>铁站投入运营后，对公交线路进行相应的调整，规划建设总占地面积约8700平方米的公交场站：</w:t>
      </w:r>
    </w:p>
    <w:p w14:paraId="381B3189">
      <w:pPr>
        <w:tabs>
          <w:tab w:val="left" w:pos="726"/>
        </w:tabs>
        <w:ind w:firstLine="640" w:firstLineChars="200"/>
        <w:jc w:val="left"/>
        <w:rPr>
          <w:rFonts w:ascii="宋体" w:hAnsi="宋体" w:cs="宋体"/>
          <w:color w:val="000000"/>
          <w:sz w:val="32"/>
          <w:szCs w:val="32"/>
        </w:rPr>
      </w:pPr>
      <w:r>
        <w:rPr>
          <w:rFonts w:hint="eastAsia" w:ascii="宋体" w:hAnsi="宋体" w:cs="宋体"/>
          <w:color w:val="000000"/>
          <w:sz w:val="32"/>
          <w:szCs w:val="32"/>
        </w:rPr>
        <w:t>①建设充电站区及公交车待发区，占地面积共8000平方米。配套建设能够满足90辆公交车充电的充电桩。充电桩需建设带光伏发电功能的遮雨棚；</w:t>
      </w:r>
    </w:p>
    <w:p w14:paraId="78310F6B">
      <w:pPr>
        <w:tabs>
          <w:tab w:val="left" w:pos="756"/>
        </w:tabs>
        <w:ind w:firstLine="640" w:firstLineChars="200"/>
        <w:jc w:val="left"/>
        <w:rPr>
          <w:rFonts w:ascii="宋体" w:hAnsi="宋体" w:cs="宋体"/>
          <w:color w:val="000000"/>
          <w:sz w:val="32"/>
          <w:szCs w:val="32"/>
        </w:rPr>
      </w:pPr>
      <w:r>
        <w:rPr>
          <w:rFonts w:hint="eastAsia" w:ascii="宋体" w:hAnsi="宋体" w:cs="宋体"/>
          <w:color w:val="000000"/>
          <w:sz w:val="32"/>
          <w:szCs w:val="32"/>
        </w:rPr>
        <w:t>②建设维修保养车间，占地面积共360平方米。包括：能够满足10米公交车维修保养的车间3间、仓库1间；</w:t>
      </w:r>
    </w:p>
    <w:p w14:paraId="44AA7986">
      <w:pPr>
        <w:tabs>
          <w:tab w:val="left" w:pos="756"/>
        </w:tabs>
        <w:ind w:firstLine="640" w:firstLineChars="200"/>
        <w:jc w:val="left"/>
        <w:rPr>
          <w:rFonts w:ascii="宋体" w:hAnsi="宋体" w:cs="宋体"/>
          <w:color w:val="000000"/>
          <w:sz w:val="32"/>
          <w:szCs w:val="32"/>
        </w:rPr>
      </w:pPr>
      <w:r>
        <w:rPr>
          <w:rFonts w:hint="eastAsia" w:ascii="宋体" w:hAnsi="宋体" w:cs="宋体"/>
          <w:color w:val="000000"/>
          <w:sz w:val="32"/>
          <w:szCs w:val="32"/>
        </w:rPr>
        <w:t>③建设场站用房，占地面积共330平方米。包括：办公室、调度室、值班室、驾驶员休息室、乘客候车室、公共卫生间等。</w:t>
      </w:r>
    </w:p>
    <w:p w14:paraId="69B2710B">
      <w:pPr>
        <w:tabs>
          <w:tab w:val="left" w:pos="756"/>
        </w:tabs>
        <w:ind w:firstLine="640" w:firstLineChars="200"/>
        <w:jc w:val="left"/>
        <w:rPr>
          <w:rFonts w:ascii="宋体" w:hAnsi="宋体" w:cs="宋体"/>
          <w:color w:val="000000"/>
          <w:sz w:val="32"/>
          <w:szCs w:val="32"/>
        </w:rPr>
      </w:pPr>
      <w:r>
        <w:rPr>
          <w:rFonts w:hint="eastAsia" w:ascii="宋体" w:hAnsi="宋体" w:cs="宋体"/>
          <w:color w:val="000000"/>
          <w:sz w:val="32"/>
          <w:szCs w:val="32"/>
        </w:rPr>
        <w:t>4）高铁场站配套基础设施</w:t>
      </w:r>
    </w:p>
    <w:p w14:paraId="4C1ED6CC">
      <w:pPr>
        <w:tabs>
          <w:tab w:val="left" w:pos="756"/>
        </w:tabs>
        <w:ind w:firstLine="640" w:firstLineChars="200"/>
        <w:jc w:val="left"/>
        <w:rPr>
          <w:rFonts w:ascii="宋体" w:hAnsi="宋体" w:cs="宋体"/>
          <w:color w:val="000000"/>
          <w:sz w:val="32"/>
          <w:szCs w:val="32"/>
        </w:rPr>
      </w:pPr>
      <w:r>
        <w:rPr>
          <w:rFonts w:hint="eastAsia"/>
          <w:bCs/>
          <w:color w:val="000000"/>
          <w:sz w:val="32"/>
          <w:szCs w:val="32"/>
          <w:lang w:val="zh-TW"/>
        </w:rPr>
        <w:t>建设主体为</w:t>
      </w:r>
      <w:r>
        <w:rPr>
          <w:rFonts w:hint="eastAsia"/>
          <w:bCs/>
          <w:color w:val="000000"/>
          <w:sz w:val="32"/>
          <w:szCs w:val="32"/>
          <w:lang w:val="zh-TW" w:eastAsia="zh-CN"/>
        </w:rPr>
        <w:t>市属国有企业</w:t>
      </w:r>
      <w:r>
        <w:rPr>
          <w:rFonts w:hint="eastAsia"/>
          <w:bCs/>
          <w:color w:val="000000"/>
          <w:sz w:val="32"/>
          <w:szCs w:val="32"/>
          <w:lang w:val="zh-TW"/>
        </w:rPr>
        <w:t>，计划建设周期2年，总投资</w:t>
      </w:r>
      <w:r>
        <w:rPr>
          <w:rFonts w:hint="eastAsia"/>
          <w:bCs/>
          <w:color w:val="000000"/>
          <w:sz w:val="32"/>
          <w:szCs w:val="32"/>
          <w:lang w:val="zh-TW" w:eastAsia="zh-CN"/>
        </w:rPr>
        <w:t>约</w:t>
      </w:r>
      <w:r>
        <w:rPr>
          <w:rFonts w:hint="eastAsia"/>
          <w:bCs/>
          <w:color w:val="000000"/>
          <w:sz w:val="32"/>
          <w:szCs w:val="32"/>
          <w:lang w:val="en-US" w:eastAsia="zh-CN"/>
        </w:rPr>
        <w:t>8.3亿</w:t>
      </w:r>
      <w:r>
        <w:rPr>
          <w:rFonts w:hint="eastAsia" w:ascii="等线" w:hAnsi="等线" w:eastAsia="等线"/>
          <w:bCs/>
          <w:color w:val="000000"/>
          <w:sz w:val="32"/>
          <w:szCs w:val="32"/>
          <w:lang w:val="zh-TW" w:eastAsia="zh-TW"/>
        </w:rPr>
        <w:t>元。</w:t>
      </w:r>
    </w:p>
    <w:p w14:paraId="649D5754">
      <w:pPr>
        <w:tabs>
          <w:tab w:val="left" w:pos="756"/>
        </w:tabs>
        <w:ind w:firstLine="640" w:firstLineChars="200"/>
        <w:jc w:val="left"/>
        <w:rPr>
          <w:rFonts w:ascii="宋体" w:hAnsi="宋体" w:cs="宋体"/>
          <w:color w:val="000000"/>
          <w:sz w:val="32"/>
          <w:szCs w:val="32"/>
        </w:rPr>
      </w:pPr>
      <w:r>
        <w:rPr>
          <w:rFonts w:hint="eastAsia" w:ascii="宋体" w:hAnsi="宋体" w:cs="宋体"/>
          <w:color w:val="000000"/>
          <w:sz w:val="32"/>
          <w:szCs w:val="32"/>
        </w:rPr>
        <w:t>①基础设施建设：新建山河街东延工程</w:t>
      </w:r>
      <w:r>
        <w:rPr>
          <w:rFonts w:hint="eastAsia"/>
          <w:color w:val="000000"/>
          <w:sz w:val="32"/>
          <w:szCs w:val="32"/>
        </w:rPr>
        <w:t>，道路长度</w:t>
      </w:r>
      <w:r>
        <w:rPr>
          <w:rFonts w:hint="eastAsia"/>
          <w:color w:val="000000"/>
          <w:sz w:val="32"/>
          <w:szCs w:val="32"/>
          <w:lang w:eastAsia="zh-CN"/>
        </w:rPr>
        <w:t>约</w:t>
      </w:r>
      <w:r>
        <w:rPr>
          <w:rFonts w:hint="eastAsia"/>
          <w:color w:val="000000"/>
          <w:sz w:val="32"/>
          <w:szCs w:val="32"/>
        </w:rPr>
        <w:t>2</w:t>
      </w:r>
      <w:r>
        <w:rPr>
          <w:rFonts w:hint="eastAsia"/>
          <w:color w:val="000000"/>
          <w:sz w:val="32"/>
          <w:szCs w:val="32"/>
          <w:lang w:val="en-US" w:eastAsia="zh-CN"/>
        </w:rPr>
        <w:t>200</w:t>
      </w:r>
      <w:r>
        <w:rPr>
          <w:rFonts w:hint="eastAsia"/>
          <w:color w:val="000000"/>
          <w:sz w:val="32"/>
          <w:szCs w:val="32"/>
        </w:rPr>
        <w:t>米，包含征地、路基、路面、人行道、雨水、桥涵、污水、弱电管线等工程，道路硬化面积</w:t>
      </w:r>
      <w:r>
        <w:rPr>
          <w:rFonts w:hint="eastAsia"/>
          <w:color w:val="000000"/>
          <w:sz w:val="32"/>
          <w:szCs w:val="32"/>
          <w:lang w:eastAsia="zh-CN"/>
        </w:rPr>
        <w:t>约</w:t>
      </w:r>
      <w:r>
        <w:rPr>
          <w:rFonts w:hint="eastAsia"/>
          <w:color w:val="000000"/>
          <w:sz w:val="32"/>
          <w:szCs w:val="32"/>
        </w:rPr>
        <w:t>4</w:t>
      </w:r>
      <w:r>
        <w:rPr>
          <w:rFonts w:hint="eastAsia"/>
          <w:color w:val="000000"/>
          <w:sz w:val="32"/>
          <w:szCs w:val="32"/>
          <w:lang w:val="en-US" w:eastAsia="zh-CN"/>
        </w:rPr>
        <w:t>6000</w:t>
      </w:r>
      <w:r>
        <w:rPr>
          <w:rFonts w:hint="eastAsia"/>
          <w:color w:val="000000"/>
          <w:sz w:val="32"/>
          <w:szCs w:val="32"/>
        </w:rPr>
        <w:t>平方米，人行道面积</w:t>
      </w:r>
      <w:r>
        <w:rPr>
          <w:rFonts w:hint="eastAsia"/>
          <w:color w:val="000000"/>
          <w:sz w:val="32"/>
          <w:szCs w:val="32"/>
          <w:lang w:eastAsia="zh-CN"/>
        </w:rPr>
        <w:t>约</w:t>
      </w:r>
      <w:r>
        <w:rPr>
          <w:rFonts w:hint="eastAsia"/>
          <w:color w:val="000000"/>
          <w:sz w:val="32"/>
          <w:szCs w:val="32"/>
        </w:rPr>
        <w:t>8</w:t>
      </w:r>
      <w:r>
        <w:rPr>
          <w:color w:val="000000"/>
          <w:sz w:val="32"/>
          <w:szCs w:val="32"/>
        </w:rPr>
        <w:t>700</w:t>
      </w:r>
      <w:r>
        <w:rPr>
          <w:rFonts w:hint="eastAsia"/>
          <w:color w:val="000000"/>
          <w:sz w:val="32"/>
          <w:szCs w:val="32"/>
        </w:rPr>
        <w:t>平方米，绿化面积</w:t>
      </w:r>
      <w:r>
        <w:rPr>
          <w:rFonts w:hint="eastAsia"/>
          <w:color w:val="000000"/>
          <w:sz w:val="32"/>
          <w:szCs w:val="32"/>
          <w:lang w:eastAsia="zh-CN"/>
        </w:rPr>
        <w:t>约</w:t>
      </w:r>
      <w:r>
        <w:rPr>
          <w:rFonts w:hint="eastAsia"/>
          <w:color w:val="000000"/>
          <w:sz w:val="32"/>
          <w:szCs w:val="32"/>
        </w:rPr>
        <w:t>1</w:t>
      </w:r>
      <w:r>
        <w:rPr>
          <w:color w:val="000000"/>
          <w:sz w:val="32"/>
          <w:szCs w:val="32"/>
        </w:rPr>
        <w:t>4</w:t>
      </w:r>
      <w:r>
        <w:rPr>
          <w:rFonts w:hint="eastAsia"/>
          <w:color w:val="000000"/>
          <w:sz w:val="32"/>
          <w:szCs w:val="32"/>
          <w:lang w:val="en-US" w:eastAsia="zh-CN"/>
        </w:rPr>
        <w:t>0000</w:t>
      </w:r>
      <w:r>
        <w:rPr>
          <w:rFonts w:hint="eastAsia"/>
          <w:color w:val="000000"/>
          <w:sz w:val="32"/>
          <w:szCs w:val="32"/>
        </w:rPr>
        <w:t>平方米，雨水管道长度4</w:t>
      </w:r>
      <w:r>
        <w:rPr>
          <w:color w:val="000000"/>
          <w:sz w:val="32"/>
          <w:szCs w:val="32"/>
        </w:rPr>
        <w:t>300</w:t>
      </w:r>
      <w:r>
        <w:rPr>
          <w:rFonts w:hint="eastAsia"/>
          <w:color w:val="000000"/>
          <w:sz w:val="32"/>
          <w:szCs w:val="32"/>
        </w:rPr>
        <w:t>米，污水管道长度</w:t>
      </w:r>
      <w:r>
        <w:rPr>
          <w:rFonts w:hint="eastAsia"/>
          <w:color w:val="000000"/>
          <w:sz w:val="32"/>
          <w:szCs w:val="32"/>
          <w:lang w:eastAsia="zh-CN"/>
        </w:rPr>
        <w:t>约</w:t>
      </w:r>
      <w:r>
        <w:rPr>
          <w:rFonts w:hint="eastAsia"/>
          <w:color w:val="000000"/>
          <w:sz w:val="32"/>
          <w:szCs w:val="32"/>
          <w:lang w:val="en-US" w:eastAsia="zh-CN"/>
        </w:rPr>
        <w:t>2200</w:t>
      </w:r>
      <w:r>
        <w:rPr>
          <w:rFonts w:hint="eastAsia"/>
          <w:color w:val="000000"/>
          <w:sz w:val="32"/>
          <w:szCs w:val="32"/>
        </w:rPr>
        <w:t>米、桥涵3座，概算投资5</w:t>
      </w:r>
      <w:r>
        <w:rPr>
          <w:color w:val="000000"/>
          <w:sz w:val="32"/>
          <w:szCs w:val="32"/>
        </w:rPr>
        <w:t>000</w:t>
      </w:r>
      <w:r>
        <w:rPr>
          <w:rFonts w:hint="eastAsia"/>
          <w:color w:val="000000"/>
          <w:sz w:val="32"/>
          <w:szCs w:val="32"/>
        </w:rPr>
        <w:t>万元。</w:t>
      </w:r>
    </w:p>
    <w:p w14:paraId="2A7A46F2">
      <w:pPr>
        <w:tabs>
          <w:tab w:val="left" w:pos="756"/>
        </w:tabs>
        <w:ind w:firstLine="640" w:firstLineChars="200"/>
        <w:jc w:val="left"/>
        <w:rPr>
          <w:color w:val="000000"/>
          <w:sz w:val="32"/>
          <w:szCs w:val="32"/>
        </w:rPr>
      </w:pPr>
      <w:r>
        <w:rPr>
          <w:rFonts w:hint="eastAsia"/>
          <w:color w:val="000000"/>
          <w:sz w:val="32"/>
          <w:szCs w:val="32"/>
        </w:rPr>
        <w:t>②综合配套设施建设：核心区规划建设用地面积1</w:t>
      </w:r>
      <w:r>
        <w:rPr>
          <w:color w:val="000000"/>
          <w:sz w:val="32"/>
          <w:szCs w:val="32"/>
        </w:rPr>
        <w:t>0.49</w:t>
      </w:r>
      <w:r>
        <w:rPr>
          <w:rFonts w:hint="eastAsia"/>
          <w:color w:val="000000"/>
          <w:sz w:val="32"/>
          <w:szCs w:val="32"/>
        </w:rPr>
        <w:t>公顷，总建筑面积1</w:t>
      </w:r>
      <w:r>
        <w:rPr>
          <w:color w:val="000000"/>
          <w:sz w:val="32"/>
          <w:szCs w:val="32"/>
        </w:rPr>
        <w:t>01000</w:t>
      </w:r>
      <w:r>
        <w:rPr>
          <w:rFonts w:hint="eastAsia"/>
          <w:color w:val="000000"/>
          <w:sz w:val="32"/>
          <w:szCs w:val="32"/>
        </w:rPr>
        <w:t>平方米。主要内容包括：</w:t>
      </w:r>
    </w:p>
    <w:p w14:paraId="695043F7">
      <w:pPr>
        <w:pStyle w:val="18"/>
        <w:numPr>
          <w:ilvl w:val="0"/>
          <w:numId w:val="5"/>
        </w:numPr>
        <w:tabs>
          <w:tab w:val="left" w:pos="756"/>
        </w:tabs>
        <w:ind w:firstLineChars="0"/>
        <w:jc w:val="left"/>
        <w:rPr>
          <w:color w:val="000000"/>
          <w:sz w:val="32"/>
          <w:szCs w:val="32"/>
        </w:rPr>
      </w:pPr>
      <w:r>
        <w:rPr>
          <w:rFonts w:hint="eastAsia"/>
          <w:color w:val="000000"/>
          <w:sz w:val="32"/>
          <w:szCs w:val="32"/>
        </w:rPr>
        <w:t>拟建</w:t>
      </w:r>
      <w:r>
        <w:rPr>
          <w:rFonts w:hint="eastAsia"/>
          <w:color w:val="000000"/>
          <w:sz w:val="32"/>
          <w:szCs w:val="32"/>
          <w:lang w:val="en-US" w:eastAsia="zh-CN"/>
        </w:rPr>
        <w:t>2</w:t>
      </w:r>
      <w:r>
        <w:rPr>
          <w:rFonts w:hint="eastAsia"/>
          <w:color w:val="000000"/>
          <w:sz w:val="32"/>
          <w:szCs w:val="32"/>
        </w:rPr>
        <w:t>个公共收费停车场，合计面积</w:t>
      </w:r>
      <w:r>
        <w:rPr>
          <w:rFonts w:hint="eastAsia"/>
          <w:color w:val="000000"/>
          <w:sz w:val="32"/>
          <w:szCs w:val="32"/>
          <w:lang w:eastAsia="zh-CN"/>
        </w:rPr>
        <w:t>约</w:t>
      </w:r>
      <w:r>
        <w:rPr>
          <w:rFonts w:hint="eastAsia"/>
          <w:color w:val="000000"/>
          <w:sz w:val="32"/>
          <w:szCs w:val="32"/>
        </w:rPr>
        <w:t>6</w:t>
      </w:r>
      <w:r>
        <w:rPr>
          <w:rFonts w:hint="eastAsia"/>
          <w:color w:val="000000"/>
          <w:sz w:val="32"/>
          <w:szCs w:val="32"/>
          <w:lang w:eastAsia="zh-CN"/>
        </w:rPr>
        <w:t>万</w:t>
      </w:r>
      <w:r>
        <w:rPr>
          <w:rFonts w:hint="eastAsia"/>
          <w:color w:val="000000"/>
          <w:sz w:val="32"/>
          <w:szCs w:val="32"/>
        </w:rPr>
        <w:t>平米，规划停车位1</w:t>
      </w:r>
      <w:r>
        <w:rPr>
          <w:color w:val="000000"/>
          <w:sz w:val="32"/>
          <w:szCs w:val="32"/>
        </w:rPr>
        <w:t>850</w:t>
      </w:r>
      <w:r>
        <w:rPr>
          <w:rFonts w:hint="eastAsia"/>
          <w:color w:val="000000"/>
          <w:sz w:val="32"/>
          <w:szCs w:val="32"/>
        </w:rPr>
        <w:t>个；</w:t>
      </w:r>
    </w:p>
    <w:p w14:paraId="328DB75F">
      <w:pPr>
        <w:pStyle w:val="18"/>
        <w:numPr>
          <w:ilvl w:val="0"/>
          <w:numId w:val="5"/>
        </w:numPr>
        <w:tabs>
          <w:tab w:val="left" w:pos="756"/>
        </w:tabs>
        <w:ind w:firstLineChars="0"/>
        <w:jc w:val="left"/>
        <w:rPr>
          <w:color w:val="000000"/>
          <w:sz w:val="32"/>
          <w:szCs w:val="32"/>
        </w:rPr>
      </w:pPr>
      <w:r>
        <w:rPr>
          <w:rFonts w:hint="eastAsia"/>
          <w:color w:val="000000"/>
          <w:sz w:val="32"/>
          <w:szCs w:val="32"/>
        </w:rPr>
        <w:t>办公综合体建设，占地约3</w:t>
      </w:r>
      <w:r>
        <w:rPr>
          <w:color w:val="000000"/>
          <w:sz w:val="32"/>
          <w:szCs w:val="32"/>
        </w:rPr>
        <w:t>0</w:t>
      </w:r>
      <w:r>
        <w:rPr>
          <w:rFonts w:hint="eastAsia"/>
          <w:color w:val="000000"/>
          <w:sz w:val="32"/>
          <w:szCs w:val="32"/>
        </w:rPr>
        <w:t>亩，拟集餐饮、办公、休闲、公寓于一体，规划主楼建设面积8</w:t>
      </w:r>
      <w:r>
        <w:rPr>
          <w:color w:val="000000"/>
          <w:sz w:val="32"/>
          <w:szCs w:val="32"/>
        </w:rPr>
        <w:t>0000</w:t>
      </w:r>
      <w:r>
        <w:rPr>
          <w:rFonts w:hint="eastAsia"/>
          <w:color w:val="000000"/>
          <w:sz w:val="32"/>
          <w:szCs w:val="32"/>
        </w:rPr>
        <w:t>平方米，附属建筑面积1</w:t>
      </w:r>
      <w:r>
        <w:rPr>
          <w:color w:val="000000"/>
          <w:sz w:val="32"/>
          <w:szCs w:val="32"/>
        </w:rPr>
        <w:t>000</w:t>
      </w:r>
      <w:r>
        <w:rPr>
          <w:rFonts w:hint="eastAsia"/>
          <w:color w:val="000000"/>
          <w:sz w:val="32"/>
          <w:szCs w:val="32"/>
        </w:rPr>
        <w:t>平方米，绿化面积3</w:t>
      </w:r>
      <w:r>
        <w:rPr>
          <w:color w:val="000000"/>
          <w:sz w:val="32"/>
          <w:szCs w:val="32"/>
        </w:rPr>
        <w:t>000</w:t>
      </w:r>
      <w:r>
        <w:rPr>
          <w:rFonts w:hint="eastAsia"/>
          <w:color w:val="000000"/>
          <w:sz w:val="32"/>
          <w:szCs w:val="32"/>
        </w:rPr>
        <w:t>平方米，硬化面积1</w:t>
      </w:r>
      <w:r>
        <w:rPr>
          <w:color w:val="000000"/>
          <w:sz w:val="32"/>
          <w:szCs w:val="32"/>
        </w:rPr>
        <w:t>4000</w:t>
      </w:r>
      <w:r>
        <w:rPr>
          <w:rFonts w:hint="eastAsia"/>
          <w:color w:val="000000"/>
          <w:sz w:val="32"/>
          <w:szCs w:val="32"/>
        </w:rPr>
        <w:t>平方米，设有停车位2</w:t>
      </w:r>
      <w:r>
        <w:rPr>
          <w:color w:val="000000"/>
          <w:sz w:val="32"/>
          <w:szCs w:val="32"/>
        </w:rPr>
        <w:t>50</w:t>
      </w:r>
      <w:r>
        <w:rPr>
          <w:rFonts w:hint="eastAsia"/>
          <w:color w:val="000000"/>
          <w:sz w:val="32"/>
          <w:szCs w:val="32"/>
        </w:rPr>
        <w:t>个；</w:t>
      </w:r>
    </w:p>
    <w:p w14:paraId="71BBB968">
      <w:pPr>
        <w:pStyle w:val="18"/>
        <w:numPr>
          <w:ilvl w:val="0"/>
          <w:numId w:val="5"/>
        </w:numPr>
        <w:tabs>
          <w:tab w:val="left" w:pos="756"/>
        </w:tabs>
        <w:ind w:firstLineChars="0"/>
        <w:jc w:val="left"/>
        <w:rPr>
          <w:color w:val="000000"/>
          <w:sz w:val="32"/>
          <w:szCs w:val="32"/>
        </w:rPr>
      </w:pPr>
      <w:r>
        <w:rPr>
          <w:rFonts w:hint="eastAsia"/>
          <w:color w:val="000000"/>
          <w:sz w:val="32"/>
          <w:szCs w:val="32"/>
        </w:rPr>
        <w:t>高铁站及长途汽车站建筑，占地约3</w:t>
      </w:r>
      <w:r>
        <w:rPr>
          <w:color w:val="000000"/>
          <w:sz w:val="32"/>
          <w:szCs w:val="32"/>
        </w:rPr>
        <w:t>0</w:t>
      </w:r>
      <w:r>
        <w:rPr>
          <w:rFonts w:hint="eastAsia"/>
          <w:color w:val="000000"/>
          <w:sz w:val="32"/>
          <w:szCs w:val="32"/>
        </w:rPr>
        <w:t>亩，其中高铁站建筑面积1</w:t>
      </w:r>
      <w:r>
        <w:rPr>
          <w:color w:val="000000"/>
          <w:sz w:val="32"/>
          <w:szCs w:val="32"/>
        </w:rPr>
        <w:t>0000</w:t>
      </w:r>
      <w:r>
        <w:rPr>
          <w:rFonts w:hint="eastAsia"/>
          <w:color w:val="000000"/>
          <w:sz w:val="32"/>
          <w:szCs w:val="32"/>
        </w:rPr>
        <w:t>平方米，长途汽车站建筑面积1</w:t>
      </w:r>
      <w:r>
        <w:rPr>
          <w:color w:val="000000"/>
          <w:sz w:val="32"/>
          <w:szCs w:val="32"/>
        </w:rPr>
        <w:t>0000</w:t>
      </w:r>
      <w:r>
        <w:rPr>
          <w:rFonts w:hint="eastAsia"/>
          <w:color w:val="000000"/>
          <w:sz w:val="32"/>
          <w:szCs w:val="32"/>
        </w:rPr>
        <w:t>平方米。</w:t>
      </w:r>
    </w:p>
    <w:tbl>
      <w:tblPr>
        <w:tblStyle w:val="29"/>
        <w:tblW w:w="8637" w:type="dxa"/>
        <w:tblInd w:w="0" w:type="dxa"/>
        <w:tblBorders>
          <w:top w:val="single" w:color="7F7F7F" w:sz="4" w:space="0"/>
          <w:left w:val="none" w:color="auto" w:sz="0" w:space="0"/>
          <w:bottom w:val="single" w:color="7F7F7F"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37"/>
      </w:tblGrid>
      <w:tr w14:paraId="35D2BA2E">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atLeast"/>
        </w:trPr>
        <w:tc>
          <w:tcPr>
            <w:tcW w:w="8637" w:type="dxa"/>
          </w:tcPr>
          <w:p w14:paraId="08B8D527">
            <w:pPr>
              <w:jc w:val="center"/>
              <w:rPr>
                <w:rFonts w:ascii="楷体" w:hAnsi="楷体" w:eastAsia="楷体"/>
                <w:b w:val="0"/>
                <w:bCs w:val="0"/>
                <w:color w:val="000000"/>
                <w:sz w:val="32"/>
                <w:szCs w:val="32"/>
              </w:rPr>
            </w:pPr>
            <w:r>
              <w:rPr>
                <w:rFonts w:hint="eastAsia" w:ascii="楷体" w:hAnsi="楷体" w:eastAsia="楷体"/>
                <w:b w:val="0"/>
                <w:bCs w:val="0"/>
                <w:color w:val="000000"/>
                <w:sz w:val="32"/>
                <w:szCs w:val="32"/>
              </w:rPr>
              <w:t>表4乳山市“十四五”铁路建设项目</w:t>
            </w:r>
          </w:p>
        </w:tc>
      </w:tr>
      <w:tr w14:paraId="67C0A687">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6" w:hRule="atLeast"/>
        </w:trPr>
        <w:tc>
          <w:tcPr>
            <w:tcW w:w="8637" w:type="dxa"/>
          </w:tcPr>
          <w:p w14:paraId="5AB60AAF">
            <w:pPr>
              <w:numPr>
                <w:ilvl w:val="0"/>
                <w:numId w:val="1"/>
              </w:numPr>
              <w:rPr>
                <w:rFonts w:eastAsia="楷体"/>
                <w:b w:val="0"/>
                <w:bCs w:val="0"/>
                <w:color w:val="000000"/>
                <w:sz w:val="28"/>
                <w:szCs w:val="28"/>
              </w:rPr>
            </w:pPr>
            <w:r>
              <w:rPr>
                <w:rFonts w:hint="eastAsia" w:eastAsia="楷体"/>
                <w:color w:val="000000"/>
                <w:sz w:val="28"/>
                <w:szCs w:val="28"/>
              </w:rPr>
              <w:t>普通铁路</w:t>
            </w:r>
          </w:p>
          <w:p w14:paraId="3043BF12">
            <w:pPr>
              <w:pStyle w:val="18"/>
              <w:numPr>
                <w:ilvl w:val="0"/>
                <w:numId w:val="6"/>
              </w:numPr>
              <w:ind w:firstLineChars="0"/>
              <w:rPr>
                <w:rFonts w:eastAsia="楷体"/>
                <w:color w:val="000000"/>
                <w:sz w:val="28"/>
                <w:szCs w:val="28"/>
              </w:rPr>
            </w:pPr>
            <w:r>
              <w:rPr>
                <w:rFonts w:hint="eastAsia" w:eastAsia="楷体"/>
                <w:color w:val="000000"/>
                <w:sz w:val="28"/>
                <w:szCs w:val="28"/>
              </w:rPr>
              <w:t>建设桃威铁路电气化改造工程</w:t>
            </w:r>
          </w:p>
          <w:p w14:paraId="11D183A1">
            <w:pPr>
              <w:pStyle w:val="18"/>
              <w:numPr>
                <w:ilvl w:val="0"/>
                <w:numId w:val="6"/>
              </w:numPr>
              <w:ind w:firstLineChars="0"/>
              <w:rPr>
                <w:rFonts w:eastAsia="楷体"/>
                <w:color w:val="000000"/>
                <w:sz w:val="28"/>
                <w:szCs w:val="28"/>
              </w:rPr>
            </w:pPr>
            <w:r>
              <w:rPr>
                <w:rFonts w:hint="eastAsia" w:eastAsia="楷体"/>
                <w:color w:val="000000"/>
                <w:sz w:val="28"/>
                <w:szCs w:val="28"/>
              </w:rPr>
              <w:t>实施乳山口港疏港铁路工程</w:t>
            </w:r>
          </w:p>
          <w:p w14:paraId="6F8110A9">
            <w:pPr>
              <w:pStyle w:val="18"/>
              <w:numPr>
                <w:ilvl w:val="0"/>
                <w:numId w:val="6"/>
              </w:numPr>
              <w:ind w:firstLineChars="0"/>
              <w:rPr>
                <w:rFonts w:eastAsia="楷体"/>
                <w:color w:val="000000"/>
                <w:sz w:val="28"/>
                <w:szCs w:val="28"/>
              </w:rPr>
            </w:pPr>
            <w:r>
              <w:rPr>
                <w:rFonts w:hint="eastAsia" w:eastAsia="楷体"/>
                <w:color w:val="000000"/>
                <w:sz w:val="28"/>
                <w:szCs w:val="28"/>
              </w:rPr>
              <w:t>恒邦化工园区铁路专用线工程</w:t>
            </w:r>
          </w:p>
          <w:p w14:paraId="48CCC667">
            <w:pPr>
              <w:numPr>
                <w:ilvl w:val="0"/>
                <w:numId w:val="1"/>
              </w:numPr>
              <w:rPr>
                <w:rFonts w:eastAsia="楷体"/>
                <w:b w:val="0"/>
                <w:bCs w:val="0"/>
                <w:color w:val="000000"/>
                <w:sz w:val="28"/>
                <w:szCs w:val="28"/>
              </w:rPr>
            </w:pPr>
            <w:r>
              <w:rPr>
                <w:rFonts w:hint="eastAsia" w:eastAsia="楷体"/>
                <w:color w:val="000000"/>
                <w:sz w:val="28"/>
                <w:szCs w:val="28"/>
              </w:rPr>
              <w:t>高速铁路</w:t>
            </w:r>
          </w:p>
          <w:p w14:paraId="37E2BD2D">
            <w:pPr>
              <w:numPr>
                <w:ilvl w:val="0"/>
                <w:numId w:val="7"/>
              </w:numPr>
              <w:ind w:left="360" w:firstLine="420" w:firstLineChars="150"/>
              <w:rPr>
                <w:rFonts w:eastAsia="楷体"/>
                <w:color w:val="000000"/>
                <w:sz w:val="28"/>
                <w:szCs w:val="28"/>
              </w:rPr>
            </w:pPr>
            <w:r>
              <w:rPr>
                <w:rFonts w:hint="eastAsia" w:eastAsia="楷体"/>
                <w:color w:val="000000"/>
                <w:sz w:val="28"/>
                <w:szCs w:val="28"/>
              </w:rPr>
              <w:t>建设莱荣高铁</w:t>
            </w:r>
          </w:p>
          <w:p w14:paraId="540635BB">
            <w:pPr>
              <w:numPr>
                <w:ilvl w:val="0"/>
                <w:numId w:val="7"/>
              </w:numPr>
              <w:ind w:left="360" w:firstLine="420" w:firstLineChars="150"/>
              <w:rPr>
                <w:rFonts w:eastAsia="楷体"/>
                <w:color w:val="000000"/>
                <w:sz w:val="28"/>
                <w:szCs w:val="28"/>
              </w:rPr>
            </w:pPr>
            <w:r>
              <w:rPr>
                <w:rFonts w:hint="eastAsia" w:eastAsia="楷体"/>
                <w:color w:val="000000"/>
                <w:sz w:val="28"/>
                <w:szCs w:val="28"/>
              </w:rPr>
              <w:t>建设高铁接驳公交场站</w:t>
            </w:r>
          </w:p>
          <w:p w14:paraId="374B32FF">
            <w:pPr>
              <w:numPr>
                <w:ilvl w:val="0"/>
                <w:numId w:val="1"/>
              </w:numPr>
              <w:rPr>
                <w:rFonts w:eastAsia="楷体"/>
                <w:b w:val="0"/>
                <w:bCs w:val="0"/>
                <w:color w:val="000000"/>
                <w:sz w:val="28"/>
                <w:szCs w:val="28"/>
              </w:rPr>
            </w:pPr>
            <w:r>
              <w:rPr>
                <w:rFonts w:hint="eastAsia" w:eastAsia="楷体"/>
                <w:color w:val="000000"/>
                <w:sz w:val="28"/>
                <w:szCs w:val="28"/>
              </w:rPr>
              <w:t>高铁片区</w:t>
            </w:r>
          </w:p>
          <w:p w14:paraId="1A67FE8B">
            <w:pPr>
              <w:tabs>
                <w:tab w:val="left" w:pos="312"/>
              </w:tabs>
              <w:ind w:firstLine="840" w:firstLineChars="300"/>
              <w:rPr>
                <w:rFonts w:eastAsia="楷体"/>
                <w:b w:val="0"/>
                <w:bCs w:val="0"/>
                <w:color w:val="000000"/>
                <w:sz w:val="28"/>
                <w:szCs w:val="28"/>
              </w:rPr>
            </w:pPr>
            <w:r>
              <w:rPr>
                <w:rFonts w:hint="eastAsia" w:eastAsia="楷体"/>
                <w:color w:val="000000"/>
                <w:sz w:val="28"/>
                <w:szCs w:val="28"/>
              </w:rPr>
              <w:t>1. 基础设施建设</w:t>
            </w:r>
          </w:p>
          <w:p w14:paraId="10662420">
            <w:pPr>
              <w:tabs>
                <w:tab w:val="left" w:pos="312"/>
              </w:tabs>
              <w:ind w:firstLine="840" w:firstLineChars="300"/>
              <w:rPr>
                <w:rFonts w:eastAsia="楷体"/>
                <w:color w:val="000000"/>
                <w:sz w:val="28"/>
                <w:szCs w:val="28"/>
              </w:rPr>
            </w:pPr>
            <w:r>
              <w:rPr>
                <w:rFonts w:eastAsia="楷体"/>
                <w:color w:val="000000"/>
                <w:sz w:val="28"/>
                <w:szCs w:val="28"/>
              </w:rPr>
              <w:t>2</w:t>
            </w:r>
            <w:r>
              <w:rPr>
                <w:rFonts w:hint="eastAsia" w:eastAsia="楷体"/>
                <w:color w:val="000000"/>
                <w:sz w:val="28"/>
                <w:szCs w:val="28"/>
              </w:rPr>
              <w:t>.</w:t>
            </w:r>
            <w:r>
              <w:rPr>
                <w:rFonts w:eastAsia="楷体"/>
                <w:color w:val="000000"/>
                <w:sz w:val="28"/>
                <w:szCs w:val="28"/>
              </w:rPr>
              <w:t xml:space="preserve"> </w:t>
            </w:r>
            <w:r>
              <w:rPr>
                <w:rFonts w:hint="eastAsia" w:eastAsia="楷体"/>
                <w:color w:val="000000"/>
                <w:sz w:val="28"/>
                <w:szCs w:val="28"/>
              </w:rPr>
              <w:t>综合配套设施建设</w:t>
            </w:r>
          </w:p>
        </w:tc>
      </w:tr>
    </w:tbl>
    <w:p w14:paraId="29FFC922">
      <w:pPr>
        <w:spacing w:line="360" w:lineRule="auto"/>
        <w:ind w:firstLine="640" w:firstLineChars="200"/>
        <w:rPr>
          <w:color w:val="000000"/>
          <w:sz w:val="32"/>
          <w:szCs w:val="32"/>
        </w:rPr>
      </w:pPr>
      <w:r>
        <w:rPr>
          <w:rFonts w:hint="eastAsia"/>
          <w:color w:val="000000"/>
          <w:sz w:val="32"/>
          <w:szCs w:val="32"/>
        </w:rPr>
        <w:t>在“交通强国，铁路先行”的大战略背景下，加快发展乳山市铁路建设，逐渐转移客货运输方式，提高铁路货运比例，调整货物运输结构，积极开展智慧物流技术应用，促进高铁与快递物流联动发展，打造高效地铁路运输“最后一公里”系统，形成干支有效衔接、多式高效联运的现代铁路集疏运系统，促进经济社会的快速发展。</w:t>
      </w:r>
    </w:p>
    <w:p w14:paraId="2533BADA">
      <w:pPr>
        <w:pStyle w:val="21"/>
        <w:rPr>
          <w:color w:val="000000"/>
          <w:sz w:val="32"/>
        </w:rPr>
      </w:pPr>
      <w:bookmarkStart w:id="43" w:name="_Toc89371385"/>
      <w:r>
        <w:rPr>
          <w:color w:val="000000"/>
          <w:sz w:val="32"/>
        </w:rPr>
        <w:t>4.推动港</w:t>
      </w:r>
      <w:r>
        <w:rPr>
          <w:rFonts w:hint="eastAsia"/>
          <w:color w:val="000000"/>
          <w:sz w:val="32"/>
        </w:rPr>
        <w:t>口</w:t>
      </w:r>
      <w:r>
        <w:rPr>
          <w:color w:val="000000"/>
          <w:sz w:val="32"/>
        </w:rPr>
        <w:t>综合发展</w:t>
      </w:r>
      <w:bookmarkEnd w:id="43"/>
    </w:p>
    <w:p w14:paraId="5BA0A4D6">
      <w:pPr>
        <w:spacing w:line="360" w:lineRule="auto"/>
        <w:ind w:firstLine="640" w:firstLineChars="200"/>
        <w:rPr>
          <w:color w:val="000000"/>
          <w:sz w:val="32"/>
          <w:szCs w:val="32"/>
        </w:rPr>
      </w:pPr>
      <w:r>
        <w:rPr>
          <w:rFonts w:hint="eastAsia"/>
          <w:color w:val="000000"/>
          <w:sz w:val="32"/>
          <w:szCs w:val="32"/>
        </w:rPr>
        <w:t>港口是陆海统筹、走向世界的重要支点，整合优化沿海的港口资源，提升全市港口建设现代化水平，推动陆海联动、港产城融合，对于打造高效、协同、智慧、绿色、通达、联动的综合立体交通网络有不可替代的作用。“十四五”期间，发展</w:t>
      </w:r>
      <w:r>
        <w:rPr>
          <w:color w:val="000000"/>
          <w:sz w:val="32"/>
          <w:szCs w:val="32"/>
        </w:rPr>
        <w:t>具备装卸储运、中转换装、运输组织、现代物流、临港工业、商贸信息、综合服务等主要功能</w:t>
      </w:r>
      <w:r>
        <w:rPr>
          <w:rFonts w:hint="eastAsia"/>
          <w:color w:val="000000"/>
          <w:sz w:val="32"/>
          <w:szCs w:val="32"/>
        </w:rPr>
        <w:t>的港航工程，以提质、降本、增效为导向，推动港口物流一体化、集装化、社会化、智能化发展，不断提高智慧化水平，借力互联网、大数据、云计算等新技术、新业态、新模式，</w:t>
      </w:r>
      <w:r>
        <w:rPr>
          <w:color w:val="000000"/>
          <w:sz w:val="32"/>
          <w:szCs w:val="32"/>
        </w:rPr>
        <w:t>加快建设世界一流的海洋港口</w:t>
      </w:r>
      <w:r>
        <w:rPr>
          <w:rFonts w:hint="eastAsia"/>
          <w:color w:val="000000"/>
          <w:sz w:val="32"/>
          <w:szCs w:val="32"/>
        </w:rPr>
        <w:t>。</w:t>
      </w:r>
    </w:p>
    <w:p w14:paraId="46E4F6C7">
      <w:pPr>
        <w:spacing w:line="360" w:lineRule="auto"/>
        <w:rPr>
          <w:color w:val="000000"/>
          <w:sz w:val="32"/>
          <w:szCs w:val="32"/>
        </w:rPr>
      </w:pPr>
      <w:r>
        <w:rPr>
          <w:rFonts w:hint="eastAsia"/>
          <w:color w:val="000000"/>
          <w:sz w:val="32"/>
          <w:szCs w:val="32"/>
        </w:rPr>
        <w:t>（1）建设目标</w:t>
      </w:r>
    </w:p>
    <w:p w14:paraId="69D98FE3">
      <w:pPr>
        <w:spacing w:line="360" w:lineRule="auto"/>
        <w:ind w:firstLine="640" w:firstLineChars="200"/>
        <w:rPr>
          <w:color w:val="000000"/>
          <w:sz w:val="32"/>
          <w:szCs w:val="32"/>
        </w:rPr>
      </w:pPr>
      <w:r>
        <w:rPr>
          <w:rFonts w:hint="eastAsia"/>
          <w:bCs/>
          <w:color w:val="000000"/>
          <w:sz w:val="32"/>
          <w:szCs w:val="32"/>
          <w:lang w:val="zh-TW"/>
        </w:rPr>
        <w:t>乳山口港</w:t>
      </w:r>
      <w:r>
        <w:rPr>
          <w:color w:val="000000"/>
          <w:sz w:val="32"/>
          <w:szCs w:val="32"/>
        </w:rPr>
        <w:t>三面环山、水面平稳，是天然的避风良港</w:t>
      </w:r>
      <w:r>
        <w:rPr>
          <w:rFonts w:hint="eastAsia"/>
          <w:color w:val="000000"/>
          <w:sz w:val="32"/>
          <w:szCs w:val="32"/>
        </w:rPr>
        <w:t>，</w:t>
      </w:r>
      <w:r>
        <w:rPr>
          <w:color w:val="000000"/>
          <w:sz w:val="32"/>
          <w:szCs w:val="32"/>
        </w:rPr>
        <w:t>1993年经省政府批准为二类开放口岸，</w:t>
      </w:r>
      <w:r>
        <w:rPr>
          <w:rFonts w:hint="eastAsia"/>
          <w:bCs/>
          <w:color w:val="000000"/>
          <w:sz w:val="32"/>
          <w:szCs w:val="32"/>
          <w:lang w:val="zh-TW"/>
        </w:rPr>
        <w:t>2017年6月成功</w:t>
      </w:r>
      <w:r>
        <w:rPr>
          <w:rFonts w:hint="eastAsia"/>
          <w:color w:val="000000"/>
          <w:sz w:val="32"/>
          <w:szCs w:val="32"/>
          <w:lang w:val="zh-TW"/>
        </w:rPr>
        <w:t>获批国家</w:t>
      </w:r>
      <w:r>
        <w:rPr>
          <w:rFonts w:hint="eastAsia"/>
          <w:color w:val="000000"/>
          <w:sz w:val="32"/>
          <w:szCs w:val="32"/>
        </w:rPr>
        <w:t>一类开放口岸，正式迈入国际口岸行列。</w:t>
      </w:r>
      <w:r>
        <w:rPr>
          <w:color w:val="000000"/>
          <w:sz w:val="32"/>
          <w:szCs w:val="32"/>
        </w:rPr>
        <w:t>近期计划开通至上海、广州、泉州等国内和外贸内支线集装箱航线，至韩国、日本的国际海上客货运输、集装箱航线</w:t>
      </w:r>
      <w:r>
        <w:rPr>
          <w:rFonts w:hint="eastAsia"/>
          <w:color w:val="000000"/>
          <w:sz w:val="32"/>
          <w:szCs w:val="32"/>
        </w:rPr>
        <w:t>，并</w:t>
      </w:r>
      <w:r>
        <w:rPr>
          <w:rFonts w:hint="eastAsia" w:ascii="宋体" w:hAnsi="宋体" w:cs="宋体"/>
          <w:color w:val="000000"/>
          <w:sz w:val="32"/>
          <w:szCs w:val="32"/>
        </w:rPr>
        <w:t>坚持“产城融合”理念，规划 3 平方公里的港口功能区，打造具有装卸储运、现代物流、临港工业和城市生活等功能的新型港区</w:t>
      </w:r>
      <w:r>
        <w:rPr>
          <w:color w:val="000000"/>
          <w:sz w:val="32"/>
          <w:szCs w:val="32"/>
        </w:rPr>
        <w:t>。</w:t>
      </w:r>
    </w:p>
    <w:p w14:paraId="5CDFA4A6">
      <w:pPr>
        <w:ind w:firstLine="640" w:firstLineChars="200"/>
        <w:rPr>
          <w:rFonts w:ascii="宋体" w:hAnsi="宋体" w:cs="宋体"/>
          <w:color w:val="000000"/>
          <w:sz w:val="32"/>
          <w:szCs w:val="32"/>
        </w:rPr>
      </w:pPr>
      <w:r>
        <w:rPr>
          <w:rFonts w:hint="eastAsia" w:ascii="宋体" w:hAnsi="宋体" w:cs="宋体"/>
          <w:color w:val="000000"/>
          <w:sz w:val="32"/>
          <w:szCs w:val="32"/>
        </w:rPr>
        <w:t>加大招商引资力度，对大乳山作业区旅游码头和宫家岛旅游码头进行开发，助力沿海岸线旅游产业的发展。</w:t>
      </w:r>
    </w:p>
    <w:p w14:paraId="74F1060D">
      <w:pPr>
        <w:spacing w:line="360" w:lineRule="auto"/>
        <w:ind w:firstLine="640" w:firstLineChars="200"/>
        <w:rPr>
          <w:rFonts w:ascii="宋体" w:hAnsi="宋体" w:cs="宋体"/>
          <w:color w:val="000000"/>
          <w:sz w:val="32"/>
          <w:szCs w:val="32"/>
        </w:rPr>
      </w:pPr>
      <w:r>
        <w:rPr>
          <w:rFonts w:hint="eastAsia" w:ascii="宋体" w:hAnsi="宋体" w:cs="宋体"/>
          <w:color w:val="000000"/>
          <w:sz w:val="32"/>
          <w:szCs w:val="32"/>
        </w:rPr>
        <w:t>协助乳山船厂对前沿码头岸线进行开发，助力海洋船舶制造产业发展。</w:t>
      </w:r>
    </w:p>
    <w:p w14:paraId="0CE31C8E">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）重点任务</w:t>
      </w:r>
    </w:p>
    <w:p w14:paraId="031F710F">
      <w:pPr>
        <w:spacing w:line="360" w:lineRule="auto"/>
        <w:ind w:firstLine="640" w:firstLineChars="200"/>
        <w:rPr>
          <w:rFonts w:ascii="华文仿宋" w:hAnsi="华文仿宋" w:eastAsia="华文仿宋" w:cs="华文仿宋"/>
          <w:color w:val="000000"/>
          <w:sz w:val="32"/>
          <w:szCs w:val="32"/>
        </w:rPr>
      </w:pPr>
      <w:r>
        <w:rPr>
          <w:rFonts w:hint="eastAsia" w:ascii="宋体" w:hAnsi="宋体" w:cs="宋体"/>
          <w:color w:val="000000"/>
          <w:sz w:val="32"/>
          <w:szCs w:val="32"/>
        </w:rPr>
        <w:t>实施威海港乳山口港区 5#6#泊位工程，如图14所示。主要建设2万吨级通用泊位2个，码头岸线长420米，后方堆场、道路总面积约11万</w:t>
      </w:r>
      <w:r>
        <w:rPr>
          <w:rFonts w:hint="eastAsia" w:ascii="宋体" w:hAnsi="宋体" w:cs="宋体"/>
          <w:color w:val="000000"/>
          <w:position w:val="-4"/>
          <w:sz w:val="32"/>
          <w:szCs w:val="32"/>
        </w:rPr>
        <w:object>
          <v:shape id="_x0000_i1025" o:spt="75" type="#_x0000_t75" style="height:20.55pt;width:22.45pt;" o:ole="t" filled="f" stroked="f" coordsize="21600,21600">
            <v:path/>
            <v:fill on="f" focussize="0,0"/>
            <v:stroke on="f" joinstyle="miter"/>
            <v:imagedata r:id="rId26" embosscolor="#FFFFFF" o:title=""/>
            <o:lock v:ext="edit" aspectratio="t"/>
            <w10:wrap type="none"/>
            <w10:anchorlock/>
          </v:shape>
          <o:OLEObject Type="Embed" ProgID="Equation.KSEE3" ShapeID="_x0000_i1025" DrawAspect="Content" ObjectID="_1468075725" r:id="rId25">
            <o:LockedField>false</o:LockedField>
          </o:OLEObject>
        </w:object>
      </w:r>
      <w:r>
        <w:rPr>
          <w:rFonts w:hint="eastAsia" w:ascii="宋体" w:hAnsi="宋体" w:cs="宋体"/>
          <w:color w:val="000000"/>
          <w:sz w:val="32"/>
          <w:szCs w:val="32"/>
        </w:rPr>
        <w:t xml:space="preserve"> ，实现乳山港口岸开放后的集装箱装卸、堆存功能</w:t>
      </w:r>
      <w:r>
        <w:rPr>
          <w:rFonts w:hint="eastAsia"/>
          <w:color w:val="000000"/>
          <w:sz w:val="32"/>
          <w:szCs w:val="32"/>
        </w:rPr>
        <w:t>。</w:t>
      </w:r>
    </w:p>
    <w:p w14:paraId="247F8EA3">
      <w:pPr>
        <w:spacing w:line="360" w:lineRule="auto"/>
        <w:jc w:val="center"/>
        <w:rPr>
          <w:rFonts w:ascii="华文仿宋" w:hAnsi="华文仿宋" w:eastAsia="华文仿宋" w:cs="华文仿宋"/>
          <w:color w:val="000000"/>
          <w:sz w:val="32"/>
          <w:szCs w:val="32"/>
        </w:rPr>
      </w:pPr>
      <w:r>
        <w:rPr>
          <w:rFonts w:ascii="华文仿宋" w:hAnsi="华文仿宋" w:eastAsia="华文仿宋" w:cs="华文仿宋"/>
          <w:color w:val="000000"/>
          <w:sz w:val="32"/>
          <w:szCs w:val="32"/>
        </w:rPr>
        <w:drawing>
          <wp:inline distT="0" distB="0" distL="0" distR="0">
            <wp:extent cx="3780155" cy="2608580"/>
            <wp:effectExtent l="0" t="0" r="10795" b="1270"/>
            <wp:docPr id="1044" name="图片 6" descr="2c985a88ffcb2d48146ecc7221528bf"/>
            <wp:cNvGraphicFramePr/>
            <a:graphic xmlns:a="http://schemas.openxmlformats.org/drawingml/2006/main">
              <a:graphicData uri="http://schemas.openxmlformats.org/drawingml/2006/picture">
                <pic:pic xmlns:pic="http://schemas.openxmlformats.org/drawingml/2006/picture">
                  <pic:nvPicPr>
                    <pic:cNvPr id="1044" name="图片 6" descr="2c985a88ffcb2d48146ecc7221528bf"/>
                    <pic:cNvPicPr/>
                  </pic:nvPicPr>
                  <pic:blipFill>
                    <a:blip r:embed="rId27" cstate="print"/>
                    <a:srcRect r="308" b="8139"/>
                    <a:stretch>
                      <a:fillRect/>
                    </a:stretch>
                  </pic:blipFill>
                  <pic:spPr>
                    <a:xfrm>
                      <a:off x="0" y="0"/>
                      <a:ext cx="3780155" cy="2608580"/>
                    </a:xfrm>
                    <a:prstGeom prst="rect">
                      <a:avLst/>
                    </a:prstGeom>
                  </pic:spPr>
                </pic:pic>
              </a:graphicData>
            </a:graphic>
          </wp:inline>
        </w:drawing>
      </w:r>
    </w:p>
    <w:p w14:paraId="5347EBFE">
      <w:pPr>
        <w:spacing w:line="360" w:lineRule="auto"/>
        <w:jc w:val="center"/>
        <w:rPr>
          <w:rFonts w:ascii="华文仿宋" w:hAnsi="华文仿宋" w:eastAsia="华文仿宋" w:cs="华文仿宋"/>
          <w:color w:val="000000"/>
          <w:sz w:val="32"/>
          <w:szCs w:val="32"/>
        </w:rPr>
      </w:pPr>
      <w:r>
        <w:rPr>
          <w:rFonts w:hint="eastAsia" w:eastAsia="楷体"/>
          <w:color w:val="000000"/>
          <w:sz w:val="24"/>
        </w:rPr>
        <w:t>图</w:t>
      </w:r>
      <w:r>
        <w:rPr>
          <w:rFonts w:eastAsia="楷体"/>
          <w:color w:val="000000"/>
          <w:sz w:val="24"/>
        </w:rPr>
        <w:t>14</w:t>
      </w:r>
      <w:r>
        <w:rPr>
          <w:rFonts w:hint="eastAsia" w:eastAsia="楷体"/>
          <w:color w:val="000000"/>
          <w:sz w:val="24"/>
        </w:rPr>
        <w:t>(a)</w:t>
      </w:r>
      <w:r>
        <w:rPr>
          <w:rFonts w:eastAsia="楷体"/>
          <w:color w:val="000000"/>
          <w:sz w:val="24"/>
        </w:rPr>
        <w:t xml:space="preserve"> </w:t>
      </w:r>
      <w:r>
        <w:rPr>
          <w:rFonts w:hint="eastAsia" w:eastAsia="楷体"/>
          <w:color w:val="000000"/>
          <w:sz w:val="24"/>
        </w:rPr>
        <w:t>5#6#泊位设计效果图</w:t>
      </w:r>
    </w:p>
    <w:p w14:paraId="62DA0CF7">
      <w:pPr>
        <w:spacing w:line="360" w:lineRule="auto"/>
        <w:jc w:val="center"/>
        <w:rPr>
          <w:color w:val="000000"/>
          <w:sz w:val="32"/>
          <w:szCs w:val="32"/>
        </w:rPr>
      </w:pPr>
      <w:r>
        <w:rPr>
          <w:color w:val="000000"/>
          <w:sz w:val="32"/>
          <w:szCs w:val="32"/>
        </w:rPr>
        <w:drawing>
          <wp:inline distT="0" distB="0" distL="0" distR="0">
            <wp:extent cx="4824095" cy="2962275"/>
            <wp:effectExtent l="0" t="0" r="14605" b="9525"/>
            <wp:docPr id="1045" name="图片 50"/>
            <wp:cNvGraphicFramePr/>
            <a:graphic xmlns:a="http://schemas.openxmlformats.org/drawingml/2006/main">
              <a:graphicData uri="http://schemas.openxmlformats.org/drawingml/2006/picture">
                <pic:pic xmlns:pic="http://schemas.openxmlformats.org/drawingml/2006/picture">
                  <pic:nvPicPr>
                    <pic:cNvPr id="1045" name="图片 50"/>
                    <pic:cNvPicPr/>
                  </pic:nvPicPr>
                  <pic:blipFill>
                    <a:blip r:embed="rId28" cstate="print"/>
                    <a:srcRect t="13121"/>
                    <a:stretch>
                      <a:fillRect/>
                    </a:stretch>
                  </pic:blipFill>
                  <pic:spPr>
                    <a:xfrm>
                      <a:off x="0" y="0"/>
                      <a:ext cx="4824095" cy="2962275"/>
                    </a:xfrm>
                    <a:prstGeom prst="rect">
                      <a:avLst/>
                    </a:prstGeom>
                    <a:ln>
                      <a:noFill/>
                    </a:ln>
                  </pic:spPr>
                </pic:pic>
              </a:graphicData>
            </a:graphic>
          </wp:inline>
        </w:drawing>
      </w:r>
    </w:p>
    <w:p w14:paraId="60C1B55D">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14</w:t>
      </w:r>
      <w:r>
        <w:rPr>
          <w:rFonts w:hint="eastAsia" w:eastAsia="楷体"/>
          <w:color w:val="000000"/>
          <w:sz w:val="24"/>
        </w:rPr>
        <w:t>(b)</w:t>
      </w:r>
      <w:r>
        <w:rPr>
          <w:rFonts w:eastAsia="楷体"/>
          <w:color w:val="000000"/>
          <w:sz w:val="24"/>
        </w:rPr>
        <w:t xml:space="preserve"> </w:t>
      </w:r>
      <w:r>
        <w:rPr>
          <w:rFonts w:hint="eastAsia" w:eastAsia="楷体"/>
          <w:color w:val="000000"/>
          <w:sz w:val="24"/>
        </w:rPr>
        <w:t>乳山口港扩</w:t>
      </w:r>
      <w:r>
        <w:rPr>
          <w:rFonts w:hint="eastAsia" w:ascii="楷体" w:hAnsi="楷体" w:eastAsia="楷体"/>
          <w:color w:val="000000"/>
          <w:sz w:val="24"/>
        </w:rPr>
        <w:t>建</w:t>
      </w:r>
      <w:r>
        <w:rPr>
          <w:rFonts w:hint="eastAsia" w:eastAsia="楷体"/>
          <w:color w:val="000000"/>
          <w:sz w:val="24"/>
        </w:rPr>
        <w:t>项目区位图</w:t>
      </w:r>
    </w:p>
    <w:p w14:paraId="4D0DDA26">
      <w:pPr>
        <w:spacing w:line="360" w:lineRule="auto"/>
        <w:ind w:left="105" w:leftChars="50" w:firstLine="480" w:firstLineChars="150"/>
        <w:rPr>
          <w:color w:val="000000"/>
          <w:sz w:val="32"/>
          <w:szCs w:val="32"/>
        </w:rPr>
      </w:pPr>
      <w:r>
        <w:rPr>
          <w:rFonts w:hint="eastAsia" w:ascii="宋体" w:hAnsi="宋体" w:cs="宋体"/>
          <w:color w:val="000000"/>
          <w:sz w:val="32"/>
          <w:szCs w:val="32"/>
        </w:rPr>
        <w:t>乳山市目前现有陆岛码头已远远不能满足海岛经济发展及客货运输增长的需要，</w:t>
      </w:r>
      <w:r>
        <w:rPr>
          <w:rFonts w:hint="eastAsia"/>
          <w:color w:val="000000"/>
          <w:sz w:val="32"/>
          <w:szCs w:val="32"/>
        </w:rPr>
        <w:t>为避免陆岛交通基础设施建设滞后而制约海岛经济的发展，保障海岛居民安全出行。将</w:t>
      </w:r>
      <w:r>
        <w:rPr>
          <w:color w:val="000000"/>
          <w:sz w:val="32"/>
          <w:szCs w:val="32"/>
        </w:rPr>
        <w:t>南黄岛</w:t>
      </w:r>
      <w:r>
        <w:rPr>
          <w:rFonts w:hint="eastAsia"/>
          <w:color w:val="000000"/>
          <w:sz w:val="32"/>
          <w:szCs w:val="32"/>
        </w:rPr>
        <w:t>—</w:t>
      </w:r>
      <w:r>
        <w:rPr>
          <w:color w:val="000000"/>
          <w:sz w:val="32"/>
          <w:szCs w:val="32"/>
        </w:rPr>
        <w:t>挂子场</w:t>
      </w:r>
      <w:r>
        <w:rPr>
          <w:rFonts w:hint="eastAsia"/>
          <w:color w:val="000000"/>
          <w:sz w:val="32"/>
          <w:szCs w:val="32"/>
        </w:rPr>
        <w:t>、小青岛—旗杆石陆岛交通</w:t>
      </w:r>
      <w:r>
        <w:rPr>
          <w:color w:val="000000"/>
          <w:sz w:val="32"/>
          <w:szCs w:val="32"/>
        </w:rPr>
        <w:t>码头在原有300GT基础上各扩建</w:t>
      </w:r>
      <w:r>
        <w:rPr>
          <w:rFonts w:hint="eastAsia"/>
          <w:color w:val="000000"/>
          <w:sz w:val="32"/>
          <w:szCs w:val="32"/>
        </w:rPr>
        <w:t>为</w:t>
      </w:r>
      <w:r>
        <w:rPr>
          <w:color w:val="000000"/>
          <w:sz w:val="32"/>
          <w:szCs w:val="32"/>
        </w:rPr>
        <w:t>500GT客货滚装泊位。</w:t>
      </w:r>
    </w:p>
    <w:tbl>
      <w:tblPr>
        <w:tblStyle w:val="29"/>
        <w:tblW w:w="8637" w:type="dxa"/>
        <w:tblInd w:w="0" w:type="dxa"/>
        <w:tblBorders>
          <w:top w:val="single" w:color="7F7F7F" w:sz="4" w:space="0"/>
          <w:left w:val="none" w:color="auto" w:sz="0" w:space="0"/>
          <w:bottom w:val="single" w:color="7F7F7F"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37"/>
      </w:tblGrid>
      <w:tr w14:paraId="4BFC8699">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atLeast"/>
        </w:trPr>
        <w:tc>
          <w:tcPr>
            <w:tcW w:w="8637" w:type="dxa"/>
          </w:tcPr>
          <w:p w14:paraId="538CD5FE">
            <w:pPr>
              <w:jc w:val="center"/>
              <w:rPr>
                <w:rFonts w:ascii="楷体" w:hAnsi="楷体" w:eastAsia="楷体"/>
                <w:b w:val="0"/>
                <w:bCs w:val="0"/>
                <w:color w:val="000000"/>
                <w:sz w:val="32"/>
                <w:szCs w:val="32"/>
              </w:rPr>
            </w:pPr>
            <w:r>
              <w:rPr>
                <w:rFonts w:hint="eastAsia" w:ascii="楷体" w:hAnsi="楷体" w:eastAsia="楷体"/>
                <w:b w:val="0"/>
                <w:bCs w:val="0"/>
                <w:color w:val="000000"/>
                <w:sz w:val="32"/>
                <w:szCs w:val="32"/>
              </w:rPr>
              <w:t>表5乳山市“十四五”港航建设项目</w:t>
            </w:r>
          </w:p>
        </w:tc>
      </w:tr>
      <w:tr w14:paraId="28D67EDA">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PrEx>
        <w:trPr>
          <w:trHeight w:val="1159" w:hRule="atLeast"/>
        </w:trPr>
        <w:tc>
          <w:tcPr>
            <w:tcW w:w="8637" w:type="dxa"/>
          </w:tcPr>
          <w:p w14:paraId="0E73321B">
            <w:pPr>
              <w:ind w:left="720"/>
              <w:rPr>
                <w:rFonts w:eastAsia="楷体"/>
                <w:color w:val="000000"/>
                <w:sz w:val="28"/>
                <w:szCs w:val="28"/>
              </w:rPr>
            </w:pPr>
            <w:r>
              <w:rPr>
                <w:rFonts w:eastAsia="楷体"/>
                <w:color w:val="000000"/>
                <w:sz w:val="28"/>
                <w:szCs w:val="28"/>
              </w:rPr>
              <w:t>1.</w:t>
            </w:r>
            <w:r>
              <w:rPr>
                <w:rFonts w:hint="eastAsia" w:eastAsia="楷体"/>
                <w:color w:val="000000"/>
                <w:sz w:val="28"/>
                <w:szCs w:val="28"/>
              </w:rPr>
              <w:t>实施</w:t>
            </w:r>
            <w:r>
              <w:rPr>
                <w:rFonts w:eastAsia="楷体"/>
                <w:color w:val="000000"/>
                <w:sz w:val="28"/>
                <w:szCs w:val="28"/>
              </w:rPr>
              <w:t>港区5#6#泊位工程，2万吨级泊位2个</w:t>
            </w:r>
          </w:p>
          <w:p w14:paraId="0C1FFBC3">
            <w:pPr>
              <w:ind w:left="720"/>
              <w:rPr>
                <w:rFonts w:eastAsia="楷体"/>
                <w:color w:val="000000"/>
                <w:sz w:val="28"/>
                <w:szCs w:val="28"/>
              </w:rPr>
            </w:pPr>
            <w:r>
              <w:rPr>
                <w:rFonts w:hint="eastAsia" w:eastAsia="楷体"/>
                <w:color w:val="000000"/>
                <w:sz w:val="28"/>
                <w:szCs w:val="28"/>
              </w:rPr>
              <w:t>2</w:t>
            </w:r>
            <w:r>
              <w:rPr>
                <w:rFonts w:eastAsia="楷体"/>
                <w:color w:val="000000"/>
                <w:sz w:val="28"/>
                <w:szCs w:val="28"/>
              </w:rPr>
              <w:t>.</w:t>
            </w:r>
            <w:r>
              <w:rPr>
                <w:rFonts w:hint="eastAsia" w:eastAsia="楷体"/>
                <w:color w:val="000000"/>
                <w:sz w:val="28"/>
                <w:szCs w:val="28"/>
              </w:rPr>
              <w:t>实施</w:t>
            </w:r>
            <w:r>
              <w:rPr>
                <w:rFonts w:eastAsia="楷体"/>
                <w:color w:val="000000"/>
                <w:sz w:val="28"/>
                <w:szCs w:val="28"/>
              </w:rPr>
              <w:t>南黄岛-挂子场陆岛交通码头扩建工程，2个，500吨级</w:t>
            </w:r>
          </w:p>
          <w:p w14:paraId="65B76B76">
            <w:pPr>
              <w:ind w:left="720"/>
              <w:rPr>
                <w:rFonts w:ascii="楷体" w:hAnsi="楷体" w:eastAsia="楷体"/>
                <w:color w:val="000000"/>
                <w:sz w:val="28"/>
                <w:szCs w:val="28"/>
              </w:rPr>
            </w:pPr>
            <w:r>
              <w:rPr>
                <w:rFonts w:hint="eastAsia" w:eastAsia="楷体"/>
                <w:color w:val="000000"/>
                <w:sz w:val="28"/>
                <w:szCs w:val="28"/>
              </w:rPr>
              <w:t>3</w:t>
            </w:r>
            <w:r>
              <w:rPr>
                <w:rFonts w:eastAsia="楷体"/>
                <w:color w:val="000000"/>
                <w:sz w:val="28"/>
                <w:szCs w:val="28"/>
              </w:rPr>
              <w:t>.</w:t>
            </w:r>
            <w:r>
              <w:rPr>
                <w:rFonts w:hint="eastAsia" w:eastAsia="楷体"/>
                <w:color w:val="000000"/>
                <w:sz w:val="28"/>
                <w:szCs w:val="28"/>
              </w:rPr>
              <w:t>实施</w:t>
            </w:r>
            <w:r>
              <w:rPr>
                <w:rFonts w:eastAsia="楷体"/>
                <w:color w:val="000000"/>
                <w:sz w:val="28"/>
                <w:szCs w:val="28"/>
              </w:rPr>
              <w:t>小青岛-旗杆石陆岛交通码头扩建工程，2个</w:t>
            </w:r>
            <w:r>
              <w:rPr>
                <w:rFonts w:hint="eastAsia" w:eastAsia="楷体"/>
                <w:color w:val="000000"/>
                <w:sz w:val="28"/>
                <w:szCs w:val="28"/>
              </w:rPr>
              <w:t>，</w:t>
            </w:r>
            <w:r>
              <w:rPr>
                <w:rFonts w:eastAsia="楷体"/>
                <w:color w:val="000000"/>
                <w:sz w:val="28"/>
                <w:szCs w:val="28"/>
              </w:rPr>
              <w:t>500吨级</w:t>
            </w:r>
          </w:p>
        </w:tc>
      </w:tr>
    </w:tbl>
    <w:p w14:paraId="43C9CB98">
      <w:pPr>
        <w:pStyle w:val="21"/>
        <w:rPr>
          <w:color w:val="000000"/>
          <w:sz w:val="32"/>
        </w:rPr>
      </w:pPr>
      <w:bookmarkStart w:id="44" w:name="_Toc89371386"/>
      <w:r>
        <w:rPr>
          <w:color w:val="000000"/>
          <w:sz w:val="32"/>
        </w:rPr>
        <w:t>5.打造</w:t>
      </w:r>
      <w:r>
        <w:rPr>
          <w:rFonts w:hint="eastAsia"/>
          <w:color w:val="000000"/>
          <w:sz w:val="32"/>
        </w:rPr>
        <w:t>乳山</w:t>
      </w:r>
      <w:r>
        <w:rPr>
          <w:color w:val="000000"/>
          <w:sz w:val="32"/>
        </w:rPr>
        <w:t>特色机场</w:t>
      </w:r>
      <w:bookmarkEnd w:id="44"/>
    </w:p>
    <w:p w14:paraId="43A946E8">
      <w:pPr>
        <w:spacing w:line="360" w:lineRule="auto"/>
        <w:rPr>
          <w:color w:val="000000"/>
          <w:sz w:val="32"/>
          <w:szCs w:val="32"/>
        </w:rPr>
      </w:pPr>
      <w:r>
        <w:rPr>
          <w:rFonts w:hint="eastAsia"/>
          <w:color w:val="000000"/>
          <w:sz w:val="32"/>
          <w:szCs w:val="32"/>
        </w:rPr>
        <w:t xml:space="preserve"> </w:t>
      </w:r>
      <w:r>
        <w:rPr>
          <w:color w:val="000000"/>
          <w:sz w:val="32"/>
          <w:szCs w:val="32"/>
        </w:rPr>
        <w:t xml:space="preserve">   </w:t>
      </w:r>
      <w:r>
        <w:rPr>
          <w:rFonts w:hint="eastAsia"/>
          <w:color w:val="000000"/>
          <w:sz w:val="32"/>
          <w:szCs w:val="32"/>
        </w:rPr>
        <w:t>充分发挥民航在安全、快捷、舒适、灵活等方面的优势，有效衔接铁路、公路、港口等交通运输方式，兼顾公平与效率，形成层次清晰、布局合理、功能完善的运输机场战略格局，提高机场的服务水平。扩大乳山市航空运输服务的覆盖面，统筹考虑经济社会和各种交通方式的衔接，适应快速增长的航空需求，满足广大市民便捷出行需要。</w:t>
      </w:r>
    </w:p>
    <w:p w14:paraId="4CDBB322">
      <w:pPr>
        <w:spacing w:line="360" w:lineRule="auto"/>
        <w:rPr>
          <w:color w:val="000000"/>
          <w:sz w:val="32"/>
          <w:szCs w:val="32"/>
        </w:rPr>
      </w:pPr>
      <w:r>
        <w:rPr>
          <w:rFonts w:hint="eastAsia"/>
          <w:color w:val="000000"/>
          <w:sz w:val="32"/>
          <w:szCs w:val="32"/>
        </w:rPr>
        <w:t>（1）建设目标</w:t>
      </w:r>
    </w:p>
    <w:p w14:paraId="7C714698">
      <w:pPr>
        <w:spacing w:line="360" w:lineRule="auto"/>
        <w:ind w:firstLine="640" w:firstLineChars="200"/>
        <w:rPr>
          <w:color w:val="000000"/>
          <w:sz w:val="32"/>
          <w:szCs w:val="32"/>
        </w:rPr>
      </w:pPr>
      <w:r>
        <w:rPr>
          <w:color w:val="000000"/>
          <w:sz w:val="32"/>
          <w:szCs w:val="32"/>
        </w:rPr>
        <w:t>到2025年底，建成</w:t>
      </w:r>
      <w:r>
        <w:rPr>
          <w:rFonts w:hint="eastAsia"/>
          <w:color w:val="000000"/>
          <w:sz w:val="32"/>
          <w:szCs w:val="32"/>
        </w:rPr>
        <w:t>具有</w:t>
      </w:r>
      <w:r>
        <w:rPr>
          <w:color w:val="000000"/>
          <w:sz w:val="32"/>
          <w:szCs w:val="32"/>
        </w:rPr>
        <w:t>区域特色</w:t>
      </w:r>
      <w:r>
        <w:rPr>
          <w:rFonts w:hint="eastAsia"/>
          <w:color w:val="000000"/>
          <w:sz w:val="32"/>
          <w:szCs w:val="32"/>
        </w:rPr>
        <w:t>的通用</w:t>
      </w:r>
      <w:r>
        <w:rPr>
          <w:color w:val="000000"/>
          <w:sz w:val="32"/>
          <w:szCs w:val="32"/>
        </w:rPr>
        <w:t>机场。</w:t>
      </w:r>
    </w:p>
    <w:p w14:paraId="7FC498D7">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）重点任务</w:t>
      </w:r>
    </w:p>
    <w:p w14:paraId="6E576333">
      <w:pPr>
        <w:spacing w:line="360" w:lineRule="auto"/>
        <w:ind w:firstLine="640" w:firstLineChars="200"/>
        <w:rPr>
          <w:bCs/>
          <w:color w:val="000000"/>
          <w:sz w:val="32"/>
          <w:szCs w:val="32"/>
          <w:lang w:val="zh-TW"/>
        </w:rPr>
      </w:pPr>
      <w:r>
        <w:rPr>
          <w:rFonts w:hint="eastAsia"/>
          <w:bCs/>
          <w:color w:val="000000"/>
          <w:sz w:val="32"/>
          <w:szCs w:val="32"/>
          <w:lang w:val="zh-TW"/>
        </w:rPr>
        <w:t>1）通用机场及航空小镇</w:t>
      </w:r>
    </w:p>
    <w:p w14:paraId="1A9FC91D">
      <w:pPr>
        <w:spacing w:line="560" w:lineRule="exact"/>
        <w:ind w:firstLine="640" w:firstLineChars="200"/>
        <w:rPr>
          <w:color w:val="000000"/>
          <w:sz w:val="32"/>
          <w:szCs w:val="32"/>
        </w:rPr>
      </w:pPr>
      <w:r>
        <w:rPr>
          <w:rFonts w:hint="eastAsia"/>
          <w:bCs/>
          <w:color w:val="000000"/>
          <w:sz w:val="32"/>
          <w:szCs w:val="32"/>
          <w:lang w:val="zh-TW"/>
        </w:rPr>
        <w:t>概述：位于威海市南海新区和银滩旅游度假区之间，紧邻沿海观光路，定位为A类通用机场，</w:t>
      </w:r>
      <w:r>
        <w:rPr>
          <w:rFonts w:hint="eastAsia"/>
          <w:bCs/>
          <w:color w:val="000000"/>
          <w:sz w:val="32"/>
          <w:szCs w:val="32"/>
        </w:rPr>
        <w:t>距</w:t>
      </w:r>
      <w:r>
        <w:rPr>
          <w:rFonts w:hint="eastAsia"/>
          <w:bCs/>
          <w:color w:val="000000"/>
          <w:sz w:val="32"/>
          <w:szCs w:val="32"/>
          <w:lang w:val="zh-TW"/>
        </w:rPr>
        <w:t>高速公路出入口5Km,周围现已整理出建设用地10000余亩，是本地区地理位置最为优越的区城，项目开发将会对乳山市和半岛南岸沿海经济带极大的推动</w:t>
      </w:r>
      <w:r>
        <w:rPr>
          <w:rFonts w:hint="eastAsia"/>
          <w:color w:val="000000"/>
          <w:sz w:val="32"/>
          <w:szCs w:val="32"/>
        </w:rPr>
        <w:t>，择机实施。</w:t>
      </w:r>
    </w:p>
    <w:p w14:paraId="01FAF0DA">
      <w:pPr>
        <w:spacing w:line="560" w:lineRule="exact"/>
        <w:ind w:firstLine="640" w:firstLineChars="200"/>
        <w:rPr>
          <w:bCs/>
          <w:color w:val="000000"/>
          <w:sz w:val="32"/>
          <w:szCs w:val="32"/>
          <w:lang w:val="zh-TW"/>
        </w:rPr>
      </w:pPr>
      <w:r>
        <w:rPr>
          <w:rFonts w:hint="eastAsia"/>
          <w:bCs/>
          <w:color w:val="000000"/>
          <w:sz w:val="32"/>
          <w:szCs w:val="32"/>
          <w:lang w:val="zh-TW"/>
        </w:rPr>
        <w:t>主要功能和服务范围：乳山通用机场定位为A类通用机场，建设主要用于飞行培训、高端旅游、工农业生产、</w:t>
      </w:r>
      <w:r>
        <w:rPr>
          <w:rFonts w:hint="eastAsia"/>
          <w:bCs/>
          <w:color w:val="000000"/>
          <w:sz w:val="32"/>
          <w:szCs w:val="32"/>
          <w:lang w:val="zh-TW" w:eastAsia="zh-CN"/>
        </w:rPr>
        <w:t>应急救援</w:t>
      </w:r>
      <w:r>
        <w:rPr>
          <w:rFonts w:hint="eastAsia"/>
          <w:bCs/>
          <w:color w:val="000000"/>
          <w:sz w:val="32"/>
          <w:szCs w:val="32"/>
          <w:lang w:val="zh-TW"/>
        </w:rPr>
        <w:t>等航空活动，以及通用航空器生产、销售、托管、维修、租赁等航空服务和部分航空俱乐部业务的航空小镇。还可根据具体情况逐步开展小型公务飞行、空中游览、航拍航摄等通用航空飞行业务。</w:t>
      </w:r>
    </w:p>
    <w:p w14:paraId="2D96A686">
      <w:pPr>
        <w:spacing w:line="560" w:lineRule="exact"/>
        <w:ind w:firstLine="640" w:firstLineChars="200"/>
        <w:rPr>
          <w:bCs/>
          <w:color w:val="000000"/>
          <w:sz w:val="32"/>
          <w:szCs w:val="32"/>
          <w:lang w:val="zh-TW" w:bidi="zh-CN"/>
        </w:rPr>
      </w:pPr>
      <w:r>
        <w:rPr>
          <w:rFonts w:hint="eastAsia"/>
          <w:bCs/>
          <w:color w:val="000000"/>
          <w:sz w:val="32"/>
          <w:szCs w:val="32"/>
          <w:lang w:val="zh-TW"/>
        </w:rPr>
        <w:t>2）</w:t>
      </w:r>
      <w:r>
        <w:rPr>
          <w:rFonts w:hint="eastAsia"/>
          <w:bCs/>
          <w:color w:val="000000"/>
          <w:sz w:val="32"/>
          <w:szCs w:val="32"/>
          <w:lang w:val="zh-TW" w:bidi="zh-CN"/>
        </w:rPr>
        <w:t>无人驾驶航空试验基地（试验区）</w:t>
      </w:r>
    </w:p>
    <w:p w14:paraId="12A5646E">
      <w:pPr>
        <w:spacing w:line="560" w:lineRule="exact"/>
        <w:ind w:firstLine="640" w:firstLineChars="200"/>
        <w:rPr>
          <w:bCs/>
          <w:color w:val="000000"/>
          <w:sz w:val="32"/>
          <w:szCs w:val="32"/>
          <w:lang w:bidi="zh-CN"/>
        </w:rPr>
      </w:pPr>
      <w:r>
        <w:rPr>
          <w:rFonts w:hint="eastAsia"/>
          <w:bCs/>
          <w:color w:val="000000"/>
          <w:sz w:val="32"/>
          <w:szCs w:val="32"/>
          <w:lang w:bidi="zh-CN"/>
        </w:rPr>
        <w:t>①城市场景运行试验区</w:t>
      </w:r>
    </w:p>
    <w:p w14:paraId="4D8A9147">
      <w:pPr>
        <w:spacing w:line="560" w:lineRule="exact"/>
        <w:ind w:firstLine="640" w:firstLineChars="200"/>
        <w:rPr>
          <w:bCs/>
          <w:color w:val="000000"/>
          <w:sz w:val="32"/>
          <w:szCs w:val="32"/>
          <w:lang w:bidi="zh-CN"/>
        </w:rPr>
      </w:pPr>
      <w:r>
        <w:rPr>
          <w:rFonts w:hint="eastAsia"/>
          <w:bCs/>
          <w:color w:val="000000"/>
          <w:sz w:val="32"/>
          <w:szCs w:val="32"/>
          <w:lang w:bidi="zh-CN"/>
        </w:rPr>
        <w:t>在城市超视距运行场景下，以探索5G、物联网等先进技术运用为重点，构建应急保障、医疗救援、物流配送、城市巡查等市场应用生态。</w:t>
      </w:r>
    </w:p>
    <w:p w14:paraId="6F895BF1">
      <w:pPr>
        <w:spacing w:line="560" w:lineRule="exact"/>
        <w:ind w:firstLine="640" w:firstLineChars="200"/>
        <w:rPr>
          <w:bCs/>
          <w:color w:val="000000"/>
          <w:sz w:val="32"/>
          <w:szCs w:val="32"/>
          <w:lang w:bidi="zh-CN"/>
        </w:rPr>
      </w:pPr>
      <w:r>
        <w:rPr>
          <w:rFonts w:hint="eastAsia"/>
          <w:bCs/>
          <w:color w:val="000000"/>
          <w:sz w:val="32"/>
          <w:szCs w:val="32"/>
          <w:lang w:bidi="zh-CN"/>
        </w:rPr>
        <w:t>②海岛场景运行试验区</w:t>
      </w:r>
    </w:p>
    <w:p w14:paraId="16ABE8F9">
      <w:pPr>
        <w:spacing w:line="560" w:lineRule="exact"/>
        <w:ind w:firstLine="640" w:firstLineChars="200"/>
        <w:rPr>
          <w:bCs/>
          <w:color w:val="000000"/>
          <w:sz w:val="32"/>
          <w:szCs w:val="32"/>
          <w:lang w:bidi="zh-CN"/>
        </w:rPr>
      </w:pPr>
      <w:r>
        <w:rPr>
          <w:rFonts w:hint="eastAsia"/>
          <w:bCs/>
          <w:color w:val="000000"/>
          <w:sz w:val="32"/>
          <w:szCs w:val="32"/>
          <w:lang w:bidi="zh-CN"/>
        </w:rPr>
        <w:t>在海岛湾区超视距场景下，以探索无人机空管运行技术和适航验证为重点，健全无人机运行技术体系。</w:t>
      </w:r>
    </w:p>
    <w:p w14:paraId="0A05C60D">
      <w:pPr>
        <w:spacing w:line="560" w:lineRule="exact"/>
        <w:ind w:firstLine="640" w:firstLineChars="200"/>
        <w:rPr>
          <w:bCs/>
          <w:color w:val="000000"/>
          <w:sz w:val="32"/>
          <w:szCs w:val="32"/>
          <w:lang w:bidi="zh-CN"/>
        </w:rPr>
      </w:pPr>
      <w:r>
        <w:rPr>
          <w:rFonts w:hint="eastAsia"/>
          <w:bCs/>
          <w:color w:val="000000"/>
          <w:sz w:val="32"/>
          <w:szCs w:val="32"/>
          <w:lang w:bidi="zh-CN"/>
        </w:rPr>
        <w:t>③支线物流运行试验区</w:t>
      </w:r>
    </w:p>
    <w:p w14:paraId="1C55E738">
      <w:pPr>
        <w:spacing w:line="560" w:lineRule="exact"/>
        <w:ind w:firstLine="640" w:firstLineChars="200"/>
        <w:rPr>
          <w:bCs/>
          <w:color w:val="000000"/>
          <w:sz w:val="32"/>
          <w:szCs w:val="32"/>
          <w:lang w:bidi="zh-CN"/>
        </w:rPr>
      </w:pPr>
      <w:r>
        <w:rPr>
          <w:rFonts w:hint="eastAsia"/>
          <w:bCs/>
          <w:color w:val="000000"/>
          <w:sz w:val="32"/>
          <w:szCs w:val="32"/>
          <w:lang w:bidi="zh-CN"/>
        </w:rPr>
        <w:t>在人口稀少超视距场景下，以探索无人机空管运行技术和适航验证为重点，健全无人机运行技术体系。</w:t>
      </w:r>
    </w:p>
    <w:p w14:paraId="08F7D26B">
      <w:pPr>
        <w:spacing w:line="360" w:lineRule="auto"/>
        <w:jc w:val="center"/>
        <w:rPr>
          <w:color w:val="000000"/>
          <w:sz w:val="32"/>
          <w:szCs w:val="32"/>
        </w:rPr>
      </w:pPr>
      <w:r>
        <w:rPr>
          <w:color w:val="000000"/>
          <w:sz w:val="32"/>
          <w:szCs w:val="32"/>
        </w:rPr>
        <w:drawing>
          <wp:inline distT="0" distB="0" distL="0" distR="0">
            <wp:extent cx="4795520" cy="3081655"/>
            <wp:effectExtent l="0" t="0" r="5080" b="4445"/>
            <wp:docPr id="1046" name="图片 51"/>
            <wp:cNvGraphicFramePr/>
            <a:graphic xmlns:a="http://schemas.openxmlformats.org/drawingml/2006/main">
              <a:graphicData uri="http://schemas.openxmlformats.org/drawingml/2006/picture">
                <pic:pic xmlns:pic="http://schemas.openxmlformats.org/drawingml/2006/picture">
                  <pic:nvPicPr>
                    <pic:cNvPr id="1046" name="图片 51"/>
                    <pic:cNvPicPr/>
                  </pic:nvPicPr>
                  <pic:blipFill>
                    <a:blip r:embed="rId29" cstate="print"/>
                    <a:srcRect t="9106"/>
                    <a:stretch>
                      <a:fillRect/>
                    </a:stretch>
                  </pic:blipFill>
                  <pic:spPr>
                    <a:xfrm>
                      <a:off x="0" y="0"/>
                      <a:ext cx="4795520" cy="3081655"/>
                    </a:xfrm>
                    <a:prstGeom prst="rect">
                      <a:avLst/>
                    </a:prstGeom>
                    <a:ln>
                      <a:noFill/>
                    </a:ln>
                  </pic:spPr>
                </pic:pic>
              </a:graphicData>
            </a:graphic>
          </wp:inline>
        </w:drawing>
      </w:r>
    </w:p>
    <w:p w14:paraId="34A406CC">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 xml:space="preserve">15 </w:t>
      </w:r>
      <w:r>
        <w:rPr>
          <w:rFonts w:hint="eastAsia" w:eastAsia="楷体"/>
          <w:color w:val="000000"/>
          <w:sz w:val="24"/>
        </w:rPr>
        <w:t>通用机场建设项目区位图</w:t>
      </w:r>
    </w:p>
    <w:p w14:paraId="73733EE7">
      <w:pPr>
        <w:pStyle w:val="21"/>
        <w:rPr>
          <w:color w:val="000000"/>
          <w:sz w:val="32"/>
        </w:rPr>
      </w:pPr>
      <w:bookmarkStart w:id="45" w:name="_Toc89371387"/>
      <w:r>
        <w:rPr>
          <w:color w:val="000000"/>
          <w:sz w:val="32"/>
        </w:rPr>
        <w:t>6.提升城</w:t>
      </w:r>
      <w:r>
        <w:rPr>
          <w:rFonts w:hint="eastAsia"/>
          <w:color w:val="000000"/>
          <w:sz w:val="32"/>
        </w:rPr>
        <w:t>乡</w:t>
      </w:r>
      <w:r>
        <w:rPr>
          <w:color w:val="000000"/>
          <w:sz w:val="32"/>
        </w:rPr>
        <w:t>公交服务水平</w:t>
      </w:r>
      <w:bookmarkEnd w:id="45"/>
    </w:p>
    <w:p w14:paraId="2E45D6CF">
      <w:pPr>
        <w:ind w:firstLine="640" w:firstLineChars="200"/>
        <w:rPr>
          <w:color w:val="000000"/>
          <w:sz w:val="32"/>
          <w:szCs w:val="32"/>
        </w:rPr>
      </w:pPr>
      <w:r>
        <w:rPr>
          <w:rFonts w:hint="eastAsia"/>
          <w:color w:val="000000"/>
          <w:sz w:val="32"/>
          <w:szCs w:val="32"/>
        </w:rPr>
        <w:t>建设畅通、高效、安全、便捷的综合交通网络是人民群众对于美好生活的需要。随着经济社会的快速发展，群众交通需求呈现出多元化、个性化、高品质的特征。面对新的交通需求，必须提高城乡公交服务的智能化、网络化、现代化水平，提高交通运输供给质量和效率，提供更高水平、更高质量的交通运输基本公共服务。在“十四五”期间，我市应立足于升级公交路权、保障公交场站、提升公交基础设施服务水平，提供多元化的、贴近市民需求的公交服务，持续改善群众的出行条件。实现由公交网络覆盖向公交需求响应的服务功能升级。</w:t>
      </w:r>
    </w:p>
    <w:p w14:paraId="56018BE8">
      <w:pPr>
        <w:spacing w:line="360" w:lineRule="auto"/>
        <w:rPr>
          <w:color w:val="000000"/>
          <w:sz w:val="32"/>
          <w:szCs w:val="32"/>
        </w:rPr>
      </w:pPr>
      <w:r>
        <w:rPr>
          <w:rFonts w:hint="eastAsia"/>
          <w:color w:val="000000"/>
          <w:sz w:val="32"/>
          <w:szCs w:val="32"/>
        </w:rPr>
        <w:t>（1）建设目标</w:t>
      </w:r>
    </w:p>
    <w:p w14:paraId="7E34A904">
      <w:pPr>
        <w:spacing w:line="360" w:lineRule="auto"/>
        <w:ind w:firstLine="640" w:firstLineChars="200"/>
        <w:rPr>
          <w:color w:val="000000"/>
          <w:sz w:val="32"/>
          <w:szCs w:val="32"/>
        </w:rPr>
      </w:pPr>
      <w:r>
        <w:rPr>
          <w:rFonts w:hint="eastAsia"/>
          <w:color w:val="000000"/>
          <w:sz w:val="32"/>
          <w:szCs w:val="32"/>
        </w:rPr>
        <w:t>在“十四五”期间，公共交通出行分担率达到2</w:t>
      </w:r>
      <w:r>
        <w:rPr>
          <w:color w:val="000000"/>
          <w:sz w:val="32"/>
          <w:szCs w:val="32"/>
        </w:rPr>
        <w:t>0%</w:t>
      </w:r>
      <w:r>
        <w:rPr>
          <w:rFonts w:hint="eastAsia"/>
          <w:color w:val="000000"/>
          <w:sz w:val="32"/>
          <w:szCs w:val="32"/>
        </w:rPr>
        <w:t>，中心城区公交站点500米服务覆盖率达到</w:t>
      </w:r>
      <w:r>
        <w:rPr>
          <w:color w:val="000000"/>
          <w:sz w:val="32"/>
          <w:szCs w:val="32"/>
        </w:rPr>
        <w:t>100</w:t>
      </w:r>
      <w:r>
        <w:rPr>
          <w:rFonts w:hint="eastAsia"/>
          <w:color w:val="000000"/>
          <w:sz w:val="32"/>
          <w:szCs w:val="32"/>
        </w:rPr>
        <w:t>%。完善城乡公交一体化设施及服务建设，建设定制公交体系。</w:t>
      </w:r>
    </w:p>
    <w:p w14:paraId="138FA7FF">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）重点任务</w:t>
      </w:r>
    </w:p>
    <w:p w14:paraId="15D25282">
      <w:pPr>
        <w:spacing w:line="360" w:lineRule="auto"/>
        <w:ind w:firstLine="640" w:firstLineChars="200"/>
        <w:rPr>
          <w:color w:val="000000"/>
          <w:sz w:val="32"/>
          <w:szCs w:val="32"/>
        </w:rPr>
      </w:pPr>
      <w:r>
        <w:rPr>
          <w:color w:val="000000"/>
          <w:sz w:val="32"/>
          <w:szCs w:val="32"/>
        </w:rPr>
        <w:t>随着城乡道路等交通基础设施建设日益完善，城乡居民出行需求日益增长，统筹协调城市与农村地区公共交通发展，构建城乡公共交通体系，对推进</w:t>
      </w:r>
      <w:r>
        <w:rPr>
          <w:rFonts w:hint="eastAsia"/>
          <w:color w:val="000000"/>
          <w:sz w:val="32"/>
          <w:szCs w:val="32"/>
        </w:rPr>
        <w:t>乳山市城乡</w:t>
      </w:r>
      <w:r>
        <w:rPr>
          <w:color w:val="000000"/>
          <w:sz w:val="32"/>
          <w:szCs w:val="32"/>
        </w:rPr>
        <w:t>公交基础设施一体化、经营管理一体化以及政策体制一体化，提高城乡公共交通服务水平，支撑和引导城乡一体化发展具有十分重要的现实意义。城乡交通一体化特征主要表现为整体性、衔接性、公平性和共享性。图16为城乡公交网络示意图。</w:t>
      </w:r>
    </w:p>
    <w:p w14:paraId="2226F4D6">
      <w:pPr>
        <w:widowControl/>
        <w:jc w:val="center"/>
        <w:rPr>
          <w:rFonts w:ascii="宋体" w:hAnsi="宋体" w:cs="宋体"/>
          <w:color w:val="000000"/>
          <w:kern w:val="0"/>
          <w:sz w:val="24"/>
        </w:rPr>
      </w:pPr>
      <w:r>
        <w:rPr>
          <w:rFonts w:ascii="宋体" w:hAnsi="宋体" w:cs="宋体"/>
          <w:color w:val="000000"/>
          <w:kern w:val="0"/>
          <w:sz w:val="24"/>
        </w:rPr>
        <w:drawing>
          <wp:inline distT="0" distB="0" distL="0" distR="0">
            <wp:extent cx="3495675" cy="3032125"/>
            <wp:effectExtent l="0" t="0" r="0" b="0"/>
            <wp:docPr id="1047" name="图片 1"/>
            <wp:cNvGraphicFramePr/>
            <a:graphic xmlns:a="http://schemas.openxmlformats.org/drawingml/2006/main">
              <a:graphicData uri="http://schemas.openxmlformats.org/drawingml/2006/picture">
                <pic:pic xmlns:pic="http://schemas.openxmlformats.org/drawingml/2006/picture">
                  <pic:nvPicPr>
                    <pic:cNvPr id="1047" name="图片 1"/>
                    <pic:cNvPicPr/>
                  </pic:nvPicPr>
                  <pic:blipFill>
                    <a:blip r:embed="rId30" cstate="print"/>
                    <a:srcRect/>
                    <a:stretch>
                      <a:fillRect/>
                    </a:stretch>
                  </pic:blipFill>
                  <pic:spPr>
                    <a:xfrm>
                      <a:off x="0" y="0"/>
                      <a:ext cx="3495675" cy="3032125"/>
                    </a:xfrm>
                    <a:prstGeom prst="rect">
                      <a:avLst/>
                    </a:prstGeom>
                    <a:ln>
                      <a:noFill/>
                    </a:ln>
                  </pic:spPr>
                </pic:pic>
              </a:graphicData>
            </a:graphic>
          </wp:inline>
        </w:drawing>
      </w:r>
    </w:p>
    <w:p w14:paraId="4D7EA2A7">
      <w:pPr>
        <w:spacing w:line="360" w:lineRule="auto"/>
        <w:jc w:val="center"/>
        <w:rPr>
          <w:rFonts w:eastAsia="楷体"/>
          <w:color w:val="000000"/>
          <w:sz w:val="24"/>
        </w:rPr>
      </w:pPr>
      <w:r>
        <w:rPr>
          <w:rFonts w:eastAsia="楷体"/>
          <w:color w:val="000000"/>
          <w:sz w:val="24"/>
        </w:rPr>
        <w:t>图16 城乡公交网络示意图</w:t>
      </w:r>
    </w:p>
    <w:p w14:paraId="17D072EF">
      <w:pPr>
        <w:spacing w:line="360" w:lineRule="auto"/>
        <w:ind w:firstLine="640" w:firstLineChars="200"/>
        <w:rPr>
          <w:color w:val="000000"/>
          <w:sz w:val="32"/>
          <w:szCs w:val="32"/>
        </w:rPr>
      </w:pPr>
      <w:r>
        <w:rPr>
          <w:rFonts w:hint="eastAsia"/>
          <w:color w:val="000000"/>
          <w:sz w:val="32"/>
          <w:szCs w:val="32"/>
        </w:rPr>
        <w:t>乳山市城乡公交实现线路网络布局一体化，</w:t>
      </w:r>
      <w:r>
        <w:rPr>
          <w:color w:val="000000"/>
          <w:sz w:val="32"/>
          <w:szCs w:val="32"/>
        </w:rPr>
        <w:t>即城乡客运网络统一构建，方便人们在各线路间换乘</w:t>
      </w:r>
      <w:r>
        <w:rPr>
          <w:rFonts w:hint="eastAsia"/>
          <w:color w:val="000000"/>
          <w:sz w:val="32"/>
          <w:szCs w:val="32"/>
        </w:rPr>
        <w:t>；</w:t>
      </w:r>
      <w:r>
        <w:rPr>
          <w:color w:val="000000"/>
          <w:sz w:val="32"/>
          <w:szCs w:val="32"/>
        </w:rPr>
        <w:t>运营管理一体化，即农村公交、城镇公交和城市公交由统一部门调度管理，满足城乡居民出行需求</w:t>
      </w:r>
      <w:r>
        <w:rPr>
          <w:rFonts w:hint="eastAsia"/>
          <w:color w:val="000000"/>
          <w:sz w:val="32"/>
          <w:szCs w:val="32"/>
        </w:rPr>
        <w:t>；</w:t>
      </w:r>
      <w:r>
        <w:rPr>
          <w:color w:val="000000"/>
          <w:sz w:val="32"/>
          <w:szCs w:val="32"/>
        </w:rPr>
        <w:t>政策一体化，即在优惠政策上通盘考虑，避免农村公交、城镇公交与城市公交优惠政策的二元化</w:t>
      </w:r>
      <w:r>
        <w:rPr>
          <w:rFonts w:hint="eastAsia"/>
          <w:color w:val="000000"/>
          <w:sz w:val="32"/>
          <w:szCs w:val="32"/>
        </w:rPr>
        <w:t>；</w:t>
      </w:r>
      <w:r>
        <w:rPr>
          <w:color w:val="000000"/>
          <w:sz w:val="32"/>
          <w:szCs w:val="32"/>
        </w:rPr>
        <w:t>基础设施建设的统一化，即统一规划、统一布局，避免各自为政</w:t>
      </w:r>
      <w:r>
        <w:rPr>
          <w:rFonts w:hint="eastAsia"/>
          <w:color w:val="000000"/>
          <w:sz w:val="32"/>
          <w:szCs w:val="32"/>
        </w:rPr>
        <w:t>；</w:t>
      </w:r>
      <w:r>
        <w:rPr>
          <w:color w:val="000000"/>
          <w:sz w:val="32"/>
          <w:szCs w:val="32"/>
        </w:rPr>
        <w:t>服务上的网络化和标准化，构建统一的服务网络。</w:t>
      </w:r>
      <w:r>
        <w:rPr>
          <w:rFonts w:hint="eastAsia"/>
          <w:color w:val="000000"/>
          <w:sz w:val="32"/>
          <w:szCs w:val="32"/>
        </w:rPr>
        <w:t>图17为</w:t>
      </w:r>
      <w:r>
        <w:rPr>
          <w:color w:val="000000"/>
          <w:sz w:val="32"/>
          <w:szCs w:val="32"/>
        </w:rPr>
        <w:t>城乡公交一体化内涵示意图</w:t>
      </w:r>
      <w:r>
        <w:rPr>
          <w:rFonts w:hint="eastAsia"/>
          <w:color w:val="000000"/>
          <w:sz w:val="32"/>
          <w:szCs w:val="32"/>
        </w:rPr>
        <w:t>。</w:t>
      </w:r>
    </w:p>
    <w:p w14:paraId="34F354C9">
      <w:pPr>
        <w:widowControl/>
        <w:jc w:val="center"/>
        <w:rPr>
          <w:rFonts w:ascii="宋体" w:hAnsi="宋体" w:cs="宋体"/>
          <w:color w:val="000000"/>
          <w:kern w:val="0"/>
          <w:sz w:val="24"/>
        </w:rPr>
      </w:pPr>
      <w:r>
        <w:rPr>
          <w:rFonts w:ascii="宋体" w:hAnsi="宋体" w:cs="宋体"/>
          <w:color w:val="000000"/>
          <w:kern w:val="0"/>
          <w:sz w:val="24"/>
        </w:rPr>
        <w:drawing>
          <wp:inline distT="0" distB="0" distL="0" distR="0">
            <wp:extent cx="3484880" cy="3030855"/>
            <wp:effectExtent l="0" t="0" r="635" b="0"/>
            <wp:docPr id="1048" name="图片 3"/>
            <wp:cNvGraphicFramePr/>
            <a:graphic xmlns:a="http://schemas.openxmlformats.org/drawingml/2006/main">
              <a:graphicData uri="http://schemas.openxmlformats.org/drawingml/2006/picture">
                <pic:pic xmlns:pic="http://schemas.openxmlformats.org/drawingml/2006/picture">
                  <pic:nvPicPr>
                    <pic:cNvPr id="1048" name="图片 3"/>
                    <pic:cNvPicPr/>
                  </pic:nvPicPr>
                  <pic:blipFill>
                    <a:blip r:embed="rId31" cstate="print"/>
                    <a:srcRect/>
                    <a:stretch>
                      <a:fillRect/>
                    </a:stretch>
                  </pic:blipFill>
                  <pic:spPr>
                    <a:xfrm>
                      <a:off x="0" y="0"/>
                      <a:ext cx="3485514" cy="3030855"/>
                    </a:xfrm>
                    <a:prstGeom prst="rect">
                      <a:avLst/>
                    </a:prstGeom>
                    <a:ln>
                      <a:noFill/>
                    </a:ln>
                  </pic:spPr>
                </pic:pic>
              </a:graphicData>
            </a:graphic>
          </wp:inline>
        </w:drawing>
      </w:r>
    </w:p>
    <w:p w14:paraId="29CA9C0F">
      <w:pPr>
        <w:spacing w:line="360" w:lineRule="auto"/>
        <w:jc w:val="center"/>
        <w:rPr>
          <w:rFonts w:eastAsia="楷体"/>
          <w:color w:val="000000"/>
          <w:sz w:val="24"/>
        </w:rPr>
      </w:pPr>
      <w:r>
        <w:rPr>
          <w:rFonts w:hint="eastAsia" w:eastAsia="楷体"/>
          <w:color w:val="000000"/>
          <w:sz w:val="24"/>
        </w:rPr>
        <w:t>图</w:t>
      </w:r>
      <w:r>
        <w:rPr>
          <w:rFonts w:eastAsia="楷体"/>
          <w:color w:val="000000"/>
          <w:sz w:val="24"/>
        </w:rPr>
        <w:t>17城乡公交一体化内涵示意图</w:t>
      </w:r>
    </w:p>
    <w:p w14:paraId="6E710FC2">
      <w:pPr>
        <w:spacing w:line="360" w:lineRule="auto"/>
        <w:ind w:firstLine="640" w:firstLineChars="200"/>
        <w:rPr>
          <w:color w:val="000000"/>
          <w:sz w:val="32"/>
          <w:szCs w:val="32"/>
        </w:rPr>
      </w:pPr>
      <w:r>
        <w:rPr>
          <w:rFonts w:hint="eastAsia"/>
          <w:color w:val="000000"/>
          <w:sz w:val="32"/>
          <w:szCs w:val="32"/>
        </w:rPr>
        <w:t>在城区加强定制公交体系建设。在定制公交服务中，</w:t>
      </w:r>
      <w:r>
        <w:rPr>
          <w:color w:val="000000"/>
          <w:sz w:val="32"/>
          <w:szCs w:val="32"/>
        </w:rPr>
        <w:t>乘客提出交通需求</w:t>
      </w:r>
      <w:r>
        <w:rPr>
          <w:rFonts w:hint="eastAsia"/>
          <w:color w:val="000000"/>
          <w:sz w:val="32"/>
          <w:szCs w:val="32"/>
        </w:rPr>
        <w:t>，</w:t>
      </w:r>
      <w:r>
        <w:rPr>
          <w:color w:val="000000"/>
          <w:sz w:val="32"/>
          <w:szCs w:val="32"/>
        </w:rPr>
        <w:t>在线填写信息、出行需求等表格</w:t>
      </w:r>
      <w:r>
        <w:rPr>
          <w:rFonts w:hint="eastAsia"/>
          <w:color w:val="000000"/>
          <w:sz w:val="32"/>
          <w:szCs w:val="32"/>
        </w:rPr>
        <w:t>，</w:t>
      </w:r>
      <w:r>
        <w:rPr>
          <w:color w:val="000000"/>
          <w:sz w:val="32"/>
          <w:szCs w:val="32"/>
        </w:rPr>
        <w:t>公交集团设计最优线路</w:t>
      </w:r>
      <w:r>
        <w:rPr>
          <w:rFonts w:hint="eastAsia"/>
          <w:color w:val="000000"/>
          <w:sz w:val="32"/>
          <w:szCs w:val="32"/>
        </w:rPr>
        <w:t>，</w:t>
      </w:r>
      <w:r>
        <w:rPr>
          <w:color w:val="000000"/>
          <w:sz w:val="32"/>
          <w:szCs w:val="32"/>
        </w:rPr>
        <w:t>在定制公交平台上招募乘客、预定座位、在线支付</w:t>
      </w:r>
      <w:r>
        <w:rPr>
          <w:rFonts w:hint="eastAsia"/>
          <w:color w:val="000000"/>
          <w:sz w:val="32"/>
          <w:szCs w:val="32"/>
        </w:rPr>
        <w:t>，最后公交公司</w:t>
      </w:r>
      <w:r>
        <w:rPr>
          <w:color w:val="000000"/>
          <w:sz w:val="32"/>
          <w:szCs w:val="32"/>
        </w:rPr>
        <w:t>开行商务班车。</w:t>
      </w:r>
      <w:r>
        <w:rPr>
          <w:rFonts w:hint="eastAsia"/>
          <w:color w:val="000000"/>
          <w:sz w:val="32"/>
          <w:szCs w:val="32"/>
        </w:rPr>
        <w:t>定制公交具有以下特点：</w:t>
      </w:r>
      <w:r>
        <w:rPr>
          <w:color w:val="000000"/>
          <w:sz w:val="32"/>
          <w:szCs w:val="32"/>
        </w:rPr>
        <w:t>班车行驶路线市民说了算</w:t>
      </w:r>
      <w:r>
        <w:rPr>
          <w:rFonts w:hint="eastAsia"/>
          <w:color w:val="000000"/>
          <w:sz w:val="32"/>
          <w:szCs w:val="32"/>
        </w:rPr>
        <w:t>、</w:t>
      </w:r>
      <w:r>
        <w:rPr>
          <w:color w:val="000000"/>
          <w:sz w:val="32"/>
          <w:szCs w:val="32"/>
        </w:rPr>
        <w:t>点击鼠标搞定“打”公交</w:t>
      </w:r>
      <w:r>
        <w:rPr>
          <w:rFonts w:hint="eastAsia"/>
          <w:color w:val="000000"/>
          <w:sz w:val="32"/>
          <w:szCs w:val="32"/>
        </w:rPr>
        <w:t>、</w:t>
      </w:r>
      <w:r>
        <w:rPr>
          <w:color w:val="000000"/>
          <w:sz w:val="32"/>
          <w:szCs w:val="32"/>
        </w:rPr>
        <w:t>班车有空调 一人一座 一站直达</w:t>
      </w:r>
      <w:r>
        <w:rPr>
          <w:rFonts w:hint="eastAsia"/>
          <w:color w:val="000000"/>
          <w:sz w:val="32"/>
          <w:szCs w:val="32"/>
        </w:rPr>
        <w:t>、</w:t>
      </w:r>
      <w:r>
        <w:rPr>
          <w:color w:val="000000"/>
          <w:sz w:val="32"/>
          <w:szCs w:val="32"/>
        </w:rPr>
        <w:t>需“按月预订”座位</w:t>
      </w:r>
      <w:r>
        <w:rPr>
          <w:rFonts w:hint="eastAsia"/>
          <w:color w:val="000000"/>
          <w:sz w:val="32"/>
          <w:szCs w:val="32"/>
        </w:rPr>
        <w:t>、</w:t>
      </w:r>
      <w:r>
        <w:rPr>
          <w:color w:val="000000"/>
          <w:sz w:val="32"/>
          <w:szCs w:val="32"/>
        </w:rPr>
        <w:t>价格“比普通公交贵，但在能承受的范围内</w:t>
      </w:r>
      <w:r>
        <w:rPr>
          <w:rFonts w:hint="eastAsia"/>
          <w:color w:val="000000"/>
          <w:sz w:val="32"/>
          <w:szCs w:val="32"/>
        </w:rPr>
        <w:t>、</w:t>
      </w:r>
      <w:r>
        <w:rPr>
          <w:color w:val="000000"/>
          <w:sz w:val="32"/>
          <w:szCs w:val="32"/>
        </w:rPr>
        <w:t>商务班车可走公交专用道，具备优先通行优势</w:t>
      </w:r>
      <w:r>
        <w:rPr>
          <w:rFonts w:hint="eastAsia"/>
          <w:color w:val="000000"/>
          <w:sz w:val="32"/>
          <w:szCs w:val="32"/>
        </w:rPr>
        <w:t>、</w:t>
      </w:r>
      <w:r>
        <w:rPr>
          <w:color w:val="000000"/>
          <w:sz w:val="32"/>
          <w:szCs w:val="32"/>
        </w:rPr>
        <w:t>程序较过去简单得多</w:t>
      </w:r>
      <w:r>
        <w:rPr>
          <w:rFonts w:hint="eastAsia"/>
          <w:color w:val="000000"/>
          <w:sz w:val="32"/>
          <w:szCs w:val="32"/>
        </w:rPr>
        <w:t>。</w:t>
      </w:r>
    </w:p>
    <w:p w14:paraId="15ABE421">
      <w:pPr>
        <w:pStyle w:val="20"/>
        <w:rPr>
          <w:color w:val="000000"/>
          <w:sz w:val="32"/>
        </w:rPr>
      </w:pPr>
      <w:bookmarkStart w:id="46" w:name="_Toc89371388"/>
      <w:r>
        <w:rPr>
          <w:rFonts w:hint="eastAsia"/>
          <w:color w:val="000000"/>
          <w:sz w:val="32"/>
        </w:rPr>
        <w:t>（二）强化一体化衔接</w:t>
      </w:r>
      <w:bookmarkEnd w:id="46"/>
    </w:p>
    <w:p w14:paraId="7E44EAA3">
      <w:pPr>
        <w:spacing w:line="360" w:lineRule="auto"/>
        <w:ind w:firstLine="640" w:firstLineChars="200"/>
        <w:rPr>
          <w:color w:val="000000"/>
          <w:sz w:val="32"/>
          <w:szCs w:val="32"/>
        </w:rPr>
      </w:pPr>
      <w:r>
        <w:rPr>
          <w:rFonts w:hint="eastAsia"/>
          <w:color w:val="000000"/>
          <w:sz w:val="32"/>
          <w:szCs w:val="32"/>
        </w:rPr>
        <w:t>“十四五”期间，要全面响应交通强省战略，切实转变综合交通发展思路、方式和路径，创新体制机制，加强运输服务一体衔接，提高运行管理智能化水平。</w:t>
      </w:r>
      <w:r>
        <w:rPr>
          <w:color w:val="000000"/>
          <w:sz w:val="32"/>
          <w:szCs w:val="32"/>
        </w:rPr>
        <w:t>按照国际客运便利化、长途客运快速化、基本公共服务均等化的基本目标，大力提升客运服务品质，使公众出行更高效便捷。</w:t>
      </w:r>
    </w:p>
    <w:p w14:paraId="020529F9">
      <w:pPr>
        <w:pStyle w:val="21"/>
        <w:rPr>
          <w:color w:val="000000"/>
          <w:sz w:val="32"/>
        </w:rPr>
      </w:pPr>
      <w:bookmarkStart w:id="47" w:name="_Toc89371389"/>
      <w:r>
        <w:rPr>
          <w:rFonts w:hint="eastAsia"/>
          <w:color w:val="000000"/>
          <w:sz w:val="32"/>
        </w:rPr>
        <w:t>1</w:t>
      </w:r>
      <w:r>
        <w:rPr>
          <w:color w:val="000000"/>
          <w:sz w:val="32"/>
        </w:rPr>
        <w:t>.构建综合客运枢纽体系</w:t>
      </w:r>
      <w:bookmarkEnd w:id="47"/>
    </w:p>
    <w:p w14:paraId="79DACB2A">
      <w:pPr>
        <w:spacing w:line="360" w:lineRule="auto"/>
        <w:rPr>
          <w:color w:val="000000"/>
          <w:sz w:val="32"/>
          <w:szCs w:val="32"/>
        </w:rPr>
      </w:pPr>
      <w:r>
        <w:rPr>
          <w:rFonts w:hint="eastAsia"/>
          <w:color w:val="000000"/>
          <w:sz w:val="32"/>
          <w:szCs w:val="32"/>
        </w:rPr>
        <w:t>（</w:t>
      </w:r>
      <w:r>
        <w:rPr>
          <w:color w:val="000000"/>
          <w:sz w:val="32"/>
          <w:szCs w:val="32"/>
        </w:rPr>
        <w:t>1</w:t>
      </w:r>
      <w:r>
        <w:rPr>
          <w:rFonts w:hint="eastAsia"/>
          <w:color w:val="000000"/>
          <w:sz w:val="32"/>
          <w:szCs w:val="32"/>
        </w:rPr>
        <w:t>）布局规划</w:t>
      </w:r>
    </w:p>
    <w:p w14:paraId="001B4557">
      <w:pPr>
        <w:ind w:firstLine="640"/>
        <w:rPr>
          <w:rFonts w:ascii="宋体" w:hAnsi="宋体" w:cs="宋体"/>
          <w:color w:val="000000"/>
          <w:sz w:val="32"/>
          <w:szCs w:val="32"/>
        </w:rPr>
      </w:pPr>
      <w:r>
        <w:rPr>
          <w:color w:val="000000"/>
          <w:sz w:val="32"/>
          <w:szCs w:val="32"/>
        </w:rPr>
        <w:t>基于</w:t>
      </w:r>
      <w:r>
        <w:rPr>
          <w:rFonts w:hint="eastAsia"/>
          <w:color w:val="000000"/>
          <w:sz w:val="32"/>
          <w:szCs w:val="32"/>
        </w:rPr>
        <w:t>“</w:t>
      </w:r>
      <w:r>
        <w:rPr>
          <w:color w:val="000000"/>
          <w:sz w:val="32"/>
          <w:szCs w:val="32"/>
        </w:rPr>
        <w:t>十</w:t>
      </w:r>
      <w:r>
        <w:rPr>
          <w:rFonts w:hint="eastAsia"/>
          <w:color w:val="000000"/>
          <w:sz w:val="32"/>
          <w:szCs w:val="32"/>
        </w:rPr>
        <w:t>四</w:t>
      </w:r>
      <w:r>
        <w:rPr>
          <w:color w:val="000000"/>
          <w:sz w:val="32"/>
          <w:szCs w:val="32"/>
        </w:rPr>
        <w:t>五</w:t>
      </w:r>
      <w:r>
        <w:rPr>
          <w:rFonts w:hint="eastAsia"/>
          <w:color w:val="000000"/>
          <w:sz w:val="32"/>
          <w:szCs w:val="32"/>
        </w:rPr>
        <w:t>”</w:t>
      </w:r>
      <w:r>
        <w:rPr>
          <w:color w:val="000000"/>
          <w:sz w:val="32"/>
          <w:szCs w:val="32"/>
        </w:rPr>
        <w:t>期间，</w:t>
      </w:r>
      <w:r>
        <w:rPr>
          <w:rFonts w:hint="eastAsia"/>
          <w:color w:val="000000"/>
          <w:sz w:val="32"/>
          <w:szCs w:val="32"/>
        </w:rPr>
        <w:t>乳山</w:t>
      </w:r>
      <w:r>
        <w:rPr>
          <w:color w:val="000000"/>
          <w:sz w:val="32"/>
          <w:szCs w:val="32"/>
        </w:rPr>
        <w:t>市高铁站、城际铁路站规划及</w:t>
      </w:r>
      <w:r>
        <w:rPr>
          <w:rFonts w:hint="eastAsia"/>
          <w:color w:val="000000"/>
          <w:sz w:val="32"/>
          <w:szCs w:val="32"/>
        </w:rPr>
        <w:t>乳山</w:t>
      </w:r>
      <w:r>
        <w:rPr>
          <w:color w:val="000000"/>
          <w:sz w:val="32"/>
          <w:szCs w:val="32"/>
        </w:rPr>
        <w:t>市现有综合运输场站布局，综合</w:t>
      </w:r>
      <w:r>
        <w:rPr>
          <w:rFonts w:hint="eastAsia"/>
          <w:color w:val="000000"/>
          <w:sz w:val="32"/>
          <w:szCs w:val="32"/>
        </w:rPr>
        <w:t>市域</w:t>
      </w:r>
      <w:r>
        <w:rPr>
          <w:color w:val="000000"/>
          <w:sz w:val="32"/>
          <w:szCs w:val="32"/>
        </w:rPr>
        <w:t>客运现状、经济发展趋势在交通运输中的地位和作用，全市规划形成以公铁联运为核心，以公路客运为补充的</w:t>
      </w:r>
      <w:r>
        <w:rPr>
          <w:rFonts w:hint="eastAsia"/>
          <w:color w:val="000000"/>
          <w:sz w:val="32"/>
          <w:szCs w:val="32"/>
        </w:rPr>
        <w:t>“</w:t>
      </w:r>
      <w:r>
        <w:rPr>
          <w:color w:val="000000"/>
          <w:sz w:val="32"/>
          <w:szCs w:val="32"/>
        </w:rPr>
        <w:t>一港两枢纽</w:t>
      </w:r>
      <w:r>
        <w:rPr>
          <w:rFonts w:hint="eastAsia"/>
          <w:color w:val="000000"/>
          <w:sz w:val="32"/>
          <w:szCs w:val="32"/>
        </w:rPr>
        <w:t>八</w:t>
      </w:r>
      <w:r>
        <w:rPr>
          <w:color w:val="000000"/>
          <w:sz w:val="32"/>
          <w:szCs w:val="32"/>
        </w:rPr>
        <w:t>场站</w:t>
      </w:r>
      <w:r>
        <w:rPr>
          <w:rFonts w:hint="eastAsia"/>
          <w:color w:val="000000"/>
          <w:sz w:val="32"/>
          <w:szCs w:val="32"/>
        </w:rPr>
        <w:t>”</w:t>
      </w:r>
      <w:r>
        <w:rPr>
          <w:color w:val="000000"/>
          <w:sz w:val="32"/>
          <w:szCs w:val="32"/>
        </w:rPr>
        <w:t>综合客运枢纽体系，</w:t>
      </w:r>
      <w:r>
        <w:rPr>
          <w:rFonts w:hint="eastAsia"/>
          <w:color w:val="000000"/>
          <w:sz w:val="32"/>
          <w:szCs w:val="32"/>
        </w:rPr>
        <w:t>“</w:t>
      </w:r>
      <w:r>
        <w:rPr>
          <w:color w:val="000000"/>
          <w:sz w:val="32"/>
          <w:szCs w:val="32"/>
        </w:rPr>
        <w:t>一港</w:t>
      </w:r>
      <w:r>
        <w:rPr>
          <w:rFonts w:hint="eastAsia"/>
          <w:color w:val="000000"/>
          <w:sz w:val="32"/>
          <w:szCs w:val="32"/>
        </w:rPr>
        <w:t>”</w:t>
      </w:r>
      <w:r>
        <w:rPr>
          <w:color w:val="000000"/>
          <w:sz w:val="32"/>
          <w:szCs w:val="32"/>
        </w:rPr>
        <w:t>即乳山口港；</w:t>
      </w:r>
      <w:r>
        <w:rPr>
          <w:rFonts w:hint="eastAsia"/>
          <w:color w:val="000000"/>
          <w:sz w:val="32"/>
          <w:szCs w:val="32"/>
        </w:rPr>
        <w:t>“</w:t>
      </w:r>
      <w:r>
        <w:rPr>
          <w:color w:val="000000"/>
          <w:sz w:val="32"/>
          <w:szCs w:val="32"/>
        </w:rPr>
        <w:t>两枢</w:t>
      </w:r>
      <w:r>
        <w:rPr>
          <w:rFonts w:hint="eastAsia"/>
          <w:color w:val="000000"/>
          <w:sz w:val="32"/>
          <w:szCs w:val="32"/>
        </w:rPr>
        <w:t>”</w:t>
      </w:r>
      <w:r>
        <w:rPr>
          <w:color w:val="000000"/>
          <w:sz w:val="32"/>
          <w:szCs w:val="32"/>
        </w:rPr>
        <w:t>即高铁换乘枢纽站和乳山市交通综合枢纽站；</w:t>
      </w:r>
      <w:r>
        <w:rPr>
          <w:rFonts w:hint="eastAsia"/>
          <w:color w:val="000000"/>
          <w:sz w:val="32"/>
          <w:szCs w:val="32"/>
        </w:rPr>
        <w:t>“八</w:t>
      </w:r>
      <w:r>
        <w:rPr>
          <w:color w:val="000000"/>
          <w:sz w:val="32"/>
          <w:szCs w:val="32"/>
        </w:rPr>
        <w:t>场站</w:t>
      </w:r>
      <w:r>
        <w:rPr>
          <w:rFonts w:hint="eastAsia"/>
          <w:color w:val="000000"/>
          <w:sz w:val="32"/>
          <w:szCs w:val="32"/>
        </w:rPr>
        <w:t>”</w:t>
      </w:r>
      <w:r>
        <w:rPr>
          <w:color w:val="000000"/>
          <w:sz w:val="32"/>
          <w:szCs w:val="32"/>
        </w:rPr>
        <w:t>即乳山汽车站、诸往客运站、乳山车道汽车站、银滩客运站、南黄岛客运站、挂子场客运站</w:t>
      </w:r>
      <w:r>
        <w:rPr>
          <w:rFonts w:hint="eastAsia"/>
          <w:color w:val="000000"/>
          <w:sz w:val="32"/>
          <w:szCs w:val="32"/>
        </w:rPr>
        <w:t>、小青岛客运站、旗杆石客运站</w:t>
      </w:r>
      <w:r>
        <w:rPr>
          <w:color w:val="000000"/>
          <w:sz w:val="32"/>
          <w:szCs w:val="32"/>
        </w:rPr>
        <w:t>。在做好枢纽内换乘关系的基础上，依托公共基础设施建设和城市公共交通系统，着力做好各枢纽、场站间的衔接关系和客流集散体系，支撑和保障居民便捷出行。</w:t>
      </w:r>
    </w:p>
    <w:p w14:paraId="6C7C9587">
      <w:pPr>
        <w:ind w:firstLine="640"/>
        <w:rPr>
          <w:color w:val="000000"/>
          <w:sz w:val="32"/>
          <w:szCs w:val="32"/>
        </w:rPr>
      </w:pPr>
      <w:r>
        <w:rPr>
          <w:color w:val="000000"/>
          <w:sz w:val="32"/>
          <w:szCs w:val="32"/>
        </w:rPr>
        <w:t>同时，引导发展综合客运枢纽综合开发，充分发挥地方政府能动性，力争实现交通枢纽与地方经济的双推动、双提升。</w:t>
      </w:r>
    </w:p>
    <w:p w14:paraId="72A45EDA">
      <w:pPr>
        <w:ind w:firstLine="640"/>
        <w:rPr>
          <w:color w:val="000000"/>
          <w:sz w:val="32"/>
          <w:szCs w:val="32"/>
        </w:rPr>
      </w:pPr>
      <w:r>
        <w:rPr>
          <w:rFonts w:hint="eastAsia"/>
          <w:color w:val="000000"/>
          <w:sz w:val="32"/>
          <w:szCs w:val="32"/>
        </w:rPr>
        <w:t>下图1</w:t>
      </w:r>
      <w:r>
        <w:rPr>
          <w:color w:val="000000"/>
          <w:sz w:val="32"/>
          <w:szCs w:val="32"/>
        </w:rPr>
        <w:t>8</w:t>
      </w:r>
      <w:r>
        <w:rPr>
          <w:rFonts w:hint="eastAsia"/>
          <w:color w:val="000000"/>
          <w:sz w:val="32"/>
          <w:szCs w:val="32"/>
        </w:rPr>
        <w:t>为“</w:t>
      </w:r>
      <w:r>
        <w:rPr>
          <w:color w:val="000000"/>
          <w:sz w:val="32"/>
          <w:szCs w:val="32"/>
        </w:rPr>
        <w:t>一港两枢纽</w:t>
      </w:r>
      <w:r>
        <w:rPr>
          <w:rFonts w:hint="eastAsia"/>
          <w:color w:val="000000"/>
          <w:sz w:val="32"/>
          <w:szCs w:val="32"/>
        </w:rPr>
        <w:t>八</w:t>
      </w:r>
      <w:r>
        <w:rPr>
          <w:color w:val="000000"/>
          <w:sz w:val="32"/>
          <w:szCs w:val="32"/>
        </w:rPr>
        <w:t>场站</w:t>
      </w:r>
      <w:r>
        <w:rPr>
          <w:rFonts w:hint="eastAsia"/>
          <w:color w:val="000000"/>
          <w:sz w:val="32"/>
          <w:szCs w:val="32"/>
        </w:rPr>
        <w:t>”区位示意图。</w:t>
      </w:r>
    </w:p>
    <w:p w14:paraId="502F5101">
      <w:pPr>
        <w:jc w:val="center"/>
        <w:rPr>
          <w:color w:val="000000"/>
          <w:sz w:val="32"/>
          <w:szCs w:val="32"/>
        </w:rPr>
      </w:pPr>
      <w:r>
        <w:rPr>
          <w:rFonts w:hint="eastAsia"/>
          <w:color w:val="000000"/>
          <w:sz w:val="32"/>
          <w:szCs w:val="32"/>
        </w:rPr>
        <w:drawing>
          <wp:inline distT="0" distB="0" distL="0" distR="0">
            <wp:extent cx="5267960" cy="3722370"/>
            <wp:effectExtent l="0" t="0" r="8890" b="0"/>
            <wp:docPr id="1049" name="图片 56"/>
            <wp:cNvGraphicFramePr/>
            <a:graphic xmlns:a="http://schemas.openxmlformats.org/drawingml/2006/main">
              <a:graphicData uri="http://schemas.openxmlformats.org/drawingml/2006/picture">
                <pic:pic xmlns:pic="http://schemas.openxmlformats.org/drawingml/2006/picture">
                  <pic:nvPicPr>
                    <pic:cNvPr id="1049" name="图片 56"/>
                    <pic:cNvPicPr/>
                  </pic:nvPicPr>
                  <pic:blipFill>
                    <a:blip r:embed="rId32" cstate="print"/>
                    <a:srcRect/>
                    <a:stretch>
                      <a:fillRect/>
                    </a:stretch>
                  </pic:blipFill>
                  <pic:spPr>
                    <a:xfrm>
                      <a:off x="0" y="0"/>
                      <a:ext cx="5267960" cy="3722370"/>
                    </a:xfrm>
                    <a:prstGeom prst="rect">
                      <a:avLst/>
                    </a:prstGeom>
                    <a:ln>
                      <a:noFill/>
                    </a:ln>
                  </pic:spPr>
                </pic:pic>
              </a:graphicData>
            </a:graphic>
          </wp:inline>
        </w:drawing>
      </w:r>
    </w:p>
    <w:p w14:paraId="699BD9DE">
      <w:pPr>
        <w:ind w:firstLine="640"/>
        <w:jc w:val="center"/>
        <w:rPr>
          <w:rFonts w:eastAsia="楷体"/>
          <w:color w:val="000000"/>
          <w:szCs w:val="21"/>
        </w:rPr>
      </w:pPr>
      <w:r>
        <w:rPr>
          <w:rFonts w:eastAsia="楷体"/>
          <w:color w:val="000000"/>
          <w:szCs w:val="21"/>
        </w:rPr>
        <w:t>图18 “一港两枢纽八场站”区位示意图</w:t>
      </w:r>
    </w:p>
    <w:p w14:paraId="59FC64DB">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）重点任务</w:t>
      </w:r>
    </w:p>
    <w:p w14:paraId="76DD2531">
      <w:pPr>
        <w:spacing w:line="360" w:lineRule="auto"/>
        <w:ind w:firstLine="640" w:firstLineChars="200"/>
        <w:rPr>
          <w:color w:val="000000"/>
          <w:sz w:val="32"/>
          <w:szCs w:val="32"/>
        </w:rPr>
      </w:pPr>
      <w:r>
        <w:rPr>
          <w:rFonts w:hint="eastAsia"/>
          <w:color w:val="000000"/>
          <w:sz w:val="32"/>
          <w:szCs w:val="32"/>
        </w:rPr>
        <w:t>建设诸往客运站、乳山车道汽车站。</w:t>
      </w:r>
    </w:p>
    <w:p w14:paraId="00F6105B">
      <w:pPr>
        <w:spacing w:line="360" w:lineRule="auto"/>
        <w:ind w:firstLine="640" w:firstLineChars="200"/>
        <w:rPr>
          <w:color w:val="000000"/>
          <w:sz w:val="32"/>
          <w:szCs w:val="32"/>
        </w:rPr>
      </w:pPr>
      <w:r>
        <w:rPr>
          <w:rFonts w:hint="eastAsia"/>
          <w:color w:val="000000"/>
          <w:sz w:val="32"/>
          <w:szCs w:val="32"/>
        </w:rPr>
        <w:t>建设银滩三级客运站，在银滩中心区域选址新建或租用已建建筑物。该客运站建成后将大大改善银滩居民乘车环境，使班线客车顺利进驻银滩区域，同时缩减非法营运车辆生存范围，为规范银滩客运秩序提供良好平台。</w:t>
      </w:r>
    </w:p>
    <w:p w14:paraId="5D1CC350">
      <w:pPr>
        <w:spacing w:line="360" w:lineRule="auto"/>
        <w:ind w:firstLine="640" w:firstLineChars="200"/>
        <w:rPr>
          <w:color w:val="000000"/>
          <w:sz w:val="32"/>
          <w:szCs w:val="32"/>
        </w:rPr>
      </w:pPr>
      <w:r>
        <w:rPr>
          <w:rFonts w:hint="eastAsia"/>
          <w:color w:val="000000"/>
          <w:sz w:val="32"/>
          <w:szCs w:val="32"/>
        </w:rPr>
        <w:t>建设乳山市交通综合枢纽站，由乳山市公共交通集团有限公司筹资建设，总投资1</w:t>
      </w:r>
      <w:r>
        <w:rPr>
          <w:color w:val="000000"/>
          <w:sz w:val="32"/>
          <w:szCs w:val="32"/>
        </w:rPr>
        <w:t>.5</w:t>
      </w:r>
      <w:r>
        <w:rPr>
          <w:rFonts w:hint="eastAsia"/>
          <w:color w:val="000000"/>
          <w:sz w:val="32"/>
          <w:szCs w:val="32"/>
        </w:rPr>
        <w:t>亿元，规划占地面积6</w:t>
      </w:r>
      <w:r>
        <w:rPr>
          <w:color w:val="000000"/>
          <w:sz w:val="32"/>
          <w:szCs w:val="32"/>
        </w:rPr>
        <w:t>7.2</w:t>
      </w:r>
      <w:r>
        <w:rPr>
          <w:rFonts w:hint="eastAsia"/>
          <w:color w:val="000000"/>
          <w:sz w:val="32"/>
          <w:szCs w:val="32"/>
        </w:rPr>
        <w:t>亩。工程地上建筑面积5</w:t>
      </w:r>
      <w:r>
        <w:rPr>
          <w:color w:val="000000"/>
          <w:sz w:val="32"/>
          <w:szCs w:val="32"/>
        </w:rPr>
        <w:t>646</w:t>
      </w:r>
      <w:r>
        <w:rPr>
          <w:rFonts w:hint="eastAsia"/>
          <w:color w:val="000000"/>
          <w:sz w:val="32"/>
          <w:szCs w:val="32"/>
        </w:rPr>
        <w:t>平方米，建设内容包括办公楼、候车大厅、充电场站、待车区、维修车间及其附属设施。该工程集办公、公共交通集疏运、车辆停靠及维修、保养等功能于一体，是综合性交通枢纽站，建成后将成为城市公共交通综合设施标志性工程，能够有效解决以往公共交通分散化管理难题，为方便市民出行创造优越条件，对促进全市公共交通发展具有重要意义。</w:t>
      </w:r>
    </w:p>
    <w:tbl>
      <w:tblPr>
        <w:tblStyle w:val="29"/>
        <w:tblW w:w="8637" w:type="dxa"/>
        <w:tblInd w:w="0" w:type="dxa"/>
        <w:tblBorders>
          <w:top w:val="single" w:color="7F7F7F" w:sz="4" w:space="0"/>
          <w:left w:val="none" w:color="auto" w:sz="0" w:space="0"/>
          <w:bottom w:val="single" w:color="7F7F7F"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37"/>
      </w:tblGrid>
      <w:tr w14:paraId="3D2DBF54">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atLeast"/>
        </w:trPr>
        <w:tc>
          <w:tcPr>
            <w:tcW w:w="8637" w:type="dxa"/>
          </w:tcPr>
          <w:p w14:paraId="0F0DD308">
            <w:pPr>
              <w:jc w:val="center"/>
              <w:rPr>
                <w:rFonts w:ascii="楷体" w:hAnsi="楷体" w:eastAsia="楷体"/>
                <w:b w:val="0"/>
                <w:bCs w:val="0"/>
                <w:color w:val="000000"/>
                <w:sz w:val="32"/>
                <w:szCs w:val="32"/>
              </w:rPr>
            </w:pPr>
            <w:r>
              <w:rPr>
                <w:rFonts w:hint="eastAsia" w:ascii="楷体" w:hAnsi="楷体" w:eastAsia="楷体"/>
                <w:b w:val="0"/>
                <w:bCs w:val="0"/>
                <w:color w:val="000000"/>
                <w:sz w:val="32"/>
                <w:szCs w:val="32"/>
              </w:rPr>
              <w:t>表6乳山市“十四五”客运枢纽建设项目</w:t>
            </w:r>
          </w:p>
        </w:tc>
      </w:tr>
      <w:tr w14:paraId="1C98423B">
        <w:tblPrEx>
          <w:tblBorders>
            <w:top w:val="single" w:color="7F7F7F" w:sz="4" w:space="0"/>
            <w:left w:val="none" w:color="auto" w:sz="0" w:space="0"/>
            <w:bottom w:val="single" w:color="7F7F7F" w:sz="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9" w:hRule="atLeast"/>
        </w:trPr>
        <w:tc>
          <w:tcPr>
            <w:tcW w:w="8637" w:type="dxa"/>
          </w:tcPr>
          <w:p w14:paraId="49FA7E0C">
            <w:pPr>
              <w:ind w:left="720"/>
              <w:rPr>
                <w:rFonts w:eastAsia="楷体"/>
                <w:color w:val="000000"/>
                <w:sz w:val="28"/>
                <w:szCs w:val="28"/>
              </w:rPr>
            </w:pPr>
            <w:r>
              <w:rPr>
                <w:rFonts w:hint="eastAsia" w:eastAsia="楷体"/>
                <w:color w:val="000000"/>
                <w:sz w:val="28"/>
                <w:szCs w:val="28"/>
              </w:rPr>
              <w:t>1</w:t>
            </w:r>
            <w:r>
              <w:rPr>
                <w:rFonts w:eastAsia="楷体"/>
                <w:color w:val="000000"/>
                <w:sz w:val="28"/>
                <w:szCs w:val="28"/>
              </w:rPr>
              <w:t>.</w:t>
            </w:r>
            <w:r>
              <w:rPr>
                <w:rFonts w:hint="eastAsia" w:eastAsia="楷体"/>
                <w:color w:val="000000"/>
                <w:sz w:val="28"/>
                <w:szCs w:val="28"/>
              </w:rPr>
              <w:t>建设诸往客运站、乳山车道汽车站</w:t>
            </w:r>
          </w:p>
          <w:p w14:paraId="35371624">
            <w:pPr>
              <w:ind w:left="720"/>
              <w:rPr>
                <w:rFonts w:eastAsia="楷体"/>
                <w:color w:val="000000"/>
                <w:sz w:val="28"/>
                <w:szCs w:val="28"/>
              </w:rPr>
            </w:pPr>
            <w:r>
              <w:rPr>
                <w:rFonts w:hint="eastAsia" w:eastAsia="楷体"/>
                <w:color w:val="000000"/>
                <w:sz w:val="28"/>
                <w:szCs w:val="28"/>
              </w:rPr>
              <w:t>2</w:t>
            </w:r>
            <w:r>
              <w:rPr>
                <w:rFonts w:eastAsia="楷体"/>
                <w:color w:val="000000"/>
                <w:sz w:val="28"/>
                <w:szCs w:val="28"/>
              </w:rPr>
              <w:t>.</w:t>
            </w:r>
            <w:r>
              <w:rPr>
                <w:rFonts w:hint="eastAsia" w:eastAsia="楷体"/>
                <w:color w:val="000000"/>
                <w:sz w:val="28"/>
                <w:szCs w:val="28"/>
              </w:rPr>
              <w:t>建设银滩三级客运站</w:t>
            </w:r>
          </w:p>
          <w:p w14:paraId="11F06894">
            <w:pPr>
              <w:ind w:left="720"/>
              <w:rPr>
                <w:rFonts w:eastAsia="楷体"/>
                <w:color w:val="000000"/>
                <w:sz w:val="28"/>
                <w:szCs w:val="28"/>
              </w:rPr>
            </w:pPr>
            <w:r>
              <w:rPr>
                <w:rFonts w:hint="eastAsia" w:eastAsia="楷体"/>
                <w:color w:val="000000"/>
                <w:sz w:val="28"/>
                <w:szCs w:val="28"/>
              </w:rPr>
              <w:t>3</w:t>
            </w:r>
            <w:r>
              <w:rPr>
                <w:rFonts w:eastAsia="楷体"/>
                <w:color w:val="000000"/>
                <w:sz w:val="28"/>
                <w:szCs w:val="28"/>
              </w:rPr>
              <w:t>.</w:t>
            </w:r>
            <w:r>
              <w:rPr>
                <w:rFonts w:hint="eastAsia" w:eastAsia="楷体"/>
                <w:color w:val="000000"/>
                <w:sz w:val="28"/>
                <w:szCs w:val="28"/>
              </w:rPr>
              <w:t>建设乳山市交通综合枢纽站</w:t>
            </w:r>
          </w:p>
        </w:tc>
      </w:tr>
    </w:tbl>
    <w:p w14:paraId="371F8CB7">
      <w:pPr>
        <w:rPr>
          <w:color w:val="000000"/>
          <w:sz w:val="32"/>
          <w:szCs w:val="32"/>
        </w:rPr>
      </w:pPr>
      <w:r>
        <w:rPr>
          <w:rFonts w:hint="eastAsia"/>
          <w:color w:val="000000"/>
          <w:sz w:val="32"/>
          <w:szCs w:val="32"/>
        </w:rPr>
        <w:t>图1</w:t>
      </w:r>
      <w:r>
        <w:rPr>
          <w:color w:val="000000"/>
          <w:sz w:val="32"/>
          <w:szCs w:val="32"/>
        </w:rPr>
        <w:t>9</w:t>
      </w:r>
      <w:r>
        <w:rPr>
          <w:rFonts w:hint="eastAsia"/>
          <w:color w:val="000000"/>
          <w:sz w:val="32"/>
          <w:szCs w:val="32"/>
        </w:rPr>
        <w:t>为乳山市“十四五”客运枢纽建设项目区位示意图。</w:t>
      </w:r>
    </w:p>
    <w:p w14:paraId="3976A348">
      <w:pPr>
        <w:rPr>
          <w:rFonts w:eastAsia="楷体"/>
          <w:color w:val="000000"/>
          <w:szCs w:val="21"/>
        </w:rPr>
      </w:pPr>
      <w:r>
        <w:rPr>
          <w:rFonts w:hint="eastAsia" w:eastAsia="楷体"/>
          <w:color w:val="000000"/>
          <w:szCs w:val="21"/>
        </w:rPr>
        <w:drawing>
          <wp:inline distT="0" distB="0" distL="0" distR="0">
            <wp:extent cx="5267325" cy="3415030"/>
            <wp:effectExtent l="0" t="0" r="0" b="0"/>
            <wp:docPr id="1050" name="图片 57"/>
            <wp:cNvGraphicFramePr/>
            <a:graphic xmlns:a="http://schemas.openxmlformats.org/drawingml/2006/main">
              <a:graphicData uri="http://schemas.openxmlformats.org/drawingml/2006/picture">
                <pic:pic xmlns:pic="http://schemas.openxmlformats.org/drawingml/2006/picture">
                  <pic:nvPicPr>
                    <pic:cNvPr id="1050" name="图片 57"/>
                    <pic:cNvPicPr/>
                  </pic:nvPicPr>
                  <pic:blipFill>
                    <a:blip r:embed="rId33" cstate="print"/>
                    <a:srcRect t="8291"/>
                    <a:stretch>
                      <a:fillRect/>
                    </a:stretch>
                  </pic:blipFill>
                  <pic:spPr>
                    <a:xfrm>
                      <a:off x="0" y="0"/>
                      <a:ext cx="5267325" cy="3415030"/>
                    </a:xfrm>
                    <a:prstGeom prst="rect">
                      <a:avLst/>
                    </a:prstGeom>
                    <a:ln>
                      <a:noFill/>
                    </a:ln>
                  </pic:spPr>
                </pic:pic>
              </a:graphicData>
            </a:graphic>
          </wp:inline>
        </w:drawing>
      </w:r>
    </w:p>
    <w:p w14:paraId="76CEC142">
      <w:pPr>
        <w:jc w:val="center"/>
        <w:rPr>
          <w:color w:val="000000"/>
        </w:rPr>
      </w:pPr>
      <w:r>
        <w:rPr>
          <w:rFonts w:hint="eastAsia" w:eastAsia="楷体"/>
          <w:color w:val="000000"/>
          <w:szCs w:val="21"/>
        </w:rPr>
        <w:t>图1</w:t>
      </w:r>
      <w:r>
        <w:rPr>
          <w:rFonts w:eastAsia="楷体"/>
          <w:color w:val="000000"/>
          <w:szCs w:val="21"/>
        </w:rPr>
        <w:t xml:space="preserve">9 </w:t>
      </w:r>
      <w:r>
        <w:rPr>
          <w:rFonts w:hint="eastAsia" w:eastAsia="楷体"/>
          <w:color w:val="000000"/>
          <w:szCs w:val="21"/>
        </w:rPr>
        <w:t>乳山市“十四五”客运枢纽建设项目区位示意图</w:t>
      </w:r>
    </w:p>
    <w:p w14:paraId="546299C7">
      <w:pPr>
        <w:pStyle w:val="21"/>
        <w:rPr>
          <w:color w:val="000000"/>
          <w:sz w:val="32"/>
        </w:rPr>
      </w:pPr>
      <w:bookmarkStart w:id="48" w:name="_Toc89371390"/>
      <w:r>
        <w:rPr>
          <w:rFonts w:hint="eastAsia"/>
          <w:color w:val="000000"/>
          <w:sz w:val="32"/>
        </w:rPr>
        <w:t>2</w:t>
      </w:r>
      <w:r>
        <w:rPr>
          <w:color w:val="000000"/>
          <w:sz w:val="32"/>
        </w:rPr>
        <w:t>.</w:t>
      </w:r>
      <w:r>
        <w:rPr>
          <w:rFonts w:hint="eastAsia"/>
          <w:color w:val="000000"/>
          <w:sz w:val="32"/>
        </w:rPr>
        <w:t>完善多式联运组织体系</w:t>
      </w:r>
      <w:bookmarkEnd w:id="48"/>
    </w:p>
    <w:p w14:paraId="074A14A9">
      <w:pPr>
        <w:ind w:firstLine="435"/>
        <w:rPr>
          <w:color w:val="000000"/>
          <w:sz w:val="32"/>
          <w:szCs w:val="32"/>
        </w:rPr>
      </w:pPr>
      <w:r>
        <w:rPr>
          <w:rFonts w:hint="eastAsia"/>
          <w:color w:val="000000"/>
          <w:sz w:val="32"/>
          <w:szCs w:val="32"/>
        </w:rPr>
        <w:t>把发展多式联运作为综合货运服务体系建设的主导战略，重点发展以集装箱、半挂列车为标准运载单元的多式联运，构建衔接高效、转运快速、信息共享、作业标准的多式联运体系。探索资源整合共享的运作模式，在运载单元标准化、联运信息资源共享化的基础上，推进铁海、公铁、公海、陆空等多种联运模式有序发展。</w:t>
      </w:r>
    </w:p>
    <w:p w14:paraId="456E756F">
      <w:pPr>
        <w:ind w:firstLine="435"/>
        <w:rPr>
          <w:color w:val="000000"/>
          <w:sz w:val="32"/>
          <w:szCs w:val="32"/>
        </w:rPr>
      </w:pPr>
      <w:r>
        <w:rPr>
          <w:rFonts w:hint="eastAsia"/>
          <w:color w:val="000000"/>
          <w:sz w:val="32"/>
          <w:szCs w:val="32"/>
        </w:rPr>
        <w:t>（1）加强港站基础设施建设，完善港站服务功能。优化港口集疏运结构，推进集装箱中心场站建设，提升搬运装卸作业机械化、智能化程度，改善铁路货运场站、堆存场地条件。促进各种运输方式之间，尤其是公铁、公海、海铁之间的高效衔接。</w:t>
      </w:r>
    </w:p>
    <w:p w14:paraId="5250B232">
      <w:pPr>
        <w:ind w:firstLine="435"/>
        <w:rPr>
          <w:color w:val="000000"/>
          <w:sz w:val="32"/>
          <w:szCs w:val="32"/>
        </w:rPr>
      </w:pPr>
      <w:r>
        <w:rPr>
          <w:rFonts w:hint="eastAsia"/>
          <w:color w:val="000000"/>
          <w:sz w:val="32"/>
          <w:szCs w:val="32"/>
        </w:rPr>
        <w:t>（2）优化货运组织模式，提升联运效率。大力发展滚装运输，推进陆海联运业务。提升滚装运输船舶的技术装备水平，提升滚装运输装备的智能化。制定相应的配套政策法规、管理制度和资金支持，在“十四五”期间形成一定运量规模、可长期运作的集装箱海铁联运运输线路。</w:t>
      </w:r>
    </w:p>
    <w:p w14:paraId="45DAF672">
      <w:pPr>
        <w:ind w:firstLine="435"/>
        <w:rPr>
          <w:color w:val="000000"/>
          <w:sz w:val="32"/>
          <w:szCs w:val="32"/>
        </w:rPr>
      </w:pPr>
      <w:r>
        <w:rPr>
          <w:rFonts w:hint="eastAsia"/>
          <w:color w:val="000000"/>
          <w:sz w:val="32"/>
          <w:szCs w:val="32"/>
        </w:rPr>
        <w:t>（3）提升交通工具技术水平，改造升级联运装备。立足于安全、便捷、高效、优质的服务，以滚装运输装备为核心，推进专业化、标准化联运装备的使用。在“十四五”期间，机械自动化设备使用比例达到7</w:t>
      </w:r>
      <w:r>
        <w:rPr>
          <w:color w:val="000000"/>
          <w:sz w:val="32"/>
          <w:szCs w:val="32"/>
        </w:rPr>
        <w:t>0</w:t>
      </w:r>
      <w:r>
        <w:rPr>
          <w:rFonts w:hint="eastAsia"/>
          <w:color w:val="000000"/>
          <w:sz w:val="32"/>
          <w:szCs w:val="32"/>
        </w:rPr>
        <w:t>%，同时加速淘汰能耗高、污染大的老旧设备，推广使用可再生、清洁能源的新型运载工具。</w:t>
      </w:r>
    </w:p>
    <w:p w14:paraId="1109DB12">
      <w:pPr>
        <w:ind w:firstLine="435"/>
        <w:rPr>
          <w:color w:val="000000"/>
          <w:sz w:val="32"/>
          <w:szCs w:val="32"/>
        </w:rPr>
      </w:pPr>
      <w:r>
        <w:rPr>
          <w:rFonts w:hint="eastAsia"/>
          <w:color w:val="000000"/>
          <w:sz w:val="32"/>
          <w:szCs w:val="32"/>
        </w:rPr>
        <w:t>（</w:t>
      </w:r>
      <w:r>
        <w:rPr>
          <w:color w:val="000000"/>
          <w:sz w:val="32"/>
          <w:szCs w:val="32"/>
        </w:rPr>
        <w:t>4</w:t>
      </w:r>
      <w:r>
        <w:rPr>
          <w:rFonts w:hint="eastAsia"/>
          <w:color w:val="000000"/>
          <w:sz w:val="32"/>
          <w:szCs w:val="32"/>
        </w:rPr>
        <w:t>）培育重点物流企业，提升联运服务能力。依托港口和铁路场站，培育具有综合运输服务能力的港站运营企业。</w:t>
      </w:r>
    </w:p>
    <w:p w14:paraId="3D962708">
      <w:pPr>
        <w:pStyle w:val="21"/>
        <w:rPr>
          <w:color w:val="000000"/>
          <w:sz w:val="32"/>
        </w:rPr>
      </w:pPr>
      <w:bookmarkStart w:id="49" w:name="_Toc89371391"/>
      <w:r>
        <w:rPr>
          <w:color w:val="000000"/>
          <w:sz w:val="32"/>
        </w:rPr>
        <w:t>3.</w:t>
      </w:r>
      <w:r>
        <w:rPr>
          <w:rFonts w:hint="eastAsia"/>
          <w:color w:val="000000"/>
          <w:sz w:val="32"/>
        </w:rPr>
        <w:t>建设农村物流网点</w:t>
      </w:r>
      <w:bookmarkEnd w:id="49"/>
    </w:p>
    <w:p w14:paraId="3C93DE6A">
      <w:pPr>
        <w:spacing w:line="360" w:lineRule="auto"/>
        <w:ind w:firstLine="640" w:firstLineChars="200"/>
        <w:rPr>
          <w:color w:val="000000"/>
          <w:sz w:val="32"/>
          <w:szCs w:val="32"/>
        </w:rPr>
      </w:pPr>
      <w:r>
        <w:rPr>
          <w:rFonts w:hint="eastAsia"/>
          <w:color w:val="000000"/>
          <w:sz w:val="32"/>
          <w:szCs w:val="32"/>
        </w:rPr>
        <w:t>完善城乡配送基础设施，构建干支衔接、通行顺畅的城乡配送通道网络。完善城乡配送发展政策，在通行管控、运输组织、市场监管等方面不断完善适合乳山市的城乡配送管理模式。</w:t>
      </w:r>
      <w:r>
        <w:rPr>
          <w:color w:val="000000"/>
          <w:sz w:val="32"/>
          <w:szCs w:val="32"/>
        </w:rPr>
        <w:t>构建覆盖县乡村三级农村物流网络。加快公用型城市配送节点建设，构建干支衔接、通行顺畅的城市配送网络，鼓励货运枢纽站场完善城市配送功能；依托乡镇四位一体客运站，大力发展乡村货运；积极引导小件快递物流与农村客运班线结合，鼓励运输企业</w:t>
      </w:r>
      <w:r>
        <w:rPr>
          <w:rFonts w:hint="eastAsia"/>
          <w:color w:val="000000"/>
          <w:sz w:val="32"/>
          <w:szCs w:val="32"/>
        </w:rPr>
        <w:t>和</w:t>
      </w:r>
      <w:r>
        <w:rPr>
          <w:color w:val="000000"/>
          <w:sz w:val="32"/>
          <w:szCs w:val="32"/>
        </w:rPr>
        <w:t>邮政、快递企业参与农村物流网络建设，加快推进农村物流网络节点建设</w:t>
      </w:r>
      <w:r>
        <w:rPr>
          <w:rFonts w:hint="eastAsia"/>
          <w:color w:val="000000"/>
          <w:sz w:val="32"/>
          <w:szCs w:val="32"/>
        </w:rPr>
        <w:t>，统筹交通运输、邮政、供销等农村物流资源</w:t>
      </w:r>
      <w:r>
        <w:rPr>
          <w:color w:val="000000"/>
          <w:sz w:val="32"/>
          <w:szCs w:val="32"/>
        </w:rPr>
        <w:t>，引导</w:t>
      </w:r>
      <w:r>
        <w:rPr>
          <w:rFonts w:hint="eastAsia"/>
          <w:color w:val="000000"/>
          <w:sz w:val="32"/>
          <w:szCs w:val="32"/>
        </w:rPr>
        <w:t>“</w:t>
      </w:r>
      <w:r>
        <w:rPr>
          <w:color w:val="000000"/>
          <w:sz w:val="32"/>
          <w:szCs w:val="32"/>
        </w:rPr>
        <w:t>快邮合作</w:t>
      </w:r>
      <w:r>
        <w:rPr>
          <w:rFonts w:hint="eastAsia"/>
          <w:color w:val="000000"/>
          <w:sz w:val="32"/>
          <w:szCs w:val="32"/>
        </w:rPr>
        <w:t>”、“</w:t>
      </w:r>
      <w:r>
        <w:rPr>
          <w:color w:val="000000"/>
          <w:sz w:val="32"/>
          <w:szCs w:val="32"/>
        </w:rPr>
        <w:t>交邮合作</w:t>
      </w:r>
      <w:r>
        <w:rPr>
          <w:rFonts w:hint="eastAsia"/>
          <w:color w:val="000000"/>
          <w:sz w:val="32"/>
          <w:szCs w:val="32"/>
        </w:rPr>
        <w:t>”</w:t>
      </w:r>
      <w:r>
        <w:rPr>
          <w:color w:val="000000"/>
          <w:sz w:val="32"/>
          <w:szCs w:val="32"/>
        </w:rPr>
        <w:t>等推进农村物流发展</w:t>
      </w:r>
      <w:r>
        <w:rPr>
          <w:rFonts w:hint="eastAsia"/>
          <w:color w:val="000000"/>
          <w:sz w:val="32"/>
          <w:szCs w:val="32"/>
        </w:rPr>
        <w:t>，探索无人仓、无人机（车）城乡物流配送、城市智慧物流配送等应用</w:t>
      </w:r>
      <w:r>
        <w:rPr>
          <w:color w:val="000000"/>
          <w:sz w:val="32"/>
          <w:szCs w:val="32"/>
        </w:rPr>
        <w:t>，鼓励多站合一，可依托超市、商店实现服务多元化，全面提升农村物流站点服务能力和水平，助力乡村振兴</w:t>
      </w:r>
      <w:r>
        <w:rPr>
          <w:rFonts w:hint="eastAsia"/>
          <w:color w:val="000000"/>
          <w:sz w:val="32"/>
          <w:szCs w:val="32"/>
        </w:rPr>
        <w:t>。</w:t>
      </w:r>
    </w:p>
    <w:p w14:paraId="664B85BC">
      <w:pPr>
        <w:spacing w:line="360" w:lineRule="auto"/>
        <w:rPr>
          <w:color w:val="000000"/>
          <w:sz w:val="32"/>
          <w:szCs w:val="32"/>
        </w:rPr>
      </w:pPr>
      <w:r>
        <w:rPr>
          <w:rFonts w:hint="eastAsia"/>
          <w:color w:val="000000"/>
          <w:sz w:val="32"/>
          <w:szCs w:val="32"/>
        </w:rPr>
        <w:t>（1）建设目标</w:t>
      </w:r>
    </w:p>
    <w:p w14:paraId="5AB2A644">
      <w:pPr>
        <w:spacing w:line="360" w:lineRule="auto"/>
        <w:ind w:firstLine="640" w:firstLineChars="200"/>
        <w:rPr>
          <w:color w:val="000000"/>
          <w:sz w:val="32"/>
          <w:szCs w:val="32"/>
        </w:rPr>
      </w:pPr>
      <w:r>
        <w:rPr>
          <w:rFonts w:hint="eastAsia"/>
          <w:color w:val="000000"/>
          <w:sz w:val="32"/>
          <w:szCs w:val="32"/>
        </w:rPr>
        <w:t>实现农村物流服务覆盖率达到1</w:t>
      </w:r>
      <w:r>
        <w:rPr>
          <w:color w:val="000000"/>
          <w:sz w:val="32"/>
          <w:szCs w:val="32"/>
        </w:rPr>
        <w:t>00</w:t>
      </w:r>
      <w:r>
        <w:rPr>
          <w:rFonts w:hint="eastAsia"/>
          <w:color w:val="000000"/>
          <w:sz w:val="32"/>
          <w:szCs w:val="32"/>
        </w:rPr>
        <w:t>%。</w:t>
      </w:r>
    </w:p>
    <w:p w14:paraId="38061062">
      <w:pPr>
        <w:spacing w:line="360" w:lineRule="auto"/>
        <w:rPr>
          <w:color w:val="000000"/>
          <w:sz w:val="32"/>
          <w:szCs w:val="32"/>
        </w:rPr>
      </w:pPr>
      <w:r>
        <w:rPr>
          <w:rFonts w:hint="eastAsia"/>
          <w:color w:val="000000"/>
          <w:sz w:val="32"/>
          <w:szCs w:val="32"/>
        </w:rPr>
        <w:t>（2）重点任务</w:t>
      </w:r>
    </w:p>
    <w:p w14:paraId="1D13E4BC">
      <w:pPr>
        <w:spacing w:line="360" w:lineRule="auto"/>
        <w:ind w:firstLine="640" w:firstLineChars="200"/>
        <w:rPr>
          <w:color w:val="000000"/>
          <w:sz w:val="32"/>
          <w:szCs w:val="32"/>
        </w:rPr>
      </w:pPr>
      <w:r>
        <w:rPr>
          <w:rFonts w:hint="eastAsia"/>
          <w:color w:val="000000"/>
          <w:sz w:val="32"/>
          <w:szCs w:val="32"/>
        </w:rPr>
        <w:t>1）</w:t>
      </w:r>
      <w:r>
        <w:rPr>
          <w:color w:val="000000"/>
          <w:sz w:val="32"/>
          <w:szCs w:val="32"/>
        </w:rPr>
        <w:t>物流配送网点选址要便民</w:t>
      </w:r>
    </w:p>
    <w:p w14:paraId="0ED20980">
      <w:pPr>
        <w:spacing w:line="360" w:lineRule="auto"/>
        <w:ind w:firstLine="640" w:firstLineChars="200"/>
        <w:rPr>
          <w:color w:val="000000"/>
          <w:sz w:val="32"/>
          <w:szCs w:val="32"/>
        </w:rPr>
      </w:pPr>
      <w:r>
        <w:rPr>
          <w:color w:val="000000"/>
          <w:sz w:val="32"/>
          <w:szCs w:val="32"/>
        </w:rPr>
        <w:t>物流配送网点选取对物流公司在农村能否发展起来起着至关重要的作用。如果配送网点不够合理，那么物流服务肯定就很难满足用户的需求，而物流的成本也会增加不少。现在的物流配送点大都还只涉及到县城，考虑到农村人口居住分散这一现状，农村的配送点可以划分服务范围，如按街道划分，或者按家庭划分。将农村划分为几个单位，每单位选择最优的配送网点，网点的选择最好在本单位内人们经常出入的地方，如</w:t>
      </w:r>
      <w:r>
        <w:rPr>
          <w:rFonts w:hint="eastAsia"/>
          <w:color w:val="000000"/>
          <w:sz w:val="32"/>
          <w:szCs w:val="32"/>
        </w:rPr>
        <w:t>三农</w:t>
      </w:r>
      <w:r>
        <w:rPr>
          <w:color w:val="000000"/>
          <w:sz w:val="32"/>
          <w:szCs w:val="32"/>
        </w:rPr>
        <w:t>超市、</w:t>
      </w:r>
      <w:r>
        <w:rPr>
          <w:rFonts w:hint="eastAsia"/>
          <w:color w:val="000000"/>
          <w:sz w:val="32"/>
          <w:szCs w:val="32"/>
        </w:rPr>
        <w:t>邮政网点</w:t>
      </w:r>
      <w:r>
        <w:rPr>
          <w:color w:val="000000"/>
          <w:sz w:val="32"/>
          <w:szCs w:val="32"/>
        </w:rPr>
        <w:t>等</w:t>
      </w:r>
      <w:r>
        <w:rPr>
          <w:rFonts w:hint="eastAsia"/>
          <w:color w:val="000000"/>
          <w:sz w:val="32"/>
          <w:szCs w:val="32"/>
        </w:rPr>
        <w:t>。</w:t>
      </w:r>
    </w:p>
    <w:p w14:paraId="07535C81">
      <w:pPr>
        <w:spacing w:line="360" w:lineRule="auto"/>
        <w:ind w:firstLine="640" w:firstLineChars="200"/>
        <w:rPr>
          <w:color w:val="000000"/>
          <w:sz w:val="32"/>
          <w:szCs w:val="32"/>
        </w:rPr>
      </w:pPr>
      <w:r>
        <w:rPr>
          <w:rFonts w:hint="eastAsia"/>
          <w:color w:val="000000"/>
          <w:sz w:val="32"/>
          <w:szCs w:val="32"/>
        </w:rPr>
        <w:t>2）</w:t>
      </w:r>
      <w:r>
        <w:rPr>
          <w:color w:val="000000"/>
          <w:sz w:val="32"/>
          <w:szCs w:val="32"/>
        </w:rPr>
        <w:t>提高农村互联网水平</w:t>
      </w:r>
    </w:p>
    <w:p w14:paraId="1D4080C8">
      <w:pPr>
        <w:spacing w:line="360" w:lineRule="auto"/>
        <w:ind w:firstLine="640" w:firstLineChars="200"/>
        <w:rPr>
          <w:color w:val="000000"/>
          <w:sz w:val="32"/>
          <w:szCs w:val="32"/>
        </w:rPr>
      </w:pPr>
      <w:r>
        <w:rPr>
          <w:color w:val="000000"/>
          <w:sz w:val="32"/>
          <w:szCs w:val="32"/>
        </w:rPr>
        <w:t>农村人口中，10～40岁之间的人的互联网普及率较高。但与城市人口相比差距较大，需要通过加大农村互联网知识普及来缩小。与农村相比，县城的互联网普及率较高，距离农村也较近，因此，一方面需要国家出台政策鼓励县城具有互联网思维的人走进农村创业，或者鼓励农村大学生返乡创业；另一方面，各大物流企业派出互联网知识性人才下乡，帮助农村人口了解如何有效地使用互联网来适应现今的发展，由此来提高农村整体互联网水平</w:t>
      </w:r>
      <w:r>
        <w:rPr>
          <w:rFonts w:hint="eastAsia"/>
          <w:color w:val="000000"/>
          <w:sz w:val="32"/>
          <w:szCs w:val="32"/>
        </w:rPr>
        <w:t>。</w:t>
      </w:r>
    </w:p>
    <w:p w14:paraId="4232AD9D">
      <w:pPr>
        <w:pStyle w:val="20"/>
        <w:rPr>
          <w:color w:val="000000"/>
          <w:sz w:val="32"/>
        </w:rPr>
      </w:pPr>
      <w:bookmarkStart w:id="50" w:name="_Toc89371392"/>
      <w:r>
        <w:rPr>
          <w:rFonts w:hint="eastAsia"/>
          <w:color w:val="000000"/>
          <w:sz w:val="32"/>
        </w:rPr>
        <w:t>（三）发展智能交通系统</w:t>
      </w:r>
      <w:bookmarkEnd w:id="50"/>
    </w:p>
    <w:p w14:paraId="77110C5A">
      <w:pPr>
        <w:spacing w:line="360" w:lineRule="auto"/>
        <w:rPr>
          <w:color w:val="000000"/>
          <w:sz w:val="32"/>
          <w:szCs w:val="32"/>
        </w:rPr>
      </w:pPr>
      <w:r>
        <w:rPr>
          <w:rFonts w:hint="eastAsia"/>
          <w:color w:val="000000"/>
          <w:sz w:val="32"/>
          <w:szCs w:val="32"/>
        </w:rPr>
        <w:t>1</w:t>
      </w:r>
      <w:r>
        <w:rPr>
          <w:color w:val="000000"/>
          <w:sz w:val="32"/>
          <w:szCs w:val="32"/>
        </w:rPr>
        <w:t>.</w:t>
      </w:r>
      <w:r>
        <w:rPr>
          <w:rFonts w:hint="eastAsia"/>
          <w:color w:val="000000"/>
          <w:sz w:val="32"/>
          <w:szCs w:val="32"/>
        </w:rPr>
        <w:t>建设目标</w:t>
      </w:r>
    </w:p>
    <w:p w14:paraId="38347944">
      <w:pPr>
        <w:spacing w:line="360" w:lineRule="auto"/>
        <w:ind w:firstLine="640" w:firstLineChars="200"/>
        <w:rPr>
          <w:color w:val="000000"/>
          <w:sz w:val="32"/>
          <w:szCs w:val="32"/>
        </w:rPr>
      </w:pPr>
      <w:r>
        <w:rPr>
          <w:rFonts w:hint="eastAsia"/>
          <w:color w:val="000000"/>
          <w:sz w:val="32"/>
          <w:szCs w:val="32"/>
        </w:rPr>
        <w:t>构建乳山智能交通感知网络，推进运输服务、交通监管智能化，结合交通大数据，实现信息实时共享、互联互通，实现交通智能化管理与发展。</w:t>
      </w:r>
    </w:p>
    <w:p w14:paraId="1F3577CA">
      <w:pPr>
        <w:spacing w:line="360" w:lineRule="auto"/>
        <w:rPr>
          <w:color w:val="000000"/>
          <w:sz w:val="32"/>
          <w:szCs w:val="32"/>
        </w:rPr>
      </w:pPr>
      <w:r>
        <w:rPr>
          <w:rFonts w:hint="eastAsia"/>
          <w:color w:val="000000"/>
          <w:sz w:val="32"/>
          <w:szCs w:val="32"/>
        </w:rPr>
        <w:t>2</w:t>
      </w:r>
      <w:r>
        <w:rPr>
          <w:color w:val="000000"/>
          <w:sz w:val="32"/>
          <w:szCs w:val="32"/>
        </w:rPr>
        <w:t>.</w:t>
      </w:r>
      <w:r>
        <w:rPr>
          <w:rFonts w:hint="eastAsia"/>
          <w:color w:val="000000"/>
          <w:sz w:val="32"/>
          <w:szCs w:val="32"/>
        </w:rPr>
        <w:t>重点任务</w:t>
      </w:r>
    </w:p>
    <w:p w14:paraId="4148E8A1">
      <w:pPr>
        <w:spacing w:line="360" w:lineRule="auto"/>
        <w:rPr>
          <w:color w:val="000000"/>
          <w:sz w:val="32"/>
          <w:szCs w:val="32"/>
        </w:rPr>
      </w:pPr>
      <w:r>
        <w:rPr>
          <w:rFonts w:hint="eastAsia"/>
          <w:color w:val="000000"/>
          <w:sz w:val="32"/>
          <w:szCs w:val="32"/>
        </w:rPr>
        <w:t>（</w:t>
      </w:r>
      <w:r>
        <w:rPr>
          <w:color w:val="000000"/>
          <w:sz w:val="32"/>
          <w:szCs w:val="32"/>
        </w:rPr>
        <w:t>1</w:t>
      </w:r>
      <w:r>
        <w:rPr>
          <w:rFonts w:hint="eastAsia"/>
          <w:color w:val="000000"/>
          <w:sz w:val="32"/>
          <w:szCs w:val="32"/>
        </w:rPr>
        <w:t>）</w:t>
      </w:r>
      <w:r>
        <w:rPr>
          <w:color w:val="000000"/>
          <w:sz w:val="32"/>
          <w:szCs w:val="32"/>
        </w:rPr>
        <w:t>运营车辆高</w:t>
      </w:r>
      <w:r>
        <w:rPr>
          <w:rFonts w:hint="eastAsia"/>
          <w:color w:val="000000"/>
          <w:sz w:val="32"/>
          <w:szCs w:val="32"/>
        </w:rPr>
        <w:t>精度</w:t>
      </w:r>
      <w:r>
        <w:rPr>
          <w:color w:val="000000"/>
          <w:sz w:val="32"/>
          <w:szCs w:val="32"/>
        </w:rPr>
        <w:t>管理系统</w:t>
      </w:r>
    </w:p>
    <w:p w14:paraId="27179381">
      <w:pPr>
        <w:spacing w:line="360" w:lineRule="auto"/>
        <w:ind w:firstLine="640" w:firstLineChars="200"/>
        <w:rPr>
          <w:color w:val="000000"/>
          <w:sz w:val="32"/>
          <w:szCs w:val="32"/>
        </w:rPr>
      </w:pPr>
      <w:r>
        <w:rPr>
          <w:color w:val="000000"/>
          <w:sz w:val="32"/>
          <w:szCs w:val="32"/>
        </w:rPr>
        <w:t>通过</w:t>
      </w:r>
      <w:r>
        <w:rPr>
          <w:rFonts w:hint="eastAsia"/>
          <w:color w:val="000000"/>
          <w:sz w:val="32"/>
          <w:szCs w:val="32"/>
        </w:rPr>
        <w:t>运营车辆</w:t>
      </w:r>
      <w:r>
        <w:rPr>
          <w:color w:val="000000"/>
          <w:sz w:val="32"/>
          <w:szCs w:val="32"/>
        </w:rPr>
        <w:t>的</w:t>
      </w:r>
      <w:r>
        <w:fldChar w:fldCharType="begin"/>
      </w:r>
      <w:r>
        <w:instrText xml:space="preserve"> HYPERLINK "https://baike.baidu.com/item/%E8%BD%A6%E8%BD%BD%E7%94%B5%E8%84%91" \t "_blank" </w:instrText>
      </w:r>
      <w:r>
        <w:fldChar w:fldCharType="separate"/>
      </w:r>
      <w:r>
        <w:rPr>
          <w:color w:val="000000"/>
          <w:sz w:val="32"/>
          <w:szCs w:val="32"/>
        </w:rPr>
        <w:t>车载电脑</w:t>
      </w:r>
      <w:r>
        <w:fldChar w:fldCharType="end"/>
      </w:r>
      <w:r>
        <w:rPr>
          <w:color w:val="000000"/>
          <w:sz w:val="32"/>
          <w:szCs w:val="32"/>
        </w:rPr>
        <w:t>、高度管理中心</w:t>
      </w:r>
      <w:r>
        <w:fldChar w:fldCharType="begin"/>
      </w:r>
      <w:r>
        <w:instrText xml:space="preserve"> HYPERLINK "https://baike.baidu.com/item/%E8%AE%A1%E7%AE%97%E6%9C%BA" \t "_blank" </w:instrText>
      </w:r>
      <w:r>
        <w:fldChar w:fldCharType="separate"/>
      </w:r>
      <w:r>
        <w:rPr>
          <w:color w:val="000000"/>
          <w:sz w:val="32"/>
          <w:szCs w:val="32"/>
        </w:rPr>
        <w:t>计算机</w:t>
      </w:r>
      <w:r>
        <w:fldChar w:fldCharType="end"/>
      </w:r>
      <w:r>
        <w:rPr>
          <w:color w:val="000000"/>
          <w:sz w:val="32"/>
          <w:szCs w:val="32"/>
        </w:rPr>
        <w:t>与全球定位系统卫星联网，实现驾驶员与调度管理中心之间的双向通讯，</w:t>
      </w:r>
      <w:r>
        <w:rPr>
          <w:rFonts w:hint="eastAsia"/>
          <w:color w:val="000000"/>
          <w:sz w:val="32"/>
          <w:szCs w:val="32"/>
        </w:rPr>
        <w:t>提高</w:t>
      </w:r>
      <w:r>
        <w:rPr>
          <w:color w:val="000000"/>
          <w:sz w:val="32"/>
          <w:szCs w:val="32"/>
        </w:rPr>
        <w:t>商业车辆、公共汽车和出租汽车的运营效率。</w:t>
      </w:r>
    </w:p>
    <w:p w14:paraId="7B6CBF72">
      <w:pPr>
        <w:spacing w:line="360" w:lineRule="auto"/>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）旅行信息系统</w:t>
      </w:r>
    </w:p>
    <w:p w14:paraId="32423BC1">
      <w:pPr>
        <w:spacing w:line="360" w:lineRule="auto"/>
        <w:ind w:firstLine="640" w:firstLineChars="200"/>
        <w:rPr>
          <w:color w:val="000000"/>
          <w:sz w:val="32"/>
          <w:szCs w:val="32"/>
        </w:rPr>
      </w:pPr>
      <w:r>
        <w:rPr>
          <w:rFonts w:hint="eastAsia"/>
          <w:color w:val="000000"/>
          <w:sz w:val="32"/>
          <w:szCs w:val="32"/>
        </w:rPr>
        <w:t>为促进乳山市旅游产业的发展，需加强旅行信息系统建设。</w:t>
      </w:r>
      <w:r>
        <w:rPr>
          <w:color w:val="000000"/>
          <w:sz w:val="32"/>
          <w:szCs w:val="32"/>
        </w:rPr>
        <w:t>为外出旅行人员及时提供各种交通信息</w:t>
      </w:r>
      <w:r>
        <w:rPr>
          <w:rFonts w:hint="eastAsia"/>
          <w:color w:val="000000"/>
          <w:sz w:val="32"/>
          <w:szCs w:val="32"/>
        </w:rPr>
        <w:t>，</w:t>
      </w:r>
      <w:r>
        <w:rPr>
          <w:color w:val="000000"/>
          <w:sz w:val="32"/>
          <w:szCs w:val="32"/>
        </w:rPr>
        <w:t>该系统提供信息的媒介是多种多样的，如电脑、电视、电话、路标、无线电、车内显示屏等。无论</w:t>
      </w:r>
      <w:r>
        <w:rPr>
          <w:rFonts w:hint="eastAsia"/>
          <w:color w:val="000000"/>
          <w:sz w:val="32"/>
          <w:szCs w:val="32"/>
        </w:rPr>
        <w:t>游客身居何地，都</w:t>
      </w:r>
      <w:r>
        <w:rPr>
          <w:color w:val="000000"/>
          <w:sz w:val="32"/>
          <w:szCs w:val="32"/>
        </w:rPr>
        <w:t>能从信息系统中获得所需要的信息。</w:t>
      </w:r>
      <w:r>
        <w:rPr>
          <w:rFonts w:hint="eastAsia"/>
          <w:color w:val="000000"/>
          <w:sz w:val="32"/>
          <w:szCs w:val="32"/>
        </w:rPr>
        <w:t>充分整合各种售票渠道和售票资源，统筹运输方式间运力、班次对接，推动实现旅客出行一次购票、无缝衔接、全程服务。</w:t>
      </w:r>
    </w:p>
    <w:p w14:paraId="1A070FBB">
      <w:pPr>
        <w:spacing w:line="360" w:lineRule="auto"/>
        <w:rPr>
          <w:color w:val="000000"/>
          <w:sz w:val="32"/>
          <w:szCs w:val="32"/>
        </w:rPr>
      </w:pPr>
      <w:r>
        <w:rPr>
          <w:rFonts w:hint="eastAsia"/>
          <w:color w:val="000000"/>
          <w:sz w:val="32"/>
          <w:szCs w:val="32"/>
        </w:rPr>
        <w:t>（</w:t>
      </w:r>
      <w:r>
        <w:rPr>
          <w:color w:val="000000"/>
          <w:sz w:val="32"/>
          <w:szCs w:val="32"/>
        </w:rPr>
        <w:t>3</w:t>
      </w:r>
      <w:r>
        <w:rPr>
          <w:rFonts w:hint="eastAsia"/>
          <w:color w:val="000000"/>
          <w:sz w:val="32"/>
          <w:szCs w:val="32"/>
        </w:rPr>
        <w:t>）发展智能交通系统</w:t>
      </w:r>
    </w:p>
    <w:p w14:paraId="0EBC35FD">
      <w:pPr>
        <w:spacing w:line="360" w:lineRule="auto"/>
        <w:ind w:firstLine="640" w:firstLineChars="200"/>
        <w:rPr>
          <w:color w:val="000000"/>
          <w:sz w:val="32"/>
          <w:szCs w:val="32"/>
        </w:rPr>
      </w:pPr>
      <w:r>
        <w:rPr>
          <w:rFonts w:hint="eastAsia"/>
          <w:color w:val="000000"/>
          <w:sz w:val="32"/>
          <w:szCs w:val="32"/>
        </w:rPr>
        <w:t>采用A</w:t>
      </w:r>
      <w:r>
        <w:rPr>
          <w:color w:val="000000"/>
          <w:sz w:val="32"/>
          <w:szCs w:val="32"/>
        </w:rPr>
        <w:t>PTS</w:t>
      </w:r>
      <w:r>
        <w:rPr>
          <w:rFonts w:hint="eastAsia"/>
          <w:color w:val="000000"/>
          <w:sz w:val="32"/>
          <w:szCs w:val="32"/>
        </w:rPr>
        <w:t>，</w:t>
      </w:r>
      <w:r>
        <w:rPr>
          <w:color w:val="000000"/>
          <w:sz w:val="32"/>
          <w:szCs w:val="32"/>
        </w:rPr>
        <w:t>促进公共运输业的发展，使公交系统实现安全便捷、经济、运量大的目标。通过</w:t>
      </w:r>
      <w:r>
        <w:rPr>
          <w:rFonts w:hint="eastAsia"/>
          <w:color w:val="000000"/>
          <w:sz w:val="32"/>
          <w:szCs w:val="32"/>
        </w:rPr>
        <w:t>客户端</w:t>
      </w:r>
      <w:r>
        <w:rPr>
          <w:color w:val="000000"/>
          <w:sz w:val="32"/>
          <w:szCs w:val="32"/>
        </w:rPr>
        <w:t>等向公众就出行方式和事件、路线及车次选择等提供咨询，在公交车站通过显示器向候车者提供车辆的实时运行信息。在公交车辆管理中心，可以根据车辆的实时状态合理安排发车、收车等计划，提高工作效率和服务质量。</w:t>
      </w:r>
    </w:p>
    <w:p w14:paraId="222463BB">
      <w:pPr>
        <w:spacing w:line="360" w:lineRule="auto"/>
        <w:ind w:firstLine="640" w:firstLineChars="200"/>
        <w:rPr>
          <w:color w:val="000000"/>
          <w:sz w:val="32"/>
          <w:szCs w:val="32"/>
        </w:rPr>
      </w:pPr>
      <w:r>
        <w:rPr>
          <w:rFonts w:hint="eastAsia"/>
          <w:color w:val="000000"/>
          <w:sz w:val="32"/>
          <w:szCs w:val="32"/>
        </w:rPr>
        <w:t>配合推进车联网建设，推广智能交通信息基础网络应用，布局基于互联网和5G的道路无线通信网；建设智能交通感知监测系统，加强交通基础设施网络基本状态、交通工具运行、运输组织调度的信息采集，形成动态感知、广泛覆盖的交通运输监控体系。</w:t>
      </w:r>
    </w:p>
    <w:p w14:paraId="4A6247CC">
      <w:pPr>
        <w:spacing w:line="360" w:lineRule="auto"/>
        <w:rPr>
          <w:color w:val="000000"/>
          <w:sz w:val="32"/>
          <w:szCs w:val="32"/>
        </w:rPr>
      </w:pPr>
      <w:r>
        <w:rPr>
          <w:rFonts w:hint="eastAsia"/>
          <w:color w:val="000000"/>
          <w:sz w:val="32"/>
          <w:szCs w:val="32"/>
        </w:rPr>
        <w:t>（</w:t>
      </w:r>
      <w:r>
        <w:rPr>
          <w:color w:val="000000"/>
          <w:sz w:val="32"/>
          <w:szCs w:val="32"/>
        </w:rPr>
        <w:t>4</w:t>
      </w:r>
      <w:r>
        <w:rPr>
          <w:rFonts w:hint="eastAsia"/>
          <w:color w:val="000000"/>
          <w:sz w:val="32"/>
          <w:szCs w:val="32"/>
        </w:rPr>
        <w:t>）货运管理系统</w:t>
      </w:r>
    </w:p>
    <w:p w14:paraId="2313E2CA">
      <w:pPr>
        <w:spacing w:line="360" w:lineRule="auto"/>
        <w:ind w:firstLine="640" w:firstLineChars="200"/>
        <w:rPr>
          <w:color w:val="000000"/>
          <w:sz w:val="32"/>
          <w:szCs w:val="32"/>
        </w:rPr>
      </w:pPr>
      <w:r>
        <w:rPr>
          <w:color w:val="000000"/>
          <w:sz w:val="32"/>
          <w:szCs w:val="32"/>
        </w:rPr>
        <w:t>以高速道路网和</w:t>
      </w:r>
      <w:r>
        <w:fldChar w:fldCharType="begin"/>
      </w:r>
      <w:r>
        <w:instrText xml:space="preserve"> HYPERLINK "https://baike.baidu.com/item/%E4%BF%A1%E6%81%AF%E7%AE%A1%E7%90%86%E7%B3%BB%E7%BB%9F" \t "_blank" </w:instrText>
      </w:r>
      <w:r>
        <w:fldChar w:fldCharType="separate"/>
      </w:r>
      <w:r>
        <w:rPr>
          <w:color w:val="000000"/>
          <w:sz w:val="32"/>
          <w:szCs w:val="32"/>
        </w:rPr>
        <w:t>信息管理系统</w:t>
      </w:r>
      <w:r>
        <w:fldChar w:fldCharType="end"/>
      </w:r>
      <w:r>
        <w:rPr>
          <w:color w:val="000000"/>
          <w:sz w:val="32"/>
          <w:szCs w:val="32"/>
        </w:rPr>
        <w:t>为基础，利用物流理论进行管理的智能化的物流管理系统。综合利用卫星定位、</w:t>
      </w:r>
      <w:r>
        <w:fldChar w:fldCharType="begin"/>
      </w:r>
      <w:r>
        <w:instrText xml:space="preserve"> HYPERLINK "https://baike.baidu.com/item/%E5%9C%B0%E7%90%86%E4%BF%A1%E6%81%AF%E7%B3%BB%E7%BB%9F" \t "_blank" </w:instrText>
      </w:r>
      <w:r>
        <w:fldChar w:fldCharType="separate"/>
      </w:r>
      <w:r>
        <w:rPr>
          <w:color w:val="000000"/>
          <w:sz w:val="32"/>
          <w:szCs w:val="32"/>
        </w:rPr>
        <w:t>地理信息系统</w:t>
      </w:r>
      <w:r>
        <w:fldChar w:fldCharType="end"/>
      </w:r>
      <w:r>
        <w:rPr>
          <w:color w:val="000000"/>
          <w:sz w:val="32"/>
          <w:szCs w:val="32"/>
        </w:rPr>
        <w:t>、物流信息及网络技术有效组织货物运输，提高货运效率。</w:t>
      </w:r>
    </w:p>
    <w:p w14:paraId="34C5F27E">
      <w:pPr>
        <w:spacing w:line="360" w:lineRule="auto"/>
        <w:rPr>
          <w:color w:val="000000"/>
          <w:sz w:val="32"/>
          <w:szCs w:val="32"/>
        </w:rPr>
      </w:pPr>
      <w:r>
        <w:rPr>
          <w:rFonts w:hint="eastAsia"/>
          <w:color w:val="000000"/>
          <w:sz w:val="32"/>
          <w:szCs w:val="32"/>
        </w:rPr>
        <w:t>（5）客运管理系统</w:t>
      </w:r>
    </w:p>
    <w:p w14:paraId="201DBF2D">
      <w:pPr>
        <w:spacing w:line="360" w:lineRule="auto"/>
        <w:ind w:firstLine="645"/>
        <w:rPr>
          <w:color w:val="000000"/>
          <w:sz w:val="32"/>
          <w:szCs w:val="32"/>
        </w:rPr>
      </w:pPr>
      <w:r>
        <w:rPr>
          <w:rFonts w:hint="eastAsia"/>
          <w:color w:val="000000"/>
          <w:sz w:val="32"/>
          <w:szCs w:val="32"/>
        </w:rPr>
        <w:t>探索建立高质量智能交通公众服务系统，完善客云数据资源共享机制，推动基于大数据平台的分析研判系统和出行信息服务系统的研发和建设。建设舒适型的高速公路不停车收费系统，推进高速公路不停车收费系统的拓展应用。</w:t>
      </w:r>
    </w:p>
    <w:p w14:paraId="4B67EA68">
      <w:pPr>
        <w:spacing w:line="360" w:lineRule="auto"/>
        <w:rPr>
          <w:color w:val="000000"/>
          <w:sz w:val="32"/>
          <w:szCs w:val="32"/>
        </w:rPr>
      </w:pPr>
      <w:r>
        <w:rPr>
          <w:rFonts w:hint="eastAsia"/>
          <w:color w:val="000000"/>
          <w:sz w:val="32"/>
          <w:szCs w:val="32"/>
        </w:rPr>
        <w:t>（6）行业保障与监管智能化</w:t>
      </w:r>
    </w:p>
    <w:p w14:paraId="53A793E2">
      <w:pPr>
        <w:spacing w:line="360" w:lineRule="auto"/>
        <w:rPr>
          <w:color w:val="000000"/>
          <w:sz w:val="32"/>
          <w:szCs w:val="32"/>
        </w:rPr>
      </w:pPr>
      <w:r>
        <w:rPr>
          <w:rFonts w:hint="eastAsia"/>
          <w:color w:val="000000"/>
          <w:sz w:val="32"/>
          <w:szCs w:val="32"/>
        </w:rPr>
        <w:t xml:space="preserve"> </w:t>
      </w:r>
      <w:r>
        <w:rPr>
          <w:color w:val="000000"/>
          <w:sz w:val="32"/>
          <w:szCs w:val="32"/>
        </w:rPr>
        <w:t xml:space="preserve">   </w:t>
      </w:r>
      <w:r>
        <w:rPr>
          <w:rFonts w:hint="eastAsia"/>
          <w:color w:val="000000"/>
          <w:sz w:val="32"/>
          <w:szCs w:val="32"/>
        </w:rPr>
        <w:t>提升交通运输行业领域的智能化监测和管理能力，推广应用先进的铁路调度指挥和运输管理技术，完善现代空管系统，提升港口运行状态实时监测能力；建设智能交通决策支持系统，</w:t>
      </w:r>
      <w:r>
        <w:rPr>
          <w:color w:val="000000"/>
          <w:sz w:val="32"/>
          <w:szCs w:val="32"/>
        </w:rPr>
        <w:t>用大数据分析技术，开展交通运输经济运行分析、政策实施效果评价、交通发展趋势研判等；通过智能技术与围绕人、车、路、环境的交通安全系统的深度融合，提升交通安全的智能化水平</w:t>
      </w:r>
      <w:r>
        <w:rPr>
          <w:rFonts w:hint="eastAsia"/>
          <w:color w:val="000000"/>
          <w:sz w:val="32"/>
          <w:szCs w:val="32"/>
        </w:rPr>
        <w:t>。</w:t>
      </w:r>
    </w:p>
    <w:p w14:paraId="3DCF0A3C">
      <w:pPr>
        <w:pStyle w:val="20"/>
        <w:rPr>
          <w:color w:val="000000"/>
          <w:sz w:val="32"/>
        </w:rPr>
      </w:pPr>
      <w:bookmarkStart w:id="51" w:name="_Toc89371393"/>
      <w:r>
        <w:rPr>
          <w:rFonts w:hint="eastAsia"/>
          <w:color w:val="000000"/>
          <w:sz w:val="32"/>
        </w:rPr>
        <w:t>（四）推动绿色交通发展</w:t>
      </w:r>
      <w:bookmarkEnd w:id="51"/>
    </w:p>
    <w:p w14:paraId="09A882BC">
      <w:pPr>
        <w:spacing w:line="360" w:lineRule="auto"/>
        <w:ind w:firstLine="640" w:firstLineChars="200"/>
        <w:rPr>
          <w:color w:val="000000"/>
          <w:sz w:val="32"/>
          <w:szCs w:val="32"/>
        </w:rPr>
      </w:pPr>
      <w:r>
        <w:rPr>
          <w:rFonts w:hint="eastAsia"/>
          <w:color w:val="000000"/>
          <w:sz w:val="32"/>
          <w:szCs w:val="32"/>
        </w:rPr>
        <w:t>提升节能环保、集约高效的绿色交通发展水平。聚焦打造绿色公路、铁路、港口、机场。</w:t>
      </w:r>
    </w:p>
    <w:p w14:paraId="60C1D682">
      <w:pPr>
        <w:spacing w:line="360" w:lineRule="auto"/>
        <w:ind w:firstLine="640" w:firstLineChars="200"/>
        <w:rPr>
          <w:color w:val="000000"/>
          <w:sz w:val="32"/>
          <w:szCs w:val="32"/>
        </w:rPr>
      </w:pPr>
      <w:r>
        <w:rPr>
          <w:rFonts w:hint="eastAsia"/>
          <w:color w:val="000000"/>
          <w:sz w:val="32"/>
          <w:szCs w:val="32"/>
        </w:rPr>
        <w:t>1</w:t>
      </w:r>
      <w:r>
        <w:rPr>
          <w:color w:val="000000"/>
          <w:sz w:val="32"/>
          <w:szCs w:val="32"/>
        </w:rPr>
        <w:t>.</w:t>
      </w:r>
      <w:r>
        <w:rPr>
          <w:rFonts w:hint="eastAsia"/>
          <w:color w:val="000000"/>
          <w:sz w:val="32"/>
          <w:szCs w:val="32"/>
        </w:rPr>
        <w:t xml:space="preserve"> 改善货物运输结构。</w:t>
      </w:r>
    </w:p>
    <w:p w14:paraId="5647FF02">
      <w:pPr>
        <w:spacing w:line="360" w:lineRule="auto"/>
        <w:ind w:firstLine="640" w:firstLineChars="200"/>
        <w:rPr>
          <w:color w:val="000000"/>
          <w:sz w:val="32"/>
          <w:szCs w:val="32"/>
        </w:rPr>
      </w:pPr>
      <w:r>
        <w:rPr>
          <w:rFonts w:hint="eastAsia"/>
          <w:color w:val="000000"/>
          <w:sz w:val="32"/>
          <w:szCs w:val="32"/>
        </w:rPr>
        <w:t>按照“宜水则水、宜陆则陆、宜空则空”的原则，调整优化货运结构，促进不同运输方式各展其长、良性竞争、整体更优。提升铁路全程物流服务水平，理顺运价形成机制，提高疏港比例，发挥铁路在大宗物资中远距离运输中的骨干作用。充分发挥水运占地少、能耗低、运能大等比较优势。逐步减少重载柴油货车在大宗散货长距离运输中的比重。</w:t>
      </w:r>
    </w:p>
    <w:p w14:paraId="013553FC">
      <w:pPr>
        <w:spacing w:line="360" w:lineRule="auto"/>
        <w:ind w:firstLine="640" w:firstLineChars="200"/>
        <w:rPr>
          <w:color w:val="000000"/>
          <w:sz w:val="32"/>
          <w:szCs w:val="32"/>
        </w:rPr>
      </w:pPr>
      <w:r>
        <w:rPr>
          <w:rFonts w:hint="eastAsia"/>
          <w:color w:val="000000"/>
          <w:sz w:val="32"/>
          <w:szCs w:val="32"/>
        </w:rPr>
        <w:t>2</w:t>
      </w:r>
      <w:r>
        <w:rPr>
          <w:color w:val="000000"/>
          <w:sz w:val="32"/>
          <w:szCs w:val="32"/>
        </w:rPr>
        <w:t>.</w:t>
      </w:r>
      <w:r>
        <w:rPr>
          <w:rFonts w:hint="eastAsia"/>
          <w:color w:val="000000"/>
          <w:sz w:val="32"/>
          <w:szCs w:val="32"/>
        </w:rPr>
        <w:t xml:space="preserve"> 发展高效城市配送模式。</w:t>
      </w:r>
    </w:p>
    <w:p w14:paraId="71726378">
      <w:pPr>
        <w:spacing w:line="360" w:lineRule="auto"/>
        <w:ind w:firstLine="640" w:firstLineChars="200"/>
        <w:rPr>
          <w:color w:val="000000"/>
          <w:sz w:val="32"/>
          <w:szCs w:val="32"/>
        </w:rPr>
      </w:pPr>
      <w:r>
        <w:rPr>
          <w:rFonts w:hint="eastAsia"/>
          <w:color w:val="000000"/>
          <w:sz w:val="32"/>
          <w:szCs w:val="32"/>
        </w:rPr>
        <w:t>加快推进城市绿色货运配送，优化城市货运和快递配送体系，在城市周边布局建设公共货运场站或快件分拨中心，完善城市主要商业区、校园、社区等末端配送节点设施，引导企业发展统一配送、集中配送、共同配送等集约化组织方式。鼓励发展智能快件箱等智能投递设施，积极协调公安等部门保障快递电动车辆依法依规通行。 </w:t>
      </w:r>
    </w:p>
    <w:p w14:paraId="335AAD6D">
      <w:pPr>
        <w:spacing w:line="360" w:lineRule="auto"/>
        <w:ind w:firstLine="640" w:firstLineChars="200"/>
        <w:rPr>
          <w:color w:val="000000"/>
          <w:sz w:val="32"/>
          <w:szCs w:val="32"/>
        </w:rPr>
      </w:pPr>
      <w:r>
        <w:rPr>
          <w:rFonts w:hint="eastAsia"/>
          <w:color w:val="000000"/>
          <w:sz w:val="32"/>
          <w:szCs w:val="32"/>
        </w:rPr>
        <w:t>3</w:t>
      </w:r>
      <w:r>
        <w:rPr>
          <w:color w:val="000000"/>
          <w:sz w:val="32"/>
          <w:szCs w:val="32"/>
        </w:rPr>
        <w:t>.</w:t>
      </w:r>
      <w:r>
        <w:rPr>
          <w:rFonts w:hint="eastAsia"/>
          <w:color w:val="000000"/>
          <w:sz w:val="32"/>
          <w:szCs w:val="32"/>
        </w:rPr>
        <w:t xml:space="preserve"> 全面开展绿色出行行动。</w:t>
      </w:r>
    </w:p>
    <w:p w14:paraId="78C450F5">
      <w:pPr>
        <w:spacing w:line="360" w:lineRule="auto"/>
        <w:ind w:firstLine="640" w:firstLineChars="200"/>
        <w:rPr>
          <w:color w:val="000000"/>
          <w:sz w:val="32"/>
          <w:szCs w:val="32"/>
        </w:rPr>
      </w:pPr>
      <w:r>
        <w:rPr>
          <w:rFonts w:hint="eastAsia"/>
          <w:color w:val="000000"/>
          <w:sz w:val="32"/>
          <w:szCs w:val="32"/>
        </w:rPr>
        <w:t>优化交通基础设施和运力结构，促进结构性节能减排。积极鼓励公众使用绿色出行方式，进一步提升公交等绿色低碳出行方式比重。加强自行车专用道和行人步道等城市慢行系统建设，改善自行车、步行出行条件。积极推广“城市公共交通+步行/（电动）自行车”为主的城市出行体系，鼓励公众绿色出行。引导规范私人小客车合乘、互联网租赁自行车等健康发展。鼓励汽车租赁业网络化、规模化发展，依托火车站等客运枢纽发展“落地租车”服务，促进分时租赁创新发展。</w:t>
      </w:r>
    </w:p>
    <w:p w14:paraId="67538F9F">
      <w:pPr>
        <w:spacing w:line="360" w:lineRule="auto"/>
        <w:ind w:firstLine="640" w:firstLineChars="200"/>
        <w:rPr>
          <w:color w:val="000000"/>
          <w:sz w:val="32"/>
          <w:szCs w:val="32"/>
        </w:rPr>
      </w:pPr>
      <w:r>
        <w:rPr>
          <w:rFonts w:hint="eastAsia"/>
          <w:color w:val="000000"/>
          <w:sz w:val="32"/>
          <w:szCs w:val="32"/>
        </w:rPr>
        <w:t>4</w:t>
      </w:r>
      <w:r>
        <w:rPr>
          <w:color w:val="000000"/>
          <w:sz w:val="32"/>
          <w:szCs w:val="32"/>
        </w:rPr>
        <w:t>.</w:t>
      </w:r>
      <w:r>
        <w:rPr>
          <w:rFonts w:hint="eastAsia"/>
          <w:color w:val="000000"/>
          <w:sz w:val="32"/>
          <w:szCs w:val="32"/>
        </w:rPr>
        <w:t xml:space="preserve"> 推广应用新能源和清洁能源车船。</w:t>
      </w:r>
    </w:p>
    <w:p w14:paraId="413237BC">
      <w:pPr>
        <w:spacing w:line="360" w:lineRule="auto"/>
        <w:ind w:firstLine="640" w:firstLineChars="200"/>
        <w:rPr>
          <w:color w:val="000000"/>
          <w:sz w:val="32"/>
          <w:szCs w:val="32"/>
        </w:rPr>
      </w:pPr>
      <w:r>
        <w:rPr>
          <w:rFonts w:hint="eastAsia"/>
          <w:color w:val="000000"/>
          <w:sz w:val="32"/>
          <w:szCs w:val="32"/>
        </w:rPr>
        <w:t>强化碳排放控制，促进混合动力、纯电动、燃料电池汽车等新能源车辆的推广应用，积极推进新能源动力船舶发展。在港口和机场服务、城市公交、出租汽车、城市物流配送、汽车租赁、邮政快递等领域优先使用新能源汽车，加大天然气等清洁燃料车船推广应用。联合环保、工信、质检、公安等部门，严格落实国家、行业有关能耗等标准限值要求，鼓励支持节能环保车辆优先使用，推动运输装备升级进档。联合公安等部门研究制定鼓励新能源汽车使用的差异化政策措施。支持高速公路服务区、交通枢纽和普通国省道沿线充电设施的规划与建设，探索加氢站的规划与建设，推广应用清洁绿色运载工具。</w:t>
      </w:r>
    </w:p>
    <w:p w14:paraId="77986843">
      <w:pPr>
        <w:spacing w:line="360" w:lineRule="auto"/>
        <w:ind w:firstLine="640" w:firstLineChars="200"/>
        <w:rPr>
          <w:color w:val="000000"/>
          <w:sz w:val="32"/>
          <w:szCs w:val="32"/>
        </w:rPr>
      </w:pPr>
      <w:r>
        <w:rPr>
          <w:rFonts w:hint="eastAsia"/>
          <w:color w:val="000000"/>
          <w:sz w:val="32"/>
          <w:szCs w:val="32"/>
        </w:rPr>
        <w:t>5</w:t>
      </w:r>
      <w:r>
        <w:rPr>
          <w:color w:val="000000"/>
          <w:sz w:val="32"/>
          <w:szCs w:val="32"/>
        </w:rPr>
        <w:t xml:space="preserve">. </w:t>
      </w:r>
      <w:r>
        <w:rPr>
          <w:rFonts w:hint="eastAsia"/>
          <w:color w:val="000000"/>
          <w:sz w:val="32"/>
          <w:szCs w:val="32"/>
        </w:rPr>
        <w:t>加强生态保护和污染防治</w:t>
      </w:r>
    </w:p>
    <w:p w14:paraId="22FD03E8">
      <w:pPr>
        <w:spacing w:line="360" w:lineRule="auto"/>
        <w:ind w:firstLine="640" w:firstLineChars="200"/>
        <w:rPr>
          <w:color w:val="000000"/>
          <w:sz w:val="32"/>
          <w:szCs w:val="32"/>
        </w:rPr>
      </w:pPr>
      <w:r>
        <w:rPr>
          <w:rFonts w:hint="eastAsia"/>
          <w:color w:val="000000"/>
          <w:sz w:val="32"/>
          <w:szCs w:val="32"/>
        </w:rPr>
        <w:t>加强交通建设生态保护，严守生态保护红线，严格落实生态保护和水土保持措施，严格实施生态修复、地质环境治理恢复与土地复垦，将生态环保理念贯穿交通基础设施规划、建设、运营和养护全过程。优化交通建设项目选线，工程项目建设中尽量减小对生态环境的影响与破坏，处理好与生态敏感区的关系，积极推进生态破坏严重的已建工程生态修复。发展交通运输业的同时加强污染治理。</w:t>
      </w:r>
    </w:p>
    <w:p w14:paraId="710EB78C">
      <w:pPr>
        <w:pStyle w:val="20"/>
        <w:rPr>
          <w:color w:val="000000"/>
          <w:sz w:val="32"/>
        </w:rPr>
      </w:pPr>
      <w:bookmarkStart w:id="52" w:name="_Toc45563618"/>
      <w:bookmarkStart w:id="53" w:name="_Toc89371394"/>
      <w:r>
        <w:rPr>
          <w:rFonts w:hint="eastAsia"/>
          <w:color w:val="000000"/>
          <w:sz w:val="32"/>
        </w:rPr>
        <w:t>（五）推动安全交通发展</w:t>
      </w:r>
      <w:bookmarkEnd w:id="52"/>
      <w:bookmarkEnd w:id="53"/>
    </w:p>
    <w:p w14:paraId="587CB9F9">
      <w:pPr>
        <w:spacing w:line="360" w:lineRule="auto"/>
        <w:ind w:firstLine="645"/>
        <w:rPr>
          <w:color w:val="000000"/>
          <w:sz w:val="32"/>
          <w:szCs w:val="32"/>
        </w:rPr>
      </w:pPr>
      <w:r>
        <w:rPr>
          <w:color w:val="000000"/>
          <w:sz w:val="32"/>
          <w:szCs w:val="32"/>
        </w:rPr>
        <w:t xml:space="preserve">1. </w:t>
      </w:r>
      <w:r>
        <w:rPr>
          <w:rFonts w:hint="eastAsia"/>
          <w:color w:val="000000"/>
          <w:sz w:val="32"/>
          <w:szCs w:val="32"/>
        </w:rPr>
        <w:t>完善交通安全防控体系。建立完善安全生产风险分级管控和隐患排查治理双重预防体系标准、制度。加强对重点营运客货车、交通运输执法等运载工具的监测监控。强化水域现场监管，强化重点水域乘客安全检查。</w:t>
      </w:r>
      <w:r>
        <w:rPr>
          <w:color w:val="000000"/>
          <w:sz w:val="32"/>
          <w:szCs w:val="32"/>
        </w:rPr>
        <w:t xml:space="preserve"> </w:t>
      </w:r>
    </w:p>
    <w:p w14:paraId="7F7E5EA1">
      <w:pPr>
        <w:spacing w:line="360" w:lineRule="auto"/>
        <w:ind w:firstLine="645"/>
        <w:rPr>
          <w:color w:val="000000"/>
          <w:sz w:val="32"/>
          <w:szCs w:val="32"/>
        </w:rPr>
      </w:pPr>
      <w:r>
        <w:rPr>
          <w:rFonts w:hint="eastAsia"/>
          <w:color w:val="000000"/>
          <w:sz w:val="32"/>
          <w:szCs w:val="32"/>
        </w:rPr>
        <w:t>2</w:t>
      </w:r>
      <w:r>
        <w:rPr>
          <w:color w:val="000000"/>
          <w:sz w:val="32"/>
          <w:szCs w:val="32"/>
        </w:rPr>
        <w:t xml:space="preserve">. </w:t>
      </w:r>
      <w:r>
        <w:rPr>
          <w:rFonts w:hint="eastAsia"/>
          <w:color w:val="000000"/>
          <w:sz w:val="32"/>
          <w:szCs w:val="32"/>
        </w:rPr>
        <w:t>加强交通应急体系和应急机制建设。建立并完善市、镇两级应急预案体系，构建“组织健全、权责明确、协调有力”的道路运输应急组织体系和“分级响应、反应迅速、运行高效”的应急运行机制。</w:t>
      </w:r>
    </w:p>
    <w:p w14:paraId="4570FBB4">
      <w:pPr>
        <w:spacing w:line="360" w:lineRule="auto"/>
        <w:ind w:firstLine="645"/>
        <w:rPr>
          <w:color w:val="000000"/>
          <w:sz w:val="32"/>
          <w:szCs w:val="32"/>
        </w:rPr>
      </w:pPr>
      <w:r>
        <w:rPr>
          <w:rFonts w:hint="eastAsia"/>
          <w:color w:val="000000"/>
          <w:sz w:val="32"/>
          <w:szCs w:val="32"/>
        </w:rPr>
        <w:t>3</w:t>
      </w:r>
      <w:r>
        <w:rPr>
          <w:color w:val="000000"/>
          <w:sz w:val="32"/>
          <w:szCs w:val="32"/>
        </w:rPr>
        <w:t xml:space="preserve">. </w:t>
      </w:r>
      <w:r>
        <w:rPr>
          <w:rFonts w:hint="eastAsia"/>
          <w:color w:val="000000"/>
          <w:sz w:val="32"/>
          <w:szCs w:val="32"/>
        </w:rPr>
        <w:t>加强应急指挥和应急能力建设。建立并完善涵盖公路、水路、铁路、航空、城乡客运等领域的应急管理预案。协同建立健全交通运输应急保障队伍。合理布局应急运输装备、应急物资储备。定期开展应急演练，提高交通运输应急保障系统的针对性与可靠性。</w:t>
      </w:r>
    </w:p>
    <w:p w14:paraId="43E1988D">
      <w:pPr>
        <w:spacing w:line="360" w:lineRule="auto"/>
        <w:ind w:firstLine="645"/>
        <w:rPr>
          <w:color w:val="000000"/>
          <w:sz w:val="32"/>
          <w:szCs w:val="32"/>
        </w:rPr>
      </w:pPr>
      <w:r>
        <w:rPr>
          <w:rFonts w:hint="eastAsia"/>
          <w:color w:val="000000"/>
          <w:sz w:val="32"/>
          <w:szCs w:val="32"/>
        </w:rPr>
        <w:t>4</w:t>
      </w:r>
      <w:r>
        <w:rPr>
          <w:color w:val="000000"/>
          <w:sz w:val="32"/>
          <w:szCs w:val="32"/>
        </w:rPr>
        <w:t xml:space="preserve">. </w:t>
      </w:r>
      <w:r>
        <w:rPr>
          <w:rFonts w:hint="eastAsia"/>
          <w:color w:val="000000"/>
          <w:sz w:val="32"/>
          <w:szCs w:val="32"/>
        </w:rPr>
        <w:t>提高交通设施安全性能。提升公路安全，加大危桥改造力度。提升港口安全，推进港口航道引航装备、防台风设施的建设，加快应急锚地、避风锚地和危险品锚地建设。</w:t>
      </w:r>
    </w:p>
    <w:p w14:paraId="612EA9D5">
      <w:pPr>
        <w:pStyle w:val="20"/>
        <w:rPr>
          <w:color w:val="FF0000"/>
          <w:sz w:val="32"/>
        </w:rPr>
      </w:pPr>
      <w:bookmarkStart w:id="54" w:name="_Toc89371395"/>
      <w:bookmarkStart w:id="55" w:name="_Toc45563619"/>
      <w:r>
        <w:rPr>
          <w:rFonts w:hint="eastAsia"/>
          <w:color w:val="FF0000"/>
          <w:sz w:val="32"/>
        </w:rPr>
        <w:t>（六）推动数字交通发展</w:t>
      </w:r>
      <w:bookmarkEnd w:id="54"/>
    </w:p>
    <w:p w14:paraId="1E38BD35">
      <w:pPr>
        <w:ind w:firstLine="640" w:firstLineChars="200"/>
        <w:rPr>
          <w:color w:val="FF0000"/>
          <w:sz w:val="32"/>
          <w:szCs w:val="32"/>
        </w:rPr>
      </w:pPr>
      <w:r>
        <w:rPr>
          <w:color w:val="FF0000"/>
          <w:sz w:val="32"/>
          <w:szCs w:val="32"/>
        </w:rPr>
        <w:t>1</w:t>
      </w:r>
      <w:r>
        <w:rPr>
          <w:rFonts w:hint="eastAsia"/>
          <w:color w:val="FF0000"/>
          <w:sz w:val="32"/>
          <w:szCs w:val="32"/>
        </w:rPr>
        <w:t>．推动农村客运数字化。推动客运售票、检票、安检、登乘等环节无纸化、无感化，完善客运电子客票服务体系。</w:t>
      </w:r>
    </w:p>
    <w:p w14:paraId="3F5F48FF">
      <w:pPr>
        <w:ind w:firstLine="640" w:firstLineChars="200"/>
        <w:rPr>
          <w:color w:val="FF0000"/>
          <w:sz w:val="32"/>
          <w:szCs w:val="32"/>
        </w:rPr>
      </w:pPr>
      <w:r>
        <w:rPr>
          <w:rFonts w:hint="eastAsia"/>
          <w:color w:val="FF0000"/>
          <w:sz w:val="32"/>
          <w:szCs w:val="32"/>
        </w:rPr>
        <w:t>2．推动城市客运数字化。鼓励和规范定制公交、智能公交、网络预约出租车等城市出行服务新业态。推动城市公共交通兼容多种电子支付方式，提升便捷支付能力。积极采用“传统+智能”方式解决老年人、残疾人等群体出行问题。</w:t>
      </w:r>
    </w:p>
    <w:p w14:paraId="4984EFFD">
      <w:pPr>
        <w:spacing w:line="360" w:lineRule="auto"/>
        <w:ind w:firstLine="640" w:firstLineChars="200"/>
        <w:rPr>
          <w:color w:val="FF0000"/>
          <w:sz w:val="32"/>
          <w:szCs w:val="32"/>
        </w:rPr>
      </w:pPr>
      <w:r>
        <w:rPr>
          <w:color w:val="FF0000"/>
          <w:sz w:val="32"/>
          <w:szCs w:val="32"/>
        </w:rPr>
        <w:t>3</w:t>
      </w:r>
      <w:r>
        <w:rPr>
          <w:rFonts w:hint="eastAsia"/>
          <w:color w:val="FF0000"/>
          <w:sz w:val="32"/>
          <w:szCs w:val="32"/>
        </w:rPr>
        <w:t>．推动货运数字化发展</w:t>
      </w:r>
    </w:p>
    <w:p w14:paraId="54C1691A">
      <w:pPr>
        <w:spacing w:line="360" w:lineRule="auto"/>
        <w:ind w:firstLine="640" w:firstLineChars="200"/>
        <w:rPr>
          <w:color w:val="FF0000"/>
          <w:sz w:val="32"/>
          <w:szCs w:val="32"/>
        </w:rPr>
      </w:pPr>
      <w:r>
        <w:rPr>
          <w:rFonts w:hint="eastAsia"/>
          <w:color w:val="FF0000"/>
          <w:sz w:val="32"/>
          <w:szCs w:val="32"/>
        </w:rPr>
        <w:t>（1）推进多式联运公共信息服务，深入实施货运单证电子化，加快推进危险货物道路运输、零担物流等重点领域实现电子运单管理。</w:t>
      </w:r>
    </w:p>
    <w:p w14:paraId="5782B239">
      <w:pPr>
        <w:spacing w:line="360" w:lineRule="auto"/>
        <w:ind w:firstLine="640" w:firstLineChars="200"/>
        <w:rPr>
          <w:color w:val="FF0000"/>
          <w:sz w:val="32"/>
          <w:szCs w:val="32"/>
        </w:rPr>
      </w:pPr>
      <w:r>
        <w:rPr>
          <w:rFonts w:hint="eastAsia"/>
          <w:color w:val="FF0000"/>
          <w:sz w:val="32"/>
          <w:szCs w:val="32"/>
        </w:rPr>
        <w:t>（2）推进货运枢纽智能化升级。鼓励货运枢纽开展安全生产智能预警、车辆货物自动匹配、园区装备智能调度等应用。</w:t>
      </w:r>
    </w:p>
    <w:p w14:paraId="134B6534">
      <w:pPr>
        <w:spacing w:line="360" w:lineRule="auto"/>
        <w:ind w:firstLine="640" w:firstLineChars="200"/>
        <w:rPr>
          <w:color w:val="FF0000"/>
          <w:sz w:val="32"/>
          <w:szCs w:val="32"/>
        </w:rPr>
      </w:pPr>
      <w:r>
        <w:rPr>
          <w:rFonts w:hint="eastAsia"/>
          <w:color w:val="FF0000"/>
          <w:sz w:val="32"/>
          <w:szCs w:val="32"/>
        </w:rPr>
        <w:t>（3）强化货物运输全过程监管。积极拓展北斗卫星定位系统在物流运输方面的应用。</w:t>
      </w:r>
    </w:p>
    <w:p w14:paraId="61DA78C4">
      <w:pPr>
        <w:spacing w:line="360" w:lineRule="auto"/>
        <w:ind w:firstLine="640" w:firstLineChars="200"/>
        <w:rPr>
          <w:color w:val="FF0000"/>
          <w:sz w:val="32"/>
          <w:szCs w:val="32"/>
        </w:rPr>
      </w:pPr>
      <w:r>
        <w:rPr>
          <w:rFonts w:hint="eastAsia"/>
          <w:color w:val="FF0000"/>
          <w:sz w:val="32"/>
          <w:szCs w:val="32"/>
        </w:rPr>
        <w:t>4．积极参与全省综合交通运输数据开发应用建设。整合普通公路、道路运输、城市客运、水路交通、机场、铁路等诸多行业的动态营运数据，推动各类数据互联互通。</w:t>
      </w:r>
    </w:p>
    <w:p w14:paraId="004F47ED">
      <w:pPr>
        <w:spacing w:line="360" w:lineRule="auto"/>
        <w:ind w:firstLine="640" w:firstLineChars="200"/>
        <w:rPr>
          <w:color w:val="FF0000"/>
          <w:sz w:val="32"/>
          <w:szCs w:val="32"/>
        </w:rPr>
      </w:pPr>
      <w:r>
        <w:rPr>
          <w:rFonts w:hint="eastAsia"/>
          <w:color w:val="FF0000"/>
          <w:sz w:val="32"/>
          <w:szCs w:val="32"/>
        </w:rPr>
        <w:t>5．推动行业治理数字化升级</w:t>
      </w:r>
    </w:p>
    <w:p w14:paraId="39BE37DB">
      <w:pPr>
        <w:spacing w:line="360" w:lineRule="auto"/>
        <w:ind w:firstLine="640" w:firstLineChars="200"/>
        <w:rPr>
          <w:color w:val="FF0000"/>
          <w:sz w:val="32"/>
          <w:szCs w:val="32"/>
        </w:rPr>
      </w:pPr>
      <w:r>
        <w:rPr>
          <w:rFonts w:hint="eastAsia"/>
          <w:color w:val="FF0000"/>
          <w:sz w:val="32"/>
          <w:szCs w:val="32"/>
        </w:rPr>
        <w:t>（1）深化政务服务“一网通办”。以一体化公众服务为方向，以深化“放管服”改革为目标，依托在线政务服务平台，深入推进交通运输政务服务“一网通办”。</w:t>
      </w:r>
    </w:p>
    <w:p w14:paraId="3A36270B">
      <w:pPr>
        <w:spacing w:line="360" w:lineRule="auto"/>
        <w:ind w:firstLine="640" w:firstLineChars="200"/>
        <w:rPr>
          <w:color w:val="FF0000"/>
          <w:sz w:val="32"/>
          <w:szCs w:val="32"/>
        </w:rPr>
      </w:pPr>
      <w:r>
        <w:rPr>
          <w:rFonts w:hint="eastAsia"/>
          <w:color w:val="FF0000"/>
          <w:sz w:val="32"/>
          <w:szCs w:val="32"/>
        </w:rPr>
        <w:t>（2）强化业务支撑决策与应急调度能力。以“综合运行监测、协同调度指挥、宏观决策支持、信息共享开放”为主要框架，强化业务系统互联互通，全面提升综合指挥调度、风险防范预警、事件应对处置和服务科学决策水平。</w:t>
      </w:r>
    </w:p>
    <w:p w14:paraId="6FEE6AB3">
      <w:pPr>
        <w:spacing w:line="360" w:lineRule="auto"/>
        <w:ind w:firstLine="640" w:firstLineChars="200"/>
        <w:rPr>
          <w:rFonts w:hint="eastAsia"/>
          <w:color w:val="FF0000"/>
          <w:sz w:val="32"/>
          <w:szCs w:val="32"/>
        </w:rPr>
      </w:pPr>
      <w:r>
        <w:rPr>
          <w:rFonts w:hint="eastAsia"/>
          <w:color w:val="FF0000"/>
          <w:sz w:val="32"/>
          <w:szCs w:val="32"/>
        </w:rPr>
        <w:t>（3）强化交通运输“互联网+监管”。充分发挥“互联网+”、大数据等技术手段的作用，全力打造“一处发现、多方联动、协同监管”的新型高效监管体系。</w:t>
      </w:r>
    </w:p>
    <w:p w14:paraId="5C7E5AEA">
      <w:pPr>
        <w:pStyle w:val="20"/>
        <w:rPr>
          <w:color w:val="000000"/>
          <w:sz w:val="32"/>
        </w:rPr>
      </w:pPr>
      <w:bookmarkStart w:id="56" w:name="_Toc89371396"/>
      <w:r>
        <w:rPr>
          <w:rFonts w:hint="eastAsia"/>
          <w:color w:val="000000"/>
          <w:sz w:val="32"/>
        </w:rPr>
        <w:t>（七）推动旅游</w:t>
      </w:r>
      <w:bookmarkEnd w:id="55"/>
      <w:r>
        <w:rPr>
          <w:rFonts w:hint="eastAsia"/>
          <w:color w:val="000000"/>
          <w:sz w:val="32"/>
        </w:rPr>
        <w:t>交通发展</w:t>
      </w:r>
      <w:bookmarkEnd w:id="56"/>
    </w:p>
    <w:p w14:paraId="7BD6C0FB">
      <w:pPr>
        <w:spacing w:line="360" w:lineRule="auto"/>
        <w:ind w:firstLine="640" w:firstLineChars="200"/>
        <w:rPr>
          <w:color w:val="000000"/>
          <w:sz w:val="32"/>
          <w:szCs w:val="32"/>
        </w:rPr>
      </w:pPr>
      <w:r>
        <w:rPr>
          <w:rFonts w:hint="eastAsia"/>
          <w:color w:val="000000"/>
          <w:sz w:val="32"/>
          <w:szCs w:val="32"/>
        </w:rPr>
        <w:t>1．</w:t>
      </w:r>
      <w:r>
        <w:rPr>
          <w:color w:val="000000"/>
          <w:sz w:val="32"/>
          <w:szCs w:val="32"/>
        </w:rPr>
        <w:t>构建高效率</w:t>
      </w:r>
      <w:r>
        <w:rPr>
          <w:rFonts w:hint="eastAsia"/>
          <w:color w:val="000000"/>
          <w:sz w:val="32"/>
          <w:szCs w:val="32"/>
        </w:rPr>
        <w:t>“</w:t>
      </w:r>
      <w:r>
        <w:rPr>
          <w:color w:val="000000"/>
          <w:sz w:val="32"/>
          <w:szCs w:val="32"/>
        </w:rPr>
        <w:t>快进</w:t>
      </w:r>
      <w:r>
        <w:rPr>
          <w:rFonts w:hint="eastAsia"/>
          <w:color w:val="000000"/>
          <w:sz w:val="32"/>
          <w:szCs w:val="32"/>
        </w:rPr>
        <w:t>”</w:t>
      </w:r>
      <w:r>
        <w:rPr>
          <w:color w:val="000000"/>
          <w:sz w:val="32"/>
          <w:szCs w:val="32"/>
        </w:rPr>
        <w:t>网络。加快构建以高速公路、普通国省道为主骨架的干线公路网络</w:t>
      </w:r>
      <w:r>
        <w:rPr>
          <w:rFonts w:hint="eastAsia"/>
          <w:color w:val="000000"/>
          <w:sz w:val="32"/>
          <w:szCs w:val="32"/>
        </w:rPr>
        <w:t>，实施国省干线公路等级提升工程</w:t>
      </w:r>
      <w:r>
        <w:rPr>
          <w:color w:val="000000"/>
          <w:sz w:val="32"/>
          <w:szCs w:val="32"/>
        </w:rPr>
        <w:t>，不断提升干线公路以及干线公路与景区连接线的技术等级和路况水平，进一步提升公路通行效率，形成连接景区、景点的</w:t>
      </w:r>
      <w:r>
        <w:rPr>
          <w:rFonts w:hint="eastAsia"/>
          <w:color w:val="000000"/>
          <w:sz w:val="32"/>
          <w:szCs w:val="32"/>
        </w:rPr>
        <w:t>“快进”</w:t>
      </w:r>
      <w:r>
        <w:rPr>
          <w:color w:val="000000"/>
          <w:sz w:val="32"/>
          <w:szCs w:val="32"/>
        </w:rPr>
        <w:t>便捷网络</w:t>
      </w:r>
      <w:r>
        <w:rPr>
          <w:rFonts w:hint="eastAsia"/>
          <w:color w:val="000000"/>
          <w:sz w:val="32"/>
          <w:szCs w:val="32"/>
        </w:rPr>
        <w:t>。</w:t>
      </w:r>
    </w:p>
    <w:p w14:paraId="3668371D">
      <w:pPr>
        <w:spacing w:line="360" w:lineRule="auto"/>
        <w:ind w:firstLine="640" w:firstLineChars="200"/>
        <w:rPr>
          <w:color w:val="000000"/>
          <w:sz w:val="32"/>
          <w:szCs w:val="32"/>
        </w:rPr>
      </w:pPr>
      <w:r>
        <w:rPr>
          <w:rFonts w:hint="eastAsia"/>
          <w:color w:val="000000"/>
          <w:sz w:val="32"/>
          <w:szCs w:val="32"/>
        </w:rPr>
        <w:t>2．</w:t>
      </w:r>
      <w:r>
        <w:rPr>
          <w:color w:val="000000"/>
          <w:sz w:val="32"/>
          <w:szCs w:val="32"/>
        </w:rPr>
        <w:t>构建高品质</w:t>
      </w:r>
      <w:r>
        <w:rPr>
          <w:rFonts w:hint="eastAsia"/>
          <w:color w:val="000000"/>
          <w:sz w:val="32"/>
          <w:szCs w:val="32"/>
        </w:rPr>
        <w:t>“</w:t>
      </w:r>
      <w:r>
        <w:rPr>
          <w:color w:val="000000"/>
          <w:sz w:val="32"/>
          <w:szCs w:val="32"/>
        </w:rPr>
        <w:t>慢游</w:t>
      </w:r>
      <w:r>
        <w:rPr>
          <w:rFonts w:hint="eastAsia"/>
          <w:color w:val="000000"/>
          <w:sz w:val="32"/>
          <w:szCs w:val="32"/>
        </w:rPr>
        <w:t>”</w:t>
      </w:r>
      <w:r>
        <w:rPr>
          <w:color w:val="000000"/>
          <w:sz w:val="32"/>
          <w:szCs w:val="32"/>
        </w:rPr>
        <w:t>系统。构建全</w:t>
      </w:r>
      <w:r>
        <w:rPr>
          <w:rFonts w:hint="eastAsia"/>
          <w:color w:val="000000"/>
          <w:sz w:val="32"/>
          <w:szCs w:val="32"/>
        </w:rPr>
        <w:t>市</w:t>
      </w:r>
      <w:r>
        <w:rPr>
          <w:color w:val="000000"/>
          <w:sz w:val="32"/>
          <w:szCs w:val="32"/>
        </w:rPr>
        <w:t>旅游绿道慢行系统，重点构建绿道空间结构，完善以景区景点为中心的农村公路网络，进一步提高农村公路网密度和通达深度，尤其是注重旅游景点乡村旅游公路建设，解决公路通向旅游景区</w:t>
      </w:r>
      <w:r>
        <w:rPr>
          <w:rFonts w:hint="eastAsia"/>
          <w:color w:val="000000"/>
          <w:sz w:val="32"/>
          <w:szCs w:val="32"/>
        </w:rPr>
        <w:t>“</w:t>
      </w:r>
      <w:r>
        <w:rPr>
          <w:color w:val="000000"/>
          <w:sz w:val="32"/>
          <w:szCs w:val="32"/>
        </w:rPr>
        <w:t>最后一公里</w:t>
      </w:r>
      <w:r>
        <w:rPr>
          <w:rFonts w:hint="eastAsia"/>
          <w:color w:val="000000"/>
          <w:sz w:val="32"/>
          <w:szCs w:val="32"/>
        </w:rPr>
        <w:t>”</w:t>
      </w:r>
      <w:r>
        <w:rPr>
          <w:color w:val="000000"/>
          <w:sz w:val="32"/>
          <w:szCs w:val="32"/>
        </w:rPr>
        <w:t>问题。</w:t>
      </w:r>
    </w:p>
    <w:p w14:paraId="3FDAE4FE">
      <w:pPr>
        <w:spacing w:line="360" w:lineRule="auto"/>
        <w:ind w:firstLine="640" w:firstLineChars="200"/>
        <w:rPr>
          <w:color w:val="000000"/>
          <w:sz w:val="32"/>
          <w:szCs w:val="32"/>
        </w:rPr>
      </w:pPr>
      <w:r>
        <w:rPr>
          <w:rFonts w:hint="eastAsia"/>
          <w:color w:val="000000"/>
          <w:sz w:val="32"/>
          <w:szCs w:val="32"/>
        </w:rPr>
        <w:t>3．</w:t>
      </w:r>
      <w:r>
        <w:rPr>
          <w:color w:val="000000"/>
          <w:sz w:val="32"/>
          <w:szCs w:val="32"/>
        </w:rPr>
        <w:t>实施旅游公路示范工程。继续以旅游公路标准建设</w:t>
      </w:r>
      <w:r>
        <w:rPr>
          <w:rFonts w:hint="eastAsia"/>
          <w:color w:val="000000"/>
          <w:sz w:val="32"/>
          <w:szCs w:val="32"/>
        </w:rPr>
        <w:t>乳山南</w:t>
      </w:r>
      <w:r>
        <w:rPr>
          <w:color w:val="000000"/>
          <w:sz w:val="32"/>
          <w:szCs w:val="32"/>
        </w:rPr>
        <w:t>部环</w:t>
      </w:r>
      <w:r>
        <w:rPr>
          <w:rFonts w:hint="eastAsia"/>
          <w:color w:val="000000"/>
          <w:sz w:val="32"/>
          <w:szCs w:val="32"/>
        </w:rPr>
        <w:t>海</w:t>
      </w:r>
      <w:r>
        <w:rPr>
          <w:color w:val="000000"/>
          <w:sz w:val="32"/>
          <w:szCs w:val="32"/>
        </w:rPr>
        <w:t>路，助力乡村振兴及美丽乡村建设，促进全域旅游发展，可实现交通畅通与乡村振兴、镇域经济发展、全域旅游、强村富民的充分融合</w:t>
      </w:r>
    </w:p>
    <w:p w14:paraId="20685B45">
      <w:pPr>
        <w:spacing w:line="360" w:lineRule="auto"/>
        <w:ind w:firstLine="640" w:firstLineChars="200"/>
        <w:rPr>
          <w:color w:val="000000"/>
          <w:sz w:val="32"/>
          <w:szCs w:val="32"/>
        </w:rPr>
      </w:pPr>
      <w:r>
        <w:rPr>
          <w:rFonts w:hint="eastAsia"/>
          <w:color w:val="000000"/>
          <w:sz w:val="32"/>
          <w:szCs w:val="32"/>
        </w:rPr>
        <w:t>4．</w:t>
      </w:r>
      <w:r>
        <w:rPr>
          <w:color w:val="000000"/>
          <w:sz w:val="32"/>
          <w:szCs w:val="32"/>
        </w:rPr>
        <w:t>推行客运多样化，促进旅游业发展。按照</w:t>
      </w:r>
      <w:r>
        <w:rPr>
          <w:rFonts w:hint="eastAsia"/>
          <w:color w:val="000000"/>
          <w:sz w:val="32"/>
          <w:szCs w:val="32"/>
        </w:rPr>
        <w:t>“</w:t>
      </w:r>
      <w:r>
        <w:rPr>
          <w:color w:val="000000"/>
          <w:sz w:val="32"/>
          <w:szCs w:val="32"/>
        </w:rPr>
        <w:t>以客运带动旅游、以旅游促进客运</w:t>
      </w:r>
      <w:r>
        <w:rPr>
          <w:rFonts w:hint="eastAsia"/>
          <w:color w:val="000000"/>
          <w:sz w:val="32"/>
          <w:szCs w:val="32"/>
        </w:rPr>
        <w:t>”</w:t>
      </w:r>
      <w:r>
        <w:rPr>
          <w:color w:val="000000"/>
          <w:sz w:val="32"/>
          <w:szCs w:val="32"/>
        </w:rPr>
        <w:t>的思路，加强旅游集散点建设，大力发</w:t>
      </w:r>
      <w:r>
        <w:rPr>
          <w:rFonts w:hint="eastAsia"/>
          <w:color w:val="000000"/>
          <w:sz w:val="32"/>
          <w:szCs w:val="32"/>
        </w:rPr>
        <w:t>展</w:t>
      </w:r>
      <w:r>
        <w:rPr>
          <w:color w:val="000000"/>
          <w:sz w:val="32"/>
          <w:szCs w:val="32"/>
        </w:rPr>
        <w:t>包车客运、精品班线、商务快客、短途驳载等运输效率高、通达度深的特色客运业务，支撑青烟威黄金旅游线和半岛地区无障碍旅游区建设，促进</w:t>
      </w:r>
      <w:r>
        <w:rPr>
          <w:rFonts w:hint="eastAsia"/>
          <w:color w:val="000000"/>
          <w:sz w:val="32"/>
          <w:szCs w:val="32"/>
        </w:rPr>
        <w:t>银滩</w:t>
      </w:r>
      <w:r>
        <w:rPr>
          <w:color w:val="000000"/>
          <w:sz w:val="32"/>
          <w:szCs w:val="32"/>
        </w:rPr>
        <w:t>风景名胜区，沿海岸线</w:t>
      </w:r>
      <w:r>
        <w:rPr>
          <w:rFonts w:hint="eastAsia"/>
          <w:color w:val="000000"/>
          <w:sz w:val="32"/>
          <w:szCs w:val="32"/>
        </w:rPr>
        <w:t>旅</w:t>
      </w:r>
      <w:r>
        <w:rPr>
          <w:color w:val="000000"/>
          <w:sz w:val="32"/>
          <w:szCs w:val="32"/>
        </w:rPr>
        <w:t>游度假区旅游产业的发展</w:t>
      </w:r>
      <w:r>
        <w:rPr>
          <w:rFonts w:hint="eastAsia"/>
          <w:color w:val="000000"/>
          <w:sz w:val="32"/>
          <w:szCs w:val="32"/>
        </w:rPr>
        <w:t>。</w:t>
      </w:r>
    </w:p>
    <w:p w14:paraId="09DA4C72">
      <w:pPr>
        <w:spacing w:line="360" w:lineRule="auto"/>
        <w:ind w:firstLine="640" w:firstLineChars="200"/>
        <w:rPr>
          <w:color w:val="000000"/>
          <w:sz w:val="32"/>
          <w:szCs w:val="32"/>
        </w:rPr>
      </w:pPr>
      <w:r>
        <w:rPr>
          <w:rFonts w:hint="eastAsia"/>
          <w:color w:val="000000"/>
          <w:sz w:val="32"/>
          <w:szCs w:val="32"/>
        </w:rPr>
        <w:t>5</w:t>
      </w:r>
      <w:r>
        <w:rPr>
          <w:color w:val="000000"/>
          <w:sz w:val="32"/>
          <w:szCs w:val="32"/>
        </w:rPr>
        <w:t>.</w:t>
      </w:r>
      <w:r>
        <w:rPr>
          <w:rFonts w:hint="eastAsia"/>
          <w:color w:val="000000"/>
          <w:sz w:val="32"/>
          <w:szCs w:val="32"/>
        </w:rPr>
        <w:t>鼓励多模式旅游观光。</w:t>
      </w:r>
    </w:p>
    <w:p w14:paraId="25449B56">
      <w:pPr>
        <w:spacing w:line="360" w:lineRule="auto"/>
        <w:ind w:firstLine="640" w:firstLineChars="200"/>
        <w:rPr>
          <w:color w:val="000000"/>
          <w:sz w:val="32"/>
          <w:szCs w:val="32"/>
        </w:rPr>
      </w:pPr>
      <w:r>
        <w:rPr>
          <w:rFonts w:hint="eastAsia"/>
          <w:color w:val="000000"/>
          <w:sz w:val="32"/>
          <w:szCs w:val="32"/>
        </w:rPr>
        <w:t>（1）新增共享汽车接驳高铁旅游模式。在高铁站及主要景点（银滩滨海旅游度假区、大乳山滨海旅游度假区）附近借用或布设共享汽车停车点，共享汽车与高铁服务实现对接，实现一站式服务，打造不间断出行流，最大化为用户节省出行时间，提高旅途质量。通过长、短距离不同种类交通工具的无缝衔接，缓解即将到来的旅游压力，为旅客直接带去效率和体验的升级。</w:t>
      </w:r>
    </w:p>
    <w:p w14:paraId="7FA09238">
      <w:pPr>
        <w:spacing w:line="360" w:lineRule="auto"/>
        <w:ind w:firstLine="640" w:firstLineChars="200"/>
        <w:rPr>
          <w:color w:val="000000"/>
          <w:sz w:val="32"/>
          <w:szCs w:val="32"/>
        </w:rPr>
      </w:pPr>
      <w:r>
        <w:rPr>
          <w:rFonts w:hint="eastAsia"/>
          <w:color w:val="000000"/>
          <w:sz w:val="32"/>
          <w:szCs w:val="32"/>
        </w:rPr>
        <w:t>（</w:t>
      </w:r>
      <w:r>
        <w:rPr>
          <w:color w:val="000000"/>
          <w:sz w:val="32"/>
          <w:szCs w:val="32"/>
        </w:rPr>
        <w:t>2</w:t>
      </w:r>
      <w:r>
        <w:rPr>
          <w:rFonts w:hint="eastAsia"/>
          <w:color w:val="000000"/>
          <w:sz w:val="32"/>
          <w:szCs w:val="32"/>
        </w:rPr>
        <w:t>）开设无人驾驶体验线路。对部分沿海旅游路段开设无人驾驶体验项目。体验项目运用5G、边缘计算、车路协同、无人驾驶、AR等大量前沿科技，将无人驾驶和5G应用进行有机结合。依托联通智网的车路协同控制系统，使无人驾驶车能够及时感知周边环境，作出正确的驾驶判断，确保车辆安全稳定运行。同时，借助5G高速网络，联通智网开发的车辆运行监控系统可实时采集车内外高清视频和车辆运行的状态信息数据，景区工作人员可在监控中心利用该系统远程实时监控车辆的基础运行状态并采取相应措施。“5G+无人驾驶”体验项目将进一步提升基于5G的车路协同、5G智能体验舱等5G自动驾驶功能，未来游客将可在车上提前“身临其境”了解景区的概况和特色。开设一条无人驾驶体验线路，起终点为银滩滨海旅游度假区和大乳山滨海旅游度假区。</w:t>
      </w:r>
    </w:p>
    <w:p w14:paraId="6500620A">
      <w:pPr>
        <w:spacing w:line="360" w:lineRule="auto"/>
        <w:ind w:firstLine="640" w:firstLineChars="200"/>
        <w:rPr>
          <w:color w:val="000000"/>
          <w:sz w:val="32"/>
          <w:szCs w:val="32"/>
        </w:rPr>
      </w:pPr>
      <w:r>
        <w:rPr>
          <w:rFonts w:hint="eastAsia"/>
          <w:color w:val="000000"/>
          <w:sz w:val="32"/>
          <w:szCs w:val="32"/>
        </w:rPr>
        <w:t>图2</w:t>
      </w:r>
      <w:r>
        <w:rPr>
          <w:color w:val="000000"/>
          <w:sz w:val="32"/>
          <w:szCs w:val="32"/>
        </w:rPr>
        <w:t>0</w:t>
      </w:r>
      <w:r>
        <w:rPr>
          <w:rFonts w:hint="eastAsia"/>
          <w:color w:val="000000"/>
          <w:sz w:val="32"/>
          <w:szCs w:val="32"/>
        </w:rPr>
        <w:t>为共享汽车停车点和无人驾驶体验线路。</w:t>
      </w:r>
    </w:p>
    <w:p w14:paraId="17D2EC33">
      <w:pPr>
        <w:spacing w:line="360" w:lineRule="auto"/>
        <w:rPr>
          <w:color w:val="000000"/>
          <w:sz w:val="32"/>
          <w:szCs w:val="32"/>
        </w:rPr>
      </w:pPr>
      <w:r>
        <w:rPr>
          <w:color w:val="000000"/>
          <w:sz w:val="32"/>
          <w:szCs w:val="32"/>
        </w:rPr>
        <w:drawing>
          <wp:inline distT="0" distB="0" distL="0" distR="0">
            <wp:extent cx="5269865" cy="3725545"/>
            <wp:effectExtent l="0" t="0" r="6985" b="7620"/>
            <wp:docPr id="1051" name="图片 55"/>
            <wp:cNvGraphicFramePr/>
            <a:graphic xmlns:a="http://schemas.openxmlformats.org/drawingml/2006/main">
              <a:graphicData uri="http://schemas.openxmlformats.org/drawingml/2006/picture">
                <pic:pic xmlns:pic="http://schemas.openxmlformats.org/drawingml/2006/picture">
                  <pic:nvPicPr>
                    <pic:cNvPr id="1051" name="图片 55"/>
                    <pic:cNvPicPr/>
                  </pic:nvPicPr>
                  <pic:blipFill>
                    <a:blip r:embed="rId34" cstate="print"/>
                    <a:srcRect/>
                    <a:stretch>
                      <a:fillRect/>
                    </a:stretch>
                  </pic:blipFill>
                  <pic:spPr>
                    <a:xfrm>
                      <a:off x="0" y="0"/>
                      <a:ext cx="5269865" cy="3726179"/>
                    </a:xfrm>
                    <a:prstGeom prst="rect">
                      <a:avLst/>
                    </a:prstGeom>
                    <a:ln>
                      <a:noFill/>
                    </a:ln>
                  </pic:spPr>
                </pic:pic>
              </a:graphicData>
            </a:graphic>
          </wp:inline>
        </w:drawing>
      </w:r>
    </w:p>
    <w:p w14:paraId="641040AC">
      <w:pPr>
        <w:spacing w:line="360" w:lineRule="auto"/>
        <w:ind w:firstLine="420" w:firstLineChars="200"/>
        <w:jc w:val="center"/>
        <w:rPr>
          <w:rFonts w:eastAsia="楷体"/>
          <w:color w:val="000000"/>
          <w:szCs w:val="21"/>
        </w:rPr>
      </w:pPr>
      <w:r>
        <w:rPr>
          <w:rFonts w:eastAsia="楷体"/>
          <w:color w:val="000000"/>
          <w:szCs w:val="21"/>
        </w:rPr>
        <w:t>图20</w:t>
      </w:r>
      <w:r>
        <w:rPr>
          <w:rFonts w:hint="eastAsia" w:eastAsia="楷体"/>
          <w:color w:val="000000"/>
          <w:szCs w:val="21"/>
        </w:rPr>
        <w:t>共享汽车停车点和无人驾驶体验线路区位图</w:t>
      </w:r>
    </w:p>
    <w:p w14:paraId="13EBD179">
      <w:pPr>
        <w:pStyle w:val="20"/>
        <w:rPr>
          <w:color w:val="000000"/>
          <w:sz w:val="32"/>
        </w:rPr>
      </w:pPr>
      <w:bookmarkStart w:id="57" w:name="_Toc45563620"/>
      <w:bookmarkStart w:id="58" w:name="_Toc89371397"/>
      <w:r>
        <w:rPr>
          <w:rFonts w:hint="eastAsia"/>
          <w:color w:val="000000"/>
          <w:sz w:val="32"/>
        </w:rPr>
        <w:t>（八）</w:t>
      </w:r>
      <w:bookmarkEnd w:id="57"/>
      <w:r>
        <w:rPr>
          <w:rFonts w:hint="eastAsia"/>
          <w:color w:val="000000"/>
          <w:sz w:val="32"/>
        </w:rPr>
        <w:t>推动物流交通发展</w:t>
      </w:r>
      <w:bookmarkEnd w:id="58"/>
    </w:p>
    <w:p w14:paraId="33821477">
      <w:pPr>
        <w:widowControl/>
        <w:ind w:firstLine="645"/>
        <w:jc w:val="left"/>
        <w:rPr>
          <w:color w:val="000000"/>
          <w:sz w:val="32"/>
        </w:rPr>
      </w:pPr>
      <w:r>
        <w:rPr>
          <w:color w:val="000000"/>
          <w:sz w:val="32"/>
        </w:rPr>
        <w:t xml:space="preserve">1. </w:t>
      </w:r>
      <w:r>
        <w:rPr>
          <w:rFonts w:hint="eastAsia"/>
          <w:color w:val="000000"/>
          <w:sz w:val="32"/>
        </w:rPr>
        <w:t>完善枢纽集疏运系统。尽快打通连接枢纽的“最后一公里”，加快实施铁路引入重要港口和大型物流园区等工程。强化出入城道路与高速公路衔接，减少过境货物对城市交通的干扰。充分利用骨干道路，分时段、分路段实施城市物流配送，有效减少货物装卸、转运、倒载次数。</w:t>
      </w:r>
    </w:p>
    <w:p w14:paraId="3EFDE8A6">
      <w:pPr>
        <w:widowControl/>
        <w:ind w:firstLine="640" w:firstLineChars="200"/>
        <w:jc w:val="left"/>
        <w:rPr>
          <w:color w:val="000000"/>
          <w:sz w:val="32"/>
        </w:rPr>
      </w:pPr>
      <w:r>
        <w:rPr>
          <w:color w:val="000000"/>
          <w:sz w:val="32"/>
        </w:rPr>
        <w:t xml:space="preserve">2. </w:t>
      </w:r>
      <w:r>
        <w:rPr>
          <w:rFonts w:hint="eastAsia"/>
          <w:color w:val="000000"/>
          <w:sz w:val="32"/>
        </w:rPr>
        <w:t>推动高速公路服务区转型升级。利用高速公路服务区等路产资源拓展货运物流服务的踊跃探索。探索以高速公路路网为依托，以高速公路服务区为基地建设“前店后仓”式智慧物流港，是一种集信息流、商流、物流和资金流于一体的零担物流新模式，推动该模式打开高速服务区“后门”，开展货物集散、运输配载、仓储物流等物流活动。</w:t>
      </w:r>
    </w:p>
    <w:p w14:paraId="7F02F6BB">
      <w:pPr>
        <w:spacing w:line="360" w:lineRule="auto"/>
        <w:ind w:firstLine="640" w:firstLineChars="200"/>
        <w:rPr>
          <w:color w:val="000000"/>
          <w:sz w:val="32"/>
        </w:rPr>
      </w:pPr>
      <w:r>
        <w:rPr>
          <w:color w:val="000000"/>
          <w:sz w:val="32"/>
        </w:rPr>
        <w:t xml:space="preserve">3. </w:t>
      </w:r>
      <w:r>
        <w:rPr>
          <w:rFonts w:hint="eastAsia"/>
          <w:color w:val="000000"/>
          <w:sz w:val="32"/>
        </w:rPr>
        <w:t>拓展国际联运服务。积极参与构建威海市的国际便利运输网络，大力发展海铁公多式联运，积极参与开展国际中转集装箱业务和大宗商品中转创新试点。</w:t>
      </w:r>
    </w:p>
    <w:p w14:paraId="36076DB8">
      <w:pPr>
        <w:spacing w:line="360" w:lineRule="auto"/>
        <w:ind w:firstLine="640" w:firstLineChars="200"/>
        <w:rPr>
          <w:color w:val="000000"/>
          <w:sz w:val="32"/>
        </w:rPr>
      </w:pPr>
      <w:r>
        <w:rPr>
          <w:rFonts w:hint="eastAsia"/>
          <w:color w:val="000000"/>
          <w:sz w:val="32"/>
        </w:rPr>
        <w:t>4</w:t>
      </w:r>
      <w:r>
        <w:rPr>
          <w:color w:val="000000"/>
          <w:sz w:val="32"/>
        </w:rPr>
        <w:t xml:space="preserve">. </w:t>
      </w:r>
      <w:r>
        <w:rPr>
          <w:rFonts w:hint="eastAsia"/>
          <w:color w:val="000000"/>
          <w:sz w:val="32"/>
        </w:rPr>
        <w:t>推动物流全程数字化。鼓励物流企业发展“互联网+”高效物流新模式、新业态，推动自身信息化建设，加快实现贯穿物流全过程的数字化，引导相关企业建设海、陆、空联运管理系统，推进铁路、公路、水路等货运单证电子化和共享互认，提供全程可检测、可追溯的“一站式”物流服务，推动物流运输效率的提升。</w:t>
      </w:r>
    </w:p>
    <w:p w14:paraId="1CBBA53D">
      <w:pPr>
        <w:spacing w:line="360" w:lineRule="auto"/>
        <w:ind w:firstLine="640" w:firstLineChars="200"/>
        <w:rPr>
          <w:color w:val="000000"/>
          <w:sz w:val="32"/>
        </w:rPr>
      </w:pPr>
      <w:r>
        <w:rPr>
          <w:rFonts w:hint="eastAsia"/>
          <w:color w:val="000000"/>
          <w:sz w:val="32"/>
        </w:rPr>
        <w:t>5</w:t>
      </w:r>
      <w:r>
        <w:rPr>
          <w:color w:val="000000"/>
          <w:sz w:val="32"/>
        </w:rPr>
        <w:t xml:space="preserve">. </w:t>
      </w:r>
      <w:r>
        <w:rPr>
          <w:rFonts w:hint="eastAsia"/>
          <w:color w:val="000000"/>
          <w:sz w:val="32"/>
        </w:rPr>
        <w:t>鼓励各类企业加快物流信息平台差异化发展，推进城市物流配送全链条信息共享互认，完善农村物流末端的信息网络。依托各类信息平台，构建综合交通运输物流数据资源开放共享机制。</w:t>
      </w:r>
    </w:p>
    <w:p w14:paraId="4DF2D459">
      <w:pPr>
        <w:ind w:firstLine="640" w:firstLineChars="200"/>
        <w:rPr>
          <w:color w:val="000000"/>
          <w:sz w:val="32"/>
          <w:szCs w:val="32"/>
        </w:rPr>
      </w:pPr>
      <w:r>
        <w:rPr>
          <w:rFonts w:hint="eastAsia"/>
          <w:color w:val="000000"/>
          <w:sz w:val="32"/>
          <w:szCs w:val="32"/>
        </w:rPr>
        <w:t>6.完善城乡物流网络节点，降低物流配送成本，提高物流配送效率。积极为电商村、零售企业与物流企业搭建对接平台，发挥电商服务中心作用，打造农产品上行通道，利用物流企业的高效配送实现农产品进城，助力乡村振兴。</w:t>
      </w:r>
    </w:p>
    <w:p w14:paraId="67328D5E">
      <w:pPr>
        <w:spacing w:line="360" w:lineRule="auto"/>
        <w:ind w:firstLine="640" w:firstLineChars="200"/>
        <w:rPr>
          <w:color w:val="000000"/>
          <w:sz w:val="32"/>
        </w:rPr>
        <w:sectPr>
          <w:headerReference r:id="rId7" w:type="first"/>
          <w:footerReference r:id="rId8" w:type="default"/>
          <w:pgSz w:w="11906" w:h="16838"/>
          <w:pgMar w:top="1440" w:right="1800" w:bottom="1440" w:left="1800" w:header="851" w:footer="992" w:gutter="0"/>
          <w:pgNumType w:start="1"/>
          <w:cols w:space="425" w:num="1"/>
          <w:titlePg/>
          <w:docGrid w:type="lines" w:linePitch="312" w:charSpace="0"/>
        </w:sectPr>
      </w:pPr>
      <w:r>
        <w:rPr>
          <w:rFonts w:hint="eastAsia"/>
          <w:color w:val="000000"/>
          <w:sz w:val="32"/>
          <w:szCs w:val="32"/>
        </w:rPr>
        <w:t>7.构建综合交通物流枢纽系统。完善综合运输大通道、综合交通枢纽和物流网络，加快货运枢纽与物流节点融合发展，加快城市交通网络化，提高农村交通通达深度</w:t>
      </w:r>
      <w:r>
        <w:rPr>
          <w:rFonts w:hint="eastAsia"/>
          <w:color w:val="000000"/>
          <w:sz w:val="32"/>
        </w:rPr>
        <w:t>。</w:t>
      </w:r>
    </w:p>
    <w:p w14:paraId="6C554E61">
      <w:pPr>
        <w:pStyle w:val="2"/>
        <w:spacing w:before="312" w:beforeLines="100" w:after="312" w:afterLines="100" w:line="360" w:lineRule="auto"/>
        <w:jc w:val="center"/>
        <w:rPr>
          <w:rFonts w:ascii="黑体" w:hAnsi="黑体" w:eastAsia="黑体" w:cs="黑体"/>
          <w:color w:val="000000"/>
          <w:sz w:val="32"/>
          <w:szCs w:val="32"/>
        </w:rPr>
      </w:pPr>
      <w:bookmarkStart w:id="59" w:name="_Toc89371398"/>
      <w:bookmarkStart w:id="60" w:name="_Hlk38043145"/>
      <w:r>
        <w:rPr>
          <w:rFonts w:hint="eastAsia" w:ascii="黑体" w:hAnsi="黑体" w:eastAsia="黑体" w:cs="黑体"/>
          <w:color w:val="000000"/>
          <w:sz w:val="32"/>
          <w:szCs w:val="32"/>
        </w:rPr>
        <w:t>第七章 规划实施保障措施</w:t>
      </w:r>
      <w:bookmarkEnd w:id="59"/>
    </w:p>
    <w:p w14:paraId="30194E34">
      <w:pPr>
        <w:pStyle w:val="20"/>
        <w:rPr>
          <w:color w:val="000000"/>
          <w:sz w:val="32"/>
        </w:rPr>
      </w:pPr>
      <w:bookmarkStart w:id="61" w:name="_Toc89371399"/>
      <w:r>
        <w:rPr>
          <w:rFonts w:hint="eastAsia"/>
          <w:color w:val="000000"/>
          <w:sz w:val="32"/>
        </w:rPr>
        <w:t>（一）</w:t>
      </w:r>
      <w:r>
        <w:rPr>
          <w:color w:val="000000"/>
          <w:sz w:val="32"/>
        </w:rPr>
        <w:t>加强组织领导，完善工作机制</w:t>
      </w:r>
      <w:bookmarkEnd w:id="61"/>
    </w:p>
    <w:p w14:paraId="28AED940">
      <w:pPr>
        <w:spacing w:line="360" w:lineRule="auto"/>
        <w:ind w:firstLine="420" w:firstLineChars="200"/>
        <w:rPr>
          <w:color w:val="000000"/>
          <w:sz w:val="32"/>
          <w:szCs w:val="32"/>
        </w:rPr>
      </w:pPr>
      <w:r>
        <w:rPr>
          <w:rFonts w:ascii="Helvetica" w:hAnsi="Helvetica"/>
          <w:color w:val="000000"/>
          <w:szCs w:val="21"/>
        </w:rPr>
        <w:t>　　</w:t>
      </w:r>
      <w:r>
        <w:rPr>
          <w:color w:val="000000"/>
          <w:sz w:val="32"/>
          <w:szCs w:val="32"/>
        </w:rPr>
        <w:t>全市各级各部门把交通运输发展列入重要议事议程，积极推进交通基础设施建设的组织体系</w:t>
      </w:r>
      <w:r>
        <w:rPr>
          <w:rFonts w:hint="eastAsia"/>
          <w:color w:val="000000"/>
          <w:sz w:val="32"/>
          <w:szCs w:val="32"/>
        </w:rPr>
        <w:t>建立</w:t>
      </w:r>
      <w:r>
        <w:rPr>
          <w:color w:val="000000"/>
          <w:sz w:val="32"/>
          <w:szCs w:val="32"/>
        </w:rPr>
        <w:t>，建立相应协调机制</w:t>
      </w:r>
      <w:r>
        <w:rPr>
          <w:rFonts w:hint="eastAsia"/>
          <w:color w:val="000000"/>
          <w:sz w:val="32"/>
          <w:szCs w:val="32"/>
        </w:rPr>
        <w:t>，围绕土地、资金等重点要素保障，研究提出加快综合交通发展的重大政策措施，加强与上级各部门、中国铁路总公司等企业、周边县区的衔接与合作</w:t>
      </w:r>
      <w:r>
        <w:rPr>
          <w:color w:val="000000"/>
          <w:sz w:val="32"/>
          <w:szCs w:val="32"/>
        </w:rPr>
        <w:t>，加快形成多方协同推进的工作格局。凡涉及到市区的工程项目，全部实行主要领导分包责任制，并抽调精兵强将组成推进小组。进一步完善部门协同机制，加强部门联动，协调解决交通运输发展中面临的重点和难点问题。</w:t>
      </w:r>
    </w:p>
    <w:p w14:paraId="51E0C9B9">
      <w:pPr>
        <w:pStyle w:val="20"/>
        <w:rPr>
          <w:color w:val="000000"/>
          <w:sz w:val="32"/>
        </w:rPr>
      </w:pPr>
      <w:bookmarkStart w:id="62" w:name="_Toc89371400"/>
      <w:r>
        <w:rPr>
          <w:rFonts w:hint="eastAsia"/>
          <w:color w:val="000000"/>
          <w:sz w:val="32"/>
        </w:rPr>
        <w:t>（二）</w:t>
      </w:r>
      <w:r>
        <w:rPr>
          <w:color w:val="000000"/>
          <w:sz w:val="32"/>
        </w:rPr>
        <w:t>加强沟通协作，合力推动实施</w:t>
      </w:r>
      <w:bookmarkEnd w:id="62"/>
    </w:p>
    <w:p w14:paraId="1F3B77A4">
      <w:pPr>
        <w:spacing w:line="360" w:lineRule="auto"/>
        <w:ind w:firstLine="640" w:firstLineChars="200"/>
        <w:rPr>
          <w:color w:val="000000"/>
          <w:sz w:val="32"/>
          <w:szCs w:val="32"/>
        </w:rPr>
      </w:pPr>
      <w:r>
        <w:rPr>
          <w:color w:val="000000"/>
          <w:sz w:val="32"/>
          <w:szCs w:val="32"/>
        </w:rPr>
        <w:t>按照职能分工，政府各有关部门加强沟通协作，制定和完善相关配套政策措施，进一步增强规划的指导性和操作性，</w:t>
      </w:r>
      <w:r>
        <w:rPr>
          <w:rFonts w:hint="eastAsia"/>
          <w:color w:val="000000"/>
          <w:sz w:val="32"/>
          <w:szCs w:val="32"/>
        </w:rPr>
        <w:t>确保规划中相关任务落实到位、责任分工到位，有序推进规划的各项任务。铁路、公路、水运、民航等各专项规划应与本规划充分衔接。</w:t>
      </w:r>
      <w:r>
        <w:rPr>
          <w:color w:val="000000"/>
          <w:sz w:val="32"/>
          <w:szCs w:val="32"/>
        </w:rPr>
        <w:t>积极推动形成国家产业政策、行业部门政策、地方配套政策协调统一的政策体系，为规划实施创造良好条件。抓好重点项目、重大工程、重大政策的实施</w:t>
      </w:r>
      <w:r>
        <w:rPr>
          <w:rFonts w:hint="eastAsia"/>
          <w:color w:val="000000"/>
          <w:sz w:val="32"/>
          <w:szCs w:val="32"/>
        </w:rPr>
        <w:t>，加强规划实施事中事后监管和动态监测分析，适时开展中期评估、环境影响跟踪评估和建设项目后评估，及时针对项目工程进行动态调整</w:t>
      </w:r>
      <w:r>
        <w:rPr>
          <w:color w:val="000000"/>
          <w:sz w:val="32"/>
          <w:szCs w:val="32"/>
        </w:rPr>
        <w:t>，加强重大项目与国、省规划的衔接，争取国家和省在项目规划、审批和资金等方面的支持。加强发展改革、交通运输、财政、国土资源、环保等相关部门的沟通协调，建立分工协作机制，确保规划各项目标和任务有序推进。落实工程质量责任终身制，明确各级人员的责任，加强质量检查与质量监督。规划实施过程中，要正确处理好政府与市场的关系，做到政府不越位、不错位、不缺位。</w:t>
      </w:r>
    </w:p>
    <w:p w14:paraId="26BB7BD3">
      <w:pPr>
        <w:pStyle w:val="20"/>
        <w:rPr>
          <w:color w:val="000000"/>
          <w:sz w:val="32"/>
        </w:rPr>
      </w:pPr>
      <w:bookmarkStart w:id="63" w:name="_Toc89371401"/>
      <w:r>
        <w:rPr>
          <w:rFonts w:hint="eastAsia"/>
          <w:color w:val="000000"/>
          <w:sz w:val="32"/>
        </w:rPr>
        <w:t>（三）</w:t>
      </w:r>
      <w:r>
        <w:rPr>
          <w:color w:val="000000"/>
          <w:sz w:val="32"/>
        </w:rPr>
        <w:t>提升行业软实力，营造良好发展环境</w:t>
      </w:r>
      <w:bookmarkEnd w:id="63"/>
    </w:p>
    <w:p w14:paraId="6F59AA49">
      <w:pPr>
        <w:spacing w:line="360" w:lineRule="auto"/>
        <w:ind w:firstLine="640" w:firstLineChars="200"/>
        <w:rPr>
          <w:color w:val="000000"/>
          <w:sz w:val="32"/>
          <w:szCs w:val="32"/>
        </w:rPr>
      </w:pPr>
      <w:r>
        <w:rPr>
          <w:color w:val="000000"/>
          <w:sz w:val="32"/>
          <w:szCs w:val="32"/>
        </w:rPr>
        <w:t>深入实施</w:t>
      </w:r>
      <w:r>
        <w:rPr>
          <w:rFonts w:hint="eastAsia"/>
          <w:color w:val="000000"/>
          <w:sz w:val="32"/>
          <w:szCs w:val="32"/>
        </w:rPr>
        <w:t>“</w:t>
      </w:r>
      <w:r>
        <w:rPr>
          <w:color w:val="000000"/>
          <w:sz w:val="32"/>
          <w:szCs w:val="32"/>
        </w:rPr>
        <w:t>人才强交</w:t>
      </w:r>
      <w:r>
        <w:rPr>
          <w:rFonts w:hint="eastAsia"/>
          <w:color w:val="000000"/>
          <w:sz w:val="32"/>
          <w:szCs w:val="32"/>
        </w:rPr>
        <w:t>”</w:t>
      </w:r>
      <w:r>
        <w:rPr>
          <w:color w:val="000000"/>
          <w:sz w:val="32"/>
          <w:szCs w:val="32"/>
        </w:rPr>
        <w:t>战略，以高层次人才及重点领域急需紧缺人才为重点，加强优秀人才和创新团队的建设与培养。加强交通运输行业教育培训的软硬件建设，积极推进教育培训工作制度创新和管理创新。加强行业廉政建设，健全惩治和预防腐败体系，完善权力运行监督制约机制。培育践行交通运输行业核心价值体系，加强行业精神文明和诚信体系建设。加强交通新闻宣传体系建设，完善信息公开机制。</w:t>
      </w:r>
    </w:p>
    <w:bookmarkEnd w:id="60"/>
    <w:p w14:paraId="296229A2">
      <w:pPr>
        <w:pStyle w:val="20"/>
        <w:rPr>
          <w:color w:val="000000"/>
          <w:sz w:val="32"/>
        </w:rPr>
      </w:pPr>
      <w:bookmarkStart w:id="64" w:name="_Toc31260"/>
      <w:bookmarkStart w:id="65" w:name="_Toc89371402"/>
      <w:bookmarkStart w:id="66" w:name="_Hlk38047405"/>
      <w:r>
        <w:rPr>
          <w:rFonts w:hint="eastAsia"/>
          <w:color w:val="000000"/>
          <w:sz w:val="32"/>
        </w:rPr>
        <w:t>（四）编制综合交通发展规划</w:t>
      </w:r>
      <w:bookmarkEnd w:id="64"/>
      <w:r>
        <w:rPr>
          <w:rFonts w:hint="eastAsia"/>
          <w:color w:val="000000"/>
          <w:sz w:val="32"/>
        </w:rPr>
        <w:t>，市域统筹发展</w:t>
      </w:r>
      <w:bookmarkEnd w:id="65"/>
    </w:p>
    <w:p w14:paraId="08BF352E">
      <w:pPr>
        <w:spacing w:line="360" w:lineRule="auto"/>
        <w:ind w:firstLine="640" w:firstLineChars="200"/>
        <w:rPr>
          <w:color w:val="000000"/>
          <w:sz w:val="32"/>
          <w:szCs w:val="32"/>
        </w:rPr>
      </w:pPr>
      <w:r>
        <w:rPr>
          <w:rFonts w:hint="eastAsia"/>
          <w:color w:val="000000"/>
          <w:sz w:val="32"/>
          <w:szCs w:val="32"/>
        </w:rPr>
        <w:t>（1）做好与威海市综合交通发展规划的协调配合，坚持“适度超前”原则，做好各种运输方式的合理布局和相互协调，做好综合交通枢纽建设规划等。</w:t>
      </w:r>
    </w:p>
    <w:p w14:paraId="692BE5D9">
      <w:pPr>
        <w:spacing w:line="360" w:lineRule="auto"/>
        <w:ind w:firstLine="640" w:firstLineChars="200"/>
        <w:rPr>
          <w:color w:val="000000"/>
          <w:sz w:val="32"/>
          <w:szCs w:val="32"/>
        </w:rPr>
      </w:pPr>
      <w:r>
        <w:rPr>
          <w:rFonts w:hint="eastAsia"/>
          <w:color w:val="000000"/>
          <w:sz w:val="32"/>
          <w:szCs w:val="32"/>
        </w:rPr>
        <w:t>（2）做好与邻近市、县交通发展的协调配合。一要打破地域概念，建立长效协商机制；二要推进区域交通一体化，积极探索跨地域合作建设与经营模式。</w:t>
      </w:r>
    </w:p>
    <w:p w14:paraId="32712E90">
      <w:pPr>
        <w:pStyle w:val="20"/>
        <w:rPr>
          <w:color w:val="000000"/>
          <w:sz w:val="32"/>
        </w:rPr>
      </w:pPr>
      <w:bookmarkStart w:id="67" w:name="_Toc15822"/>
      <w:bookmarkStart w:id="68" w:name="_Toc89371403"/>
      <w:r>
        <w:rPr>
          <w:rFonts w:hint="eastAsia"/>
          <w:color w:val="000000"/>
          <w:sz w:val="32"/>
        </w:rPr>
        <w:t>（五）采取积极有效措施，推进交通一体化进程</w:t>
      </w:r>
      <w:bookmarkEnd w:id="67"/>
      <w:bookmarkEnd w:id="68"/>
    </w:p>
    <w:p w14:paraId="54CDAC2D">
      <w:pPr>
        <w:spacing w:line="360" w:lineRule="auto"/>
        <w:ind w:firstLine="640" w:firstLineChars="200"/>
        <w:rPr>
          <w:color w:val="000000"/>
          <w:sz w:val="32"/>
          <w:szCs w:val="32"/>
        </w:rPr>
      </w:pPr>
      <w:r>
        <w:rPr>
          <w:rFonts w:hint="eastAsia"/>
          <w:color w:val="000000"/>
          <w:sz w:val="32"/>
          <w:szCs w:val="32"/>
        </w:rPr>
        <w:t>（1）理顺体制，完善交通管理机构，健全协调机制，提高管理效率，实现管理职能一体化。</w:t>
      </w:r>
    </w:p>
    <w:p w14:paraId="5B1A09A1">
      <w:pPr>
        <w:spacing w:line="360" w:lineRule="auto"/>
        <w:ind w:firstLine="640" w:firstLineChars="200"/>
        <w:rPr>
          <w:color w:val="000000"/>
          <w:sz w:val="32"/>
          <w:szCs w:val="32"/>
        </w:rPr>
      </w:pPr>
      <w:r>
        <w:rPr>
          <w:rFonts w:hint="eastAsia"/>
          <w:color w:val="000000"/>
          <w:sz w:val="32"/>
          <w:szCs w:val="32"/>
        </w:rPr>
        <w:t>（2）加快信息系统建设，提高综合运输体系管理和服务水平。采取措施促进各种运输方式信息系统的整合、对接，逐步形成各种运输方式既自成管理体系、高效运行，又优势互补、相互衔接的格局，实现信息资源共享。</w:t>
      </w:r>
    </w:p>
    <w:p w14:paraId="2B18F550">
      <w:pPr>
        <w:spacing w:line="360" w:lineRule="auto"/>
        <w:ind w:firstLine="640" w:firstLineChars="200"/>
        <w:rPr>
          <w:color w:val="000000"/>
          <w:sz w:val="32"/>
          <w:szCs w:val="32"/>
        </w:rPr>
      </w:pPr>
      <w:r>
        <w:rPr>
          <w:rFonts w:hint="eastAsia"/>
          <w:color w:val="000000"/>
          <w:sz w:val="32"/>
          <w:szCs w:val="32"/>
        </w:rPr>
        <w:t>（3）建立稳定有效的资金筹措机制，积极探索交通运输投融资体制改革模式，拓宽投融资渠道，大力吸引民间资本进入，形成多层次、多元化投融资格局，建立统一开放、竞争有序的市场体系，保证交通建设有充足资金来源。要在资金和政策上争取上级政府给予扶持，用好国家及政府对乳山市交通建设的财政支持政策。</w:t>
      </w:r>
      <w:bookmarkEnd w:id="66"/>
    </w:p>
    <w:p w14:paraId="0DF48FEA">
      <w:pPr>
        <w:pStyle w:val="20"/>
        <w:rPr>
          <w:color w:val="000000"/>
          <w:sz w:val="32"/>
          <w:szCs w:val="40"/>
        </w:rPr>
      </w:pPr>
      <w:bookmarkStart w:id="69" w:name="_Toc89371404"/>
      <w:r>
        <w:rPr>
          <w:rFonts w:hint="eastAsia"/>
          <w:color w:val="000000"/>
          <w:sz w:val="32"/>
          <w:szCs w:val="40"/>
        </w:rPr>
        <w:t>（六）重视环境风险防范，强化环境保护制度</w:t>
      </w:r>
      <w:bookmarkEnd w:id="69"/>
    </w:p>
    <w:p w14:paraId="22D760E3">
      <w:pPr>
        <w:rPr>
          <w:color w:val="000000"/>
          <w:sz w:val="32"/>
          <w:szCs w:val="32"/>
        </w:rPr>
      </w:pPr>
      <w:r>
        <w:rPr>
          <w:rFonts w:hint="eastAsia"/>
          <w:color w:val="000000"/>
          <w:sz w:val="32"/>
          <w:szCs w:val="32"/>
        </w:rPr>
        <w:t xml:space="preserve"> </w:t>
      </w:r>
      <w:r>
        <w:rPr>
          <w:color w:val="000000"/>
          <w:sz w:val="32"/>
          <w:szCs w:val="32"/>
        </w:rPr>
        <w:t xml:space="preserve">   </w:t>
      </w:r>
      <w:r>
        <w:rPr>
          <w:rFonts w:hint="eastAsia"/>
          <w:color w:val="000000"/>
          <w:sz w:val="32"/>
          <w:szCs w:val="32"/>
        </w:rPr>
        <w:t>严格执行排放标准，严格执行规划和建设项目环境影响评价制度，落实“三线一单”要求，加强交通基础设施节能环保和风险防控能力，确保规划实施产生的不利环境影响总体可控。严格执行环境保护“三同时”制度、水土保持“三同时”制度，积极倡导生态选线、环保设计，合理利用生态工程技术，做好水土保持等生态修复工作。</w:t>
      </w:r>
    </w:p>
    <w:p w14:paraId="14D8BC0F">
      <w:pPr>
        <w:pStyle w:val="20"/>
        <w:rPr>
          <w:color w:val="000000"/>
          <w:sz w:val="32"/>
          <w:szCs w:val="40"/>
        </w:rPr>
      </w:pPr>
      <w:bookmarkStart w:id="70" w:name="_Toc45563627"/>
      <w:bookmarkStart w:id="71" w:name="_Toc89371405"/>
      <w:r>
        <w:rPr>
          <w:rFonts w:hint="eastAsia"/>
          <w:color w:val="000000"/>
          <w:sz w:val="32"/>
          <w:szCs w:val="40"/>
        </w:rPr>
        <w:t>（七）重视人才引进，强化人才支撑</w:t>
      </w:r>
      <w:bookmarkEnd w:id="70"/>
      <w:bookmarkEnd w:id="71"/>
    </w:p>
    <w:p w14:paraId="31B9E6E5">
      <w:pPr>
        <w:spacing w:line="360" w:lineRule="auto"/>
        <w:ind w:firstLine="640" w:firstLineChars="200"/>
        <w:rPr>
          <w:color w:val="000000"/>
          <w:sz w:val="32"/>
          <w:szCs w:val="32"/>
        </w:rPr>
      </w:pPr>
      <w:r>
        <w:rPr>
          <w:color w:val="000000"/>
          <w:sz w:val="32"/>
          <w:szCs w:val="32"/>
        </w:rPr>
        <w:t>深入实施</w:t>
      </w:r>
      <w:r>
        <w:rPr>
          <w:rFonts w:hint="eastAsia"/>
          <w:color w:val="000000"/>
          <w:sz w:val="32"/>
          <w:szCs w:val="32"/>
        </w:rPr>
        <w:t>“</w:t>
      </w:r>
      <w:r>
        <w:rPr>
          <w:color w:val="000000"/>
          <w:sz w:val="32"/>
          <w:szCs w:val="32"/>
        </w:rPr>
        <w:t>人才强交</w:t>
      </w:r>
      <w:r>
        <w:rPr>
          <w:rFonts w:hint="eastAsia"/>
          <w:color w:val="000000"/>
          <w:sz w:val="32"/>
          <w:szCs w:val="32"/>
        </w:rPr>
        <w:t>”</w:t>
      </w:r>
      <w:r>
        <w:rPr>
          <w:color w:val="000000"/>
          <w:sz w:val="32"/>
          <w:szCs w:val="32"/>
        </w:rPr>
        <w:t>战略，以高层次人才及重点领域急需紧缺人才为重点，加强优秀人才和创新团队的建设与培养</w:t>
      </w:r>
      <w:r>
        <w:rPr>
          <w:rFonts w:hint="eastAsia"/>
          <w:color w:val="000000"/>
          <w:sz w:val="32"/>
          <w:szCs w:val="32"/>
        </w:rPr>
        <w:t>，制定落实人才使用与激励的政策措施。培育高素质交通劳动者大军。坚持高精尖缺导向，引进一批具有省内先进水平的战略科技人才、科技领军人才、青年科技人才和创新团队，培养交通一线创新人才，支持各领域各学科人才进入交通相关产业行业。</w:t>
      </w:r>
    </w:p>
    <w:p w14:paraId="3D779132">
      <w:pPr>
        <w:spacing w:line="360" w:lineRule="auto"/>
        <w:ind w:firstLine="640" w:firstLineChars="200"/>
        <w:rPr>
          <w:color w:val="000000"/>
          <w:sz w:val="32"/>
          <w:szCs w:val="32"/>
        </w:rPr>
      </w:pPr>
      <w:r>
        <w:rPr>
          <w:color w:val="000000"/>
          <w:sz w:val="32"/>
          <w:szCs w:val="32"/>
        </w:rPr>
        <w:t>加强交通运输行业教育培训的软硬件建设，积极推进教育培训工作制度创新和管理创新。</w:t>
      </w:r>
      <w:r>
        <w:rPr>
          <w:rFonts w:hint="eastAsia"/>
          <w:color w:val="000000"/>
          <w:sz w:val="32"/>
          <w:szCs w:val="32"/>
        </w:rPr>
        <w:t>提升教育培训的基础条件和软硬件环境，为乳山市综合交通发展提供坚实的人才支撑和智力支撑。</w:t>
      </w:r>
    </w:p>
    <w:p w14:paraId="03393DA4">
      <w:pPr>
        <w:spacing w:line="360" w:lineRule="auto"/>
        <w:rPr>
          <w:color w:val="000000"/>
          <w:sz w:val="32"/>
          <w:szCs w:val="32"/>
        </w:rPr>
      </w:pPr>
    </w:p>
    <w:sectPr>
      <w:pgSz w:w="11906" w:h="16838"/>
      <w:pgMar w:top="1440" w:right="1800" w:bottom="1440" w:left="1800"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altName w:val="宋体"/>
    <w:panose1 w:val="02010600030001010101"/>
    <w:charset w:val="86"/>
    <w:family w:val="auto"/>
    <w:pitch w:val="default"/>
    <w:sig w:usb0="00000000" w:usb1="00000000" w:usb2="00000016" w:usb3="00000000" w:csb0="0004000F" w:csb1="00000000"/>
  </w:font>
  <w:font w:name="等线">
    <w:altName w:val="微软雅黑"/>
    <w:panose1 w:val="020106000300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ambria Math">
    <w:panose1 w:val="02040503050406030204"/>
    <w:charset w:val="00"/>
    <w:family w:val="roman"/>
    <w:pitch w:val="default"/>
    <w:sig w:usb0="E00002FF" w:usb1="420024FF" w:usb2="00000000" w:usb3="00000000" w:csb0="2000019F" w:csb1="00000000"/>
  </w:font>
  <w:font w:name="PMingLiU">
    <w:panose1 w:val="02020500000000000000"/>
    <w:charset w:val="88"/>
    <w:family w:val="roman"/>
    <w:pitch w:val="default"/>
    <w:sig w:usb0="A00002FF" w:usb1="28CFFCFA" w:usb2="00000016" w:usb3="00000000" w:csb0="00100001" w:csb1="00000000"/>
  </w:font>
  <w:font w:name="华文仿宋">
    <w:altName w:val="仿宋"/>
    <w:panose1 w:val="02010600040101010101"/>
    <w:charset w:val="86"/>
    <w:family w:val="auto"/>
    <w:pitch w:val="default"/>
    <w:sig w:usb0="00000000" w:usb1="00000000" w:usb2="00000000" w:usb3="00000000" w:csb0="0004009F" w:csb1="DFD70000"/>
  </w:font>
  <w:font w:name="Helvetica">
    <w:altName w:val="Arial"/>
    <w:panose1 w:val="020B06040200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7802E">
    <w:pPr>
      <w:pStyle w:val="7"/>
      <w:ind w:right="90"/>
      <w:jc w:val="right"/>
    </w:pPr>
  </w:p>
  <w:p w14:paraId="51CC836D">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9F385">
    <w:pPr>
      <w:pStyle w:val="7"/>
      <w:ind w:right="90"/>
      <w:jc w:val="right"/>
    </w:pPr>
  </w:p>
  <w:p w14:paraId="7350DDFD">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0190E">
    <w:pPr>
      <w:pStyle w:val="7"/>
      <w:jc w:val="right"/>
    </w:pPr>
    <w:r>
      <w:fldChar w:fldCharType="begin"/>
    </w:r>
    <w:r>
      <w:instrText xml:space="preserve">PAGE   \* MERGEFORMAT</w:instrText>
    </w:r>
    <w:r>
      <w:fldChar w:fldCharType="separate"/>
    </w:r>
    <w:r>
      <w:rPr>
        <w:lang w:val="zh-CN"/>
      </w:rPr>
      <w:t>2</w:t>
    </w:r>
    <w:r>
      <w:fldChar w:fldCharType="end"/>
    </w:r>
  </w:p>
  <w:p w14:paraId="5D679FBB">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72234">
    <w:pPr>
      <w:pStyle w:val="7"/>
      <w:jc w:val="right"/>
    </w:pPr>
    <w:r>
      <w:fldChar w:fldCharType="begin"/>
    </w:r>
    <w:r>
      <w:instrText xml:space="preserve">PAGE   \* MERGEFORMAT</w:instrText>
    </w:r>
    <w:r>
      <w:fldChar w:fldCharType="separate"/>
    </w:r>
    <w:r>
      <w:rPr>
        <w:lang w:val="zh-CN"/>
      </w:rPr>
      <w:t>2</w:t>
    </w:r>
    <w:r>
      <w:fldChar w:fldCharType="end"/>
    </w:r>
  </w:p>
  <w:p w14:paraId="7861082F">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71B42">
    <w:pPr>
      <w:pStyle w:val="8"/>
    </w:pPr>
    <w:r>
      <w:rPr>
        <w:rFonts w:hint="eastAsia"/>
      </w:rPr>
      <w:t>乳山市交通运输“十四五”发展规划</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56B996">
    <w:pPr>
      <w:pStyle w:val="8"/>
    </w:pPr>
    <w:r>
      <w:rPr>
        <w:rFonts w:hint="eastAsia"/>
      </w:rPr>
      <w:t>乳山市交通运输“十四五”发展规划</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decimal"/>
      <w:lvlText w:val="%1."/>
      <w:lvlJc w:val="left"/>
      <w:pPr>
        <w:tabs>
          <w:tab w:val="left" w:pos="312"/>
        </w:tabs>
      </w:pPr>
    </w:lvl>
  </w:abstractNum>
  <w:abstractNum w:abstractNumId="1">
    <w:nsid w:val="00000002"/>
    <w:multiLevelType w:val="multilevel"/>
    <w:tmpl w:val="00000002"/>
    <w:lvl w:ilvl="0" w:tentative="0">
      <w:start w:val="1"/>
      <w:numFmt w:val="decimal"/>
      <w:lvlText w:val="%1."/>
      <w:lvlJc w:val="left"/>
      <w:pPr>
        <w:ind w:left="945" w:hanging="225"/>
      </w:pPr>
      <w:rPr>
        <w:rFonts w:hint="default"/>
        <w:b/>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abstractNum w:abstractNumId="2">
    <w:nsid w:val="00000003"/>
    <w:multiLevelType w:val="multilevel"/>
    <w:tmpl w:val="00000003"/>
    <w:lvl w:ilvl="0" w:tentative="0">
      <w:start w:val="1"/>
      <w:numFmt w:val="bullet"/>
      <w:lvlText w:val=""/>
      <w:lvlJc w:val="left"/>
      <w:pPr>
        <w:tabs>
          <w:tab w:val="left" w:pos="720"/>
        </w:tabs>
        <w:ind w:left="720" w:hanging="360"/>
      </w:pPr>
      <w:rPr>
        <w:rFonts w:hint="default" w:ascii="Wingdings" w:hAnsi="Wingdings"/>
      </w:rPr>
    </w:lvl>
    <w:lvl w:ilvl="1" w:tentative="0">
      <w:start w:val="1"/>
      <w:numFmt w:val="bullet"/>
      <w:lvlText w:val=""/>
      <w:lvlJc w:val="left"/>
      <w:pPr>
        <w:tabs>
          <w:tab w:val="left" w:pos="1440"/>
        </w:tabs>
        <w:ind w:left="1440" w:hanging="360"/>
      </w:pPr>
      <w:rPr>
        <w:rFonts w:hint="default" w:ascii="Wingdings" w:hAnsi="Wingdings"/>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Wingdings" w:hAnsi="Wingdings"/>
      </w:rPr>
    </w:lvl>
    <w:lvl w:ilvl="4" w:tentative="0">
      <w:start w:val="1"/>
      <w:numFmt w:val="bullet"/>
      <w:lvlText w:val=""/>
      <w:lvlJc w:val="left"/>
      <w:pPr>
        <w:tabs>
          <w:tab w:val="left" w:pos="3600"/>
        </w:tabs>
        <w:ind w:left="3600" w:hanging="360"/>
      </w:pPr>
      <w:rPr>
        <w:rFonts w:hint="default" w:ascii="Wingdings" w:hAnsi="Wingdings"/>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Wingdings" w:hAnsi="Wingdings"/>
      </w:rPr>
    </w:lvl>
    <w:lvl w:ilvl="7" w:tentative="0">
      <w:start w:val="1"/>
      <w:numFmt w:val="bullet"/>
      <w:lvlText w:val=""/>
      <w:lvlJc w:val="left"/>
      <w:pPr>
        <w:tabs>
          <w:tab w:val="left" w:pos="5760"/>
        </w:tabs>
        <w:ind w:left="5760" w:hanging="360"/>
      </w:pPr>
      <w:rPr>
        <w:rFonts w:hint="default" w:ascii="Wingdings" w:hAnsi="Wingdings"/>
      </w:rPr>
    </w:lvl>
    <w:lvl w:ilvl="8" w:tentative="0">
      <w:start w:val="1"/>
      <w:numFmt w:val="bullet"/>
      <w:lvlText w:val=""/>
      <w:lvlJc w:val="left"/>
      <w:pPr>
        <w:tabs>
          <w:tab w:val="left" w:pos="6480"/>
        </w:tabs>
        <w:ind w:left="6480" w:hanging="360"/>
      </w:pPr>
      <w:rPr>
        <w:rFonts w:hint="default" w:ascii="Wingdings" w:hAnsi="Wingdings"/>
      </w:rPr>
    </w:lvl>
  </w:abstractNum>
  <w:abstractNum w:abstractNumId="3">
    <w:nsid w:val="00000004"/>
    <w:multiLevelType w:val="multilevel"/>
    <w:tmpl w:val="00000004"/>
    <w:lvl w:ilvl="0" w:tentative="0">
      <w:start w:val="1"/>
      <w:numFmt w:val="bullet"/>
      <w:lvlText w:val=""/>
      <w:lvlJc w:val="left"/>
      <w:pPr>
        <w:tabs>
          <w:tab w:val="left" w:pos="720"/>
        </w:tabs>
        <w:ind w:left="720" w:hanging="360"/>
      </w:pPr>
      <w:rPr>
        <w:rFonts w:hint="default" w:ascii="Wingdings" w:hAnsi="Wingdings"/>
      </w:rPr>
    </w:lvl>
    <w:lvl w:ilvl="1" w:tentative="0">
      <w:start w:val="1"/>
      <w:numFmt w:val="bullet"/>
      <w:lvlText w:val=""/>
      <w:lvlJc w:val="left"/>
      <w:pPr>
        <w:tabs>
          <w:tab w:val="left" w:pos="1440"/>
        </w:tabs>
        <w:ind w:left="1440" w:hanging="360"/>
      </w:pPr>
      <w:rPr>
        <w:rFonts w:hint="default" w:ascii="Wingdings" w:hAnsi="Wingdings"/>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Wingdings" w:hAnsi="Wingdings"/>
      </w:rPr>
    </w:lvl>
    <w:lvl w:ilvl="4" w:tentative="0">
      <w:start w:val="1"/>
      <w:numFmt w:val="bullet"/>
      <w:lvlText w:val=""/>
      <w:lvlJc w:val="left"/>
      <w:pPr>
        <w:tabs>
          <w:tab w:val="left" w:pos="3600"/>
        </w:tabs>
        <w:ind w:left="3600" w:hanging="360"/>
      </w:pPr>
      <w:rPr>
        <w:rFonts w:hint="default" w:ascii="Wingdings" w:hAnsi="Wingdings"/>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Wingdings" w:hAnsi="Wingdings"/>
      </w:rPr>
    </w:lvl>
    <w:lvl w:ilvl="7" w:tentative="0">
      <w:start w:val="1"/>
      <w:numFmt w:val="bullet"/>
      <w:lvlText w:val=""/>
      <w:lvlJc w:val="left"/>
      <w:pPr>
        <w:tabs>
          <w:tab w:val="left" w:pos="5760"/>
        </w:tabs>
        <w:ind w:left="5760" w:hanging="360"/>
      </w:pPr>
      <w:rPr>
        <w:rFonts w:hint="default" w:ascii="Wingdings" w:hAnsi="Wingdings"/>
      </w:rPr>
    </w:lvl>
    <w:lvl w:ilvl="8" w:tentative="0">
      <w:start w:val="1"/>
      <w:numFmt w:val="bullet"/>
      <w:lvlText w:val=""/>
      <w:lvlJc w:val="left"/>
      <w:pPr>
        <w:tabs>
          <w:tab w:val="left" w:pos="6480"/>
        </w:tabs>
        <w:ind w:left="6480" w:hanging="360"/>
      </w:pPr>
      <w:rPr>
        <w:rFonts w:hint="default" w:ascii="Wingdings" w:hAnsi="Wingdings"/>
      </w:rPr>
    </w:lvl>
  </w:abstractNum>
  <w:abstractNum w:abstractNumId="4">
    <w:nsid w:val="00000005"/>
    <w:multiLevelType w:val="multilevel"/>
    <w:tmpl w:val="00000005"/>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5">
    <w:nsid w:val="00000006"/>
    <w:multiLevelType w:val="multilevel"/>
    <w:tmpl w:val="00000006"/>
    <w:lvl w:ilvl="0" w:tentative="0">
      <w:start w:val="1"/>
      <w:numFmt w:val="bullet"/>
      <w:lvlText w:val=""/>
      <w:lvlJc w:val="left"/>
      <w:pPr>
        <w:tabs>
          <w:tab w:val="left" w:pos="720"/>
        </w:tabs>
        <w:ind w:left="720" w:hanging="360"/>
      </w:pPr>
      <w:rPr>
        <w:rFonts w:hint="default" w:ascii="Wingdings" w:hAnsi="Wingdings"/>
      </w:rPr>
    </w:lvl>
    <w:lvl w:ilvl="1" w:tentative="0">
      <w:start w:val="1"/>
      <w:numFmt w:val="bullet"/>
      <w:lvlText w:val=""/>
      <w:lvlJc w:val="left"/>
      <w:pPr>
        <w:tabs>
          <w:tab w:val="left" w:pos="1440"/>
        </w:tabs>
        <w:ind w:left="1440" w:hanging="360"/>
      </w:pPr>
      <w:rPr>
        <w:rFonts w:hint="default" w:ascii="Wingdings" w:hAnsi="Wingdings"/>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Wingdings" w:hAnsi="Wingdings"/>
      </w:rPr>
    </w:lvl>
    <w:lvl w:ilvl="4" w:tentative="0">
      <w:start w:val="1"/>
      <w:numFmt w:val="bullet"/>
      <w:lvlText w:val=""/>
      <w:lvlJc w:val="left"/>
      <w:pPr>
        <w:tabs>
          <w:tab w:val="left" w:pos="3600"/>
        </w:tabs>
        <w:ind w:left="3600" w:hanging="360"/>
      </w:pPr>
      <w:rPr>
        <w:rFonts w:hint="default" w:ascii="Wingdings" w:hAnsi="Wingdings"/>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Wingdings" w:hAnsi="Wingdings"/>
      </w:rPr>
    </w:lvl>
    <w:lvl w:ilvl="7" w:tentative="0">
      <w:start w:val="1"/>
      <w:numFmt w:val="bullet"/>
      <w:lvlText w:val=""/>
      <w:lvlJc w:val="left"/>
      <w:pPr>
        <w:tabs>
          <w:tab w:val="left" w:pos="5760"/>
        </w:tabs>
        <w:ind w:left="5760" w:hanging="360"/>
      </w:pPr>
      <w:rPr>
        <w:rFonts w:hint="default" w:ascii="Wingdings" w:hAnsi="Wingdings"/>
      </w:rPr>
    </w:lvl>
    <w:lvl w:ilvl="8" w:tentative="0">
      <w:start w:val="1"/>
      <w:numFmt w:val="bullet"/>
      <w:lvlText w:val=""/>
      <w:lvlJc w:val="left"/>
      <w:pPr>
        <w:tabs>
          <w:tab w:val="left" w:pos="6480"/>
        </w:tabs>
        <w:ind w:left="6480" w:hanging="360"/>
      </w:pPr>
      <w:rPr>
        <w:rFonts w:hint="default" w:ascii="Wingdings" w:hAnsi="Wingdings"/>
      </w:rPr>
    </w:lvl>
  </w:abstractNum>
  <w:abstractNum w:abstractNumId="6">
    <w:nsid w:val="00000007"/>
    <w:multiLevelType w:val="multilevel"/>
    <w:tmpl w:val="00000007"/>
    <w:lvl w:ilvl="0" w:tentative="0">
      <w:start w:val="1"/>
      <w:numFmt w:val="bullet"/>
      <w:lvlText w:val=""/>
      <w:lvlJc w:val="left"/>
      <w:pPr>
        <w:tabs>
          <w:tab w:val="left" w:pos="720"/>
        </w:tabs>
        <w:ind w:left="720" w:hanging="360"/>
      </w:pPr>
      <w:rPr>
        <w:rFonts w:hint="default" w:ascii="Wingdings" w:hAnsi="Wingdings"/>
      </w:rPr>
    </w:lvl>
    <w:lvl w:ilvl="1" w:tentative="0">
      <w:start w:val="1"/>
      <w:numFmt w:val="bullet"/>
      <w:lvlText w:val=""/>
      <w:lvlJc w:val="left"/>
      <w:pPr>
        <w:tabs>
          <w:tab w:val="left" w:pos="1440"/>
        </w:tabs>
        <w:ind w:left="1440" w:hanging="360"/>
      </w:pPr>
      <w:rPr>
        <w:rFonts w:hint="default" w:ascii="Wingdings" w:hAnsi="Wingdings"/>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Wingdings" w:hAnsi="Wingdings"/>
      </w:rPr>
    </w:lvl>
    <w:lvl w:ilvl="4" w:tentative="0">
      <w:start w:val="1"/>
      <w:numFmt w:val="bullet"/>
      <w:lvlText w:val=""/>
      <w:lvlJc w:val="left"/>
      <w:pPr>
        <w:tabs>
          <w:tab w:val="left" w:pos="3600"/>
        </w:tabs>
        <w:ind w:left="3600" w:hanging="360"/>
      </w:pPr>
      <w:rPr>
        <w:rFonts w:hint="default" w:ascii="Wingdings" w:hAnsi="Wingdings"/>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Wingdings" w:hAnsi="Wingdings"/>
      </w:rPr>
    </w:lvl>
    <w:lvl w:ilvl="7" w:tentative="0">
      <w:start w:val="1"/>
      <w:numFmt w:val="bullet"/>
      <w:lvlText w:val=""/>
      <w:lvlJc w:val="left"/>
      <w:pPr>
        <w:tabs>
          <w:tab w:val="left" w:pos="5760"/>
        </w:tabs>
        <w:ind w:left="5760" w:hanging="360"/>
      </w:pPr>
      <w:rPr>
        <w:rFonts w:hint="default" w:ascii="Wingdings" w:hAnsi="Wingdings"/>
      </w:rPr>
    </w:lvl>
    <w:lvl w:ilvl="8" w:tentative="0">
      <w:start w:val="1"/>
      <w:numFmt w:val="bullet"/>
      <w:lvlText w:val=""/>
      <w:lvlJc w:val="left"/>
      <w:pPr>
        <w:tabs>
          <w:tab w:val="left" w:pos="6480"/>
        </w:tabs>
        <w:ind w:left="6480" w:hanging="360"/>
      </w:pPr>
      <w:rPr>
        <w:rFonts w:hint="default" w:ascii="Wingdings" w:hAnsi="Wingdings"/>
      </w:rPr>
    </w:lvl>
  </w:abstractNum>
  <w:num w:numId="1">
    <w:abstractNumId w:val="5"/>
  </w:num>
  <w:num w:numId="2">
    <w:abstractNumId w:val="6"/>
  </w:num>
  <w:num w:numId="3">
    <w:abstractNumId w:val="2"/>
  </w:num>
  <w:num w:numId="4">
    <w:abstractNumId w:val="3"/>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WU4MjM3MzY4MDJkYTgwNDVhNDAyNTQ1NWEyMDU4NjAifQ=="/>
  </w:docVars>
  <w:rsids>
    <w:rsidRoot w:val="00000000"/>
    <w:rsid w:val="248152B3"/>
    <w:rsid w:val="2B7B5FD5"/>
    <w:rsid w:val="2C964BBA"/>
    <w:rsid w:val="4EE26816"/>
    <w:rsid w:val="50051C7F"/>
    <w:rsid w:val="65F07AF8"/>
    <w:rsid w:val="68B90EFE"/>
    <w:rsid w:val="7C8D0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2"/>
    <w:qFormat/>
    <w:uiPriority w:val="0"/>
    <w:pPr>
      <w:keepNext/>
      <w:keepLines/>
      <w:spacing w:before="260" w:after="260" w:line="416" w:lineRule="auto"/>
      <w:outlineLvl w:val="1"/>
    </w:pPr>
    <w:rPr>
      <w:rFonts w:ascii="等线 Light" w:hAnsi="等线 Light" w:eastAsia="等线 Light" w:cs="宋体"/>
      <w:b/>
      <w:bCs/>
      <w:sz w:val="32"/>
      <w:szCs w:val="32"/>
    </w:rPr>
  </w:style>
  <w:style w:type="paragraph" w:styleId="4">
    <w:name w:val="heading 3"/>
    <w:basedOn w:val="1"/>
    <w:next w:val="1"/>
    <w:link w:val="26"/>
    <w:qFormat/>
    <w:uiPriority w:val="0"/>
    <w:pPr>
      <w:keepNext/>
      <w:keepLines/>
      <w:spacing w:before="260" w:after="260" w:line="416" w:lineRule="auto"/>
      <w:outlineLvl w:val="2"/>
    </w:pPr>
    <w:rPr>
      <w:b/>
      <w:bCs/>
      <w:sz w:val="32"/>
      <w:szCs w:val="32"/>
    </w:rPr>
  </w:style>
  <w:style w:type="character" w:default="1" w:styleId="15">
    <w:name w:val="Default Paragraph Font"/>
    <w:qFormat/>
    <w:uiPriority w:val="1"/>
  </w:style>
  <w:style w:type="table" w:default="1" w:styleId="13">
    <w:name w:val="Normal Table"/>
    <w:qFormat/>
    <w:uiPriority w:val="99"/>
    <w:tblPr>
      <w:tblCellMar>
        <w:top w:w="0" w:type="dxa"/>
        <w:left w:w="108" w:type="dxa"/>
        <w:bottom w:w="0" w:type="dxa"/>
        <w:right w:w="108" w:type="dxa"/>
      </w:tblCellMar>
    </w:tblPr>
  </w:style>
  <w:style w:type="paragraph" w:styleId="5">
    <w:name w:val="toc 3"/>
    <w:basedOn w:val="1"/>
    <w:next w:val="1"/>
    <w:qFormat/>
    <w:uiPriority w:val="39"/>
    <w:pPr>
      <w:widowControl/>
      <w:spacing w:after="100" w:line="259" w:lineRule="auto"/>
      <w:ind w:left="440"/>
      <w:jc w:val="left"/>
    </w:pPr>
    <w:rPr>
      <w:rFonts w:ascii="等线" w:hAnsi="等线" w:eastAsia="等线"/>
      <w:kern w:val="0"/>
      <w:sz w:val="22"/>
      <w:szCs w:val="22"/>
    </w:rPr>
  </w:style>
  <w:style w:type="paragraph" w:styleId="6">
    <w:name w:val="Balloon Text"/>
    <w:basedOn w:val="1"/>
    <w:link w:val="37"/>
    <w:qFormat/>
    <w:uiPriority w:val="0"/>
    <w:rPr>
      <w:sz w:val="18"/>
      <w:szCs w:val="18"/>
    </w:rPr>
  </w:style>
  <w:style w:type="paragraph" w:styleId="7">
    <w:name w:val="footer"/>
    <w:basedOn w:val="1"/>
    <w:link w:val="28"/>
    <w:qFormat/>
    <w:uiPriority w:val="99"/>
    <w:pPr>
      <w:tabs>
        <w:tab w:val="center" w:pos="4153"/>
        <w:tab w:val="right" w:pos="8306"/>
      </w:tabs>
      <w:snapToGrid w:val="0"/>
      <w:ind w:left="420" w:firstLine="550"/>
      <w:jc w:val="left"/>
    </w:pPr>
    <w:rPr>
      <w:rFonts w:ascii="Calibri" w:hAnsi="Calibri"/>
      <w:sz w:val="18"/>
      <w:szCs w:val="18"/>
    </w:rPr>
  </w:style>
  <w:style w:type="paragraph" w:styleId="8">
    <w:name w:val="header"/>
    <w:basedOn w:val="1"/>
    <w:link w:val="30"/>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widowControl/>
      <w:spacing w:after="100" w:line="259" w:lineRule="auto"/>
      <w:jc w:val="left"/>
    </w:pPr>
    <w:rPr>
      <w:rFonts w:ascii="等线" w:hAnsi="等线" w:eastAsia="等线"/>
      <w:kern w:val="0"/>
      <w:sz w:val="22"/>
      <w:szCs w:val="22"/>
    </w:rPr>
  </w:style>
  <w:style w:type="paragraph" w:styleId="10">
    <w:name w:val="toc 2"/>
    <w:basedOn w:val="1"/>
    <w:next w:val="1"/>
    <w:qFormat/>
    <w:uiPriority w:val="39"/>
    <w:pPr>
      <w:widowControl/>
      <w:spacing w:after="100" w:line="259" w:lineRule="auto"/>
      <w:ind w:left="220"/>
      <w:jc w:val="left"/>
    </w:pPr>
    <w:rPr>
      <w:rFonts w:ascii="等线" w:hAnsi="等线" w:eastAsia="等线"/>
      <w:kern w:val="0"/>
      <w:sz w:val="22"/>
      <w:szCs w:val="22"/>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Title"/>
    <w:basedOn w:val="1"/>
    <w:next w:val="1"/>
    <w:link w:val="34"/>
    <w:qFormat/>
    <w:uiPriority w:val="0"/>
    <w:pPr>
      <w:spacing w:before="240" w:after="60"/>
      <w:jc w:val="center"/>
      <w:outlineLvl w:val="0"/>
    </w:pPr>
    <w:rPr>
      <w:rFonts w:ascii="等线 Light" w:hAnsi="等线 Light" w:eastAsia="等线 Light" w:cs="宋体"/>
      <w:b/>
      <w:bCs/>
      <w:sz w:val="32"/>
      <w:szCs w:val="32"/>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22"/>
    <w:rPr>
      <w:b/>
      <w:bCs/>
    </w:rPr>
  </w:style>
  <w:style w:type="character" w:styleId="17">
    <w:name w:val="Hyperlink"/>
    <w:basedOn w:val="15"/>
    <w:qFormat/>
    <w:uiPriority w:val="99"/>
    <w:rPr>
      <w:color w:val="0563C1"/>
      <w:u w:val="single"/>
    </w:rPr>
  </w:style>
  <w:style w:type="paragraph" w:styleId="18">
    <w:name w:val="List Paragraph"/>
    <w:basedOn w:val="1"/>
    <w:qFormat/>
    <w:uiPriority w:val="34"/>
    <w:pPr>
      <w:ind w:firstLine="420" w:firstLineChars="200"/>
    </w:pPr>
  </w:style>
  <w:style w:type="character" w:customStyle="1" w:styleId="19">
    <w:name w:val="标题 1 字符"/>
    <w:basedOn w:val="15"/>
    <w:link w:val="2"/>
    <w:qFormat/>
    <w:uiPriority w:val="0"/>
    <w:rPr>
      <w:b/>
      <w:bCs/>
      <w:kern w:val="44"/>
      <w:sz w:val="44"/>
      <w:szCs w:val="44"/>
    </w:rPr>
  </w:style>
  <w:style w:type="paragraph" w:customStyle="1" w:styleId="20">
    <w:name w:val="标题2"/>
    <w:basedOn w:val="3"/>
    <w:link w:val="23"/>
    <w:qFormat/>
    <w:uiPriority w:val="0"/>
    <w:pPr>
      <w:spacing w:before="0" w:after="0" w:line="360" w:lineRule="auto"/>
    </w:pPr>
    <w:rPr>
      <w:rFonts w:eastAsia="宋体"/>
      <w:b w:val="0"/>
      <w:sz w:val="24"/>
    </w:rPr>
  </w:style>
  <w:style w:type="paragraph" w:customStyle="1" w:styleId="21">
    <w:name w:val="标题3"/>
    <w:basedOn w:val="4"/>
    <w:link w:val="27"/>
    <w:qFormat/>
    <w:uiPriority w:val="0"/>
    <w:pPr>
      <w:spacing w:before="0" w:after="0" w:line="360" w:lineRule="auto"/>
    </w:pPr>
    <w:rPr>
      <w:b w:val="0"/>
      <w:sz w:val="24"/>
    </w:rPr>
  </w:style>
  <w:style w:type="character" w:customStyle="1" w:styleId="22">
    <w:name w:val="标题 2 字符"/>
    <w:basedOn w:val="15"/>
    <w:link w:val="3"/>
    <w:qFormat/>
    <w:uiPriority w:val="0"/>
    <w:rPr>
      <w:rFonts w:ascii="等线 Light" w:hAnsi="等线 Light" w:eastAsia="等线 Light" w:cs="宋体"/>
      <w:b/>
      <w:bCs/>
      <w:kern w:val="2"/>
      <w:sz w:val="32"/>
      <w:szCs w:val="32"/>
    </w:rPr>
  </w:style>
  <w:style w:type="character" w:customStyle="1" w:styleId="23">
    <w:name w:val="标题2 字符"/>
    <w:basedOn w:val="22"/>
    <w:link w:val="20"/>
    <w:qFormat/>
    <w:uiPriority w:val="0"/>
    <w:rPr>
      <w:rFonts w:ascii="等线 Light" w:hAnsi="等线 Light" w:eastAsia="等线 Light" w:cs="宋体"/>
      <w:b w:val="0"/>
      <w:kern w:val="2"/>
      <w:sz w:val="24"/>
      <w:szCs w:val="32"/>
    </w:rPr>
  </w:style>
  <w:style w:type="character" w:customStyle="1" w:styleId="24">
    <w:name w:val="无间隔 Char"/>
    <w:basedOn w:val="15"/>
    <w:link w:val="25"/>
    <w:qFormat/>
    <w:uiPriority w:val="0"/>
    <w:rPr>
      <w:sz w:val="21"/>
      <w:szCs w:val="22"/>
    </w:rPr>
  </w:style>
  <w:style w:type="paragraph" w:customStyle="1" w:styleId="25">
    <w:name w:val="无间隔1"/>
    <w:link w:val="24"/>
    <w:qFormat/>
    <w:uiPriority w:val="0"/>
    <w:pPr>
      <w:widowControl w:val="0"/>
      <w:jc w:val="both"/>
    </w:pPr>
    <w:rPr>
      <w:rFonts w:ascii="Times New Roman" w:hAnsi="Times New Roman" w:eastAsia="宋体" w:cs="Times New Roman"/>
      <w:sz w:val="21"/>
      <w:szCs w:val="22"/>
      <w:lang w:val="en-US" w:eastAsia="zh-CN" w:bidi="ar-SA"/>
    </w:rPr>
  </w:style>
  <w:style w:type="character" w:customStyle="1" w:styleId="26">
    <w:name w:val="标题 3 字符"/>
    <w:basedOn w:val="15"/>
    <w:link w:val="4"/>
    <w:qFormat/>
    <w:uiPriority w:val="0"/>
    <w:rPr>
      <w:b/>
      <w:bCs/>
      <w:kern w:val="2"/>
      <w:sz w:val="32"/>
      <w:szCs w:val="32"/>
    </w:rPr>
  </w:style>
  <w:style w:type="character" w:customStyle="1" w:styleId="27">
    <w:name w:val="标题3 字符"/>
    <w:basedOn w:val="26"/>
    <w:link w:val="21"/>
    <w:qFormat/>
    <w:uiPriority w:val="0"/>
    <w:rPr>
      <w:b w:val="0"/>
      <w:kern w:val="2"/>
      <w:sz w:val="24"/>
      <w:szCs w:val="32"/>
    </w:rPr>
  </w:style>
  <w:style w:type="character" w:customStyle="1" w:styleId="28">
    <w:name w:val="页脚 字符"/>
    <w:basedOn w:val="15"/>
    <w:link w:val="7"/>
    <w:qFormat/>
    <w:uiPriority w:val="99"/>
    <w:rPr>
      <w:rFonts w:ascii="Calibri" w:hAnsi="Calibri"/>
      <w:kern w:val="2"/>
      <w:sz w:val="18"/>
      <w:szCs w:val="18"/>
    </w:rPr>
  </w:style>
  <w:style w:type="table" w:customStyle="1" w:styleId="29">
    <w:name w:val="无格式表格 21"/>
    <w:basedOn w:val="13"/>
    <w:qFormat/>
    <w:uiPriority w:val="42"/>
    <w:tblPr>
      <w:tblBorders>
        <w:top w:val="single" w:color="7F7F7F" w:sz="4" w:space="0"/>
        <w:bottom w:val="single" w:color="7F7F7F" w:sz="4" w:space="0"/>
      </w:tblBorders>
    </w:tblPr>
    <w:tblStylePr w:type="firstRow">
      <w:rPr>
        <w:b/>
        <w:bCs/>
      </w:rPr>
      <w:tcPr>
        <w:tcBorders>
          <w:bottom w:val="single" w:color="7F7F7F" w:sz="4" w:space="0"/>
        </w:tcBorders>
      </w:tcPr>
    </w:tblStylePr>
    <w:tblStylePr w:type="lastRow">
      <w:rPr>
        <w:b/>
        <w:bCs/>
      </w:rPr>
      <w:tcPr>
        <w:tcBorders>
          <w:top w:val="single" w:color="7F7F7F" w:sz="4" w:space="0"/>
        </w:tcBorders>
      </w:tcPr>
    </w:tblStylePr>
    <w:tblStylePr w:type="firstCol">
      <w:rPr>
        <w:b/>
        <w:bCs/>
      </w:rPr>
    </w:tblStylePr>
    <w:tblStylePr w:type="lastCol">
      <w:rPr>
        <w:b/>
        <w:bCs/>
      </w:rPr>
    </w:tblStylePr>
    <w:tblStylePr w:type="band1Vert">
      <w:tcPr>
        <w:tcBorders>
          <w:left w:val="single" w:color="7F7F7F" w:sz="4" w:space="0"/>
          <w:right w:val="single" w:color="7F7F7F" w:sz="4" w:space="0"/>
        </w:tcBorders>
      </w:tcPr>
    </w:tblStylePr>
    <w:tblStylePr w:type="band2Vert">
      <w:tcPr>
        <w:tcBorders>
          <w:left w:val="single" w:color="7F7F7F" w:sz="4" w:space="0"/>
          <w:right w:val="single" w:color="7F7F7F" w:sz="4" w:space="0"/>
        </w:tcBorders>
      </w:tcPr>
    </w:tblStylePr>
    <w:tblStylePr w:type="band1Horz">
      <w:tcPr>
        <w:tcBorders>
          <w:top w:val="single" w:color="7F7F7F" w:sz="4" w:space="0"/>
          <w:bottom w:val="single" w:color="7F7F7F" w:sz="4" w:space="0"/>
        </w:tcBorders>
      </w:tcPr>
    </w:tblStylePr>
  </w:style>
  <w:style w:type="character" w:customStyle="1" w:styleId="30">
    <w:name w:val="页眉 字符"/>
    <w:basedOn w:val="15"/>
    <w:link w:val="8"/>
    <w:qFormat/>
    <w:uiPriority w:val="0"/>
    <w:rPr>
      <w:kern w:val="2"/>
      <w:sz w:val="18"/>
      <w:szCs w:val="18"/>
    </w:rPr>
  </w:style>
  <w:style w:type="paragraph" w:customStyle="1" w:styleId="31">
    <w:name w:val="TOC 标题1"/>
    <w:basedOn w:val="2"/>
    <w:next w:val="1"/>
    <w:qFormat/>
    <w:uiPriority w:val="39"/>
    <w:pPr>
      <w:widowControl/>
      <w:spacing w:before="240" w:after="0" w:line="259" w:lineRule="auto"/>
      <w:jc w:val="left"/>
      <w:outlineLvl w:val="9"/>
    </w:pPr>
    <w:rPr>
      <w:rFonts w:ascii="等线 Light" w:hAnsi="等线 Light" w:eastAsia="等线 Light" w:cs="宋体"/>
      <w:b w:val="0"/>
      <w:bCs w:val="0"/>
      <w:color w:val="2F5496"/>
      <w:kern w:val="0"/>
      <w:sz w:val="32"/>
      <w:szCs w:val="32"/>
    </w:rPr>
  </w:style>
  <w:style w:type="character" w:customStyle="1" w:styleId="32">
    <w:name w:val="fontstyle01"/>
    <w:basedOn w:val="15"/>
    <w:qFormat/>
    <w:uiPriority w:val="0"/>
    <w:rPr>
      <w:rFonts w:hint="eastAsia" w:ascii="仿宋" w:hAnsi="仿宋" w:eastAsia="仿宋"/>
      <w:color w:val="000000"/>
      <w:sz w:val="32"/>
      <w:szCs w:val="32"/>
    </w:rPr>
  </w:style>
  <w:style w:type="character" w:customStyle="1" w:styleId="33">
    <w:name w:val="fontstyle21"/>
    <w:basedOn w:val="15"/>
    <w:qFormat/>
    <w:uiPriority w:val="0"/>
    <w:rPr>
      <w:rFonts w:hint="default" w:ascii="TimesNewRomanPSMT" w:hAnsi="TimesNewRomanPSMT"/>
      <w:color w:val="000000"/>
      <w:sz w:val="24"/>
      <w:szCs w:val="24"/>
    </w:rPr>
  </w:style>
  <w:style w:type="character" w:customStyle="1" w:styleId="34">
    <w:name w:val="标题 字符"/>
    <w:basedOn w:val="15"/>
    <w:link w:val="12"/>
    <w:qFormat/>
    <w:uiPriority w:val="0"/>
    <w:rPr>
      <w:rFonts w:ascii="等线 Light" w:hAnsi="等线 Light" w:eastAsia="等线 Light" w:cs="宋体"/>
      <w:b/>
      <w:bCs/>
      <w:kern w:val="2"/>
      <w:sz w:val="32"/>
      <w:szCs w:val="32"/>
    </w:rPr>
  </w:style>
  <w:style w:type="character" w:customStyle="1" w:styleId="35">
    <w:name w:val="正文 Char"/>
    <w:qFormat/>
    <w:uiPriority w:val="0"/>
    <w:rPr>
      <w:rFonts w:ascii="Arial" w:hAnsi="Arial" w:eastAsia="宋体"/>
      <w:kern w:val="2"/>
      <w:sz w:val="24"/>
      <w:szCs w:val="24"/>
      <w:lang w:val="en-US" w:eastAsia="zh-CN" w:bidi="ar-SA"/>
    </w:rPr>
  </w:style>
  <w:style w:type="character" w:customStyle="1" w:styleId="36">
    <w:name w:val="未处理的提及1"/>
    <w:basedOn w:val="15"/>
    <w:qFormat/>
    <w:uiPriority w:val="99"/>
    <w:rPr>
      <w:color w:val="605E5C"/>
      <w:shd w:val="clear" w:color="auto" w:fill="E1DFDD"/>
    </w:rPr>
  </w:style>
  <w:style w:type="character" w:customStyle="1" w:styleId="37">
    <w:name w:val="批注框文本 字符"/>
    <w:basedOn w:val="15"/>
    <w:link w:val="6"/>
    <w:qFormat/>
    <w:uiPriority w:val="0"/>
    <w:rPr>
      <w:kern w:val="2"/>
      <w:sz w:val="18"/>
      <w:szCs w:val="18"/>
    </w:rPr>
  </w:style>
  <w:style w:type="paragraph" w:customStyle="1" w:styleId="38">
    <w:name w:val="修订1"/>
    <w:qFormat/>
    <w:uiPriority w:val="99"/>
    <w:rPr>
      <w:rFonts w:ascii="Times New Roman" w:hAnsi="Times New Roman" w:eastAsia="宋体" w:cs="Times New Roman"/>
      <w:kern w:val="2"/>
      <w:sz w:val="21"/>
      <w:szCs w:val="24"/>
      <w:lang w:val="en-US" w:eastAsia="zh-CN" w:bidi="ar-SA"/>
    </w:rPr>
  </w:style>
  <w:style w:type="character" w:styleId="39">
    <w:name w:val="Placeholder Text"/>
    <w:basedOn w:val="15"/>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7" Type="http://schemas.openxmlformats.org/officeDocument/2006/relationships/fontTable" Target="fontTable.xml"/><Relationship Id="rId36" Type="http://schemas.openxmlformats.org/officeDocument/2006/relationships/customXml" Target="../customXml/item1.xml"/><Relationship Id="rId35" Type="http://schemas.openxmlformats.org/officeDocument/2006/relationships/numbering" Target="numbering.xml"/><Relationship Id="rId34" Type="http://schemas.openxmlformats.org/officeDocument/2006/relationships/image" Target="media/image24.png"/><Relationship Id="rId33" Type="http://schemas.openxmlformats.org/officeDocument/2006/relationships/image" Target="media/image23.png"/><Relationship Id="rId32" Type="http://schemas.openxmlformats.org/officeDocument/2006/relationships/image" Target="media/image22.jpeg"/><Relationship Id="rId31" Type="http://schemas.openxmlformats.org/officeDocument/2006/relationships/image" Target="media/image21.jpeg"/><Relationship Id="rId30" Type="http://schemas.openxmlformats.org/officeDocument/2006/relationships/image" Target="media/image20.jpeg"/><Relationship Id="rId3" Type="http://schemas.openxmlformats.org/officeDocument/2006/relationships/header" Target="header1.xml"/><Relationship Id="rId29" Type="http://schemas.openxmlformats.org/officeDocument/2006/relationships/image" Target="media/image19.png"/><Relationship Id="rId28" Type="http://schemas.openxmlformats.org/officeDocument/2006/relationships/image" Target="media/image18.png"/><Relationship Id="rId27" Type="http://schemas.openxmlformats.org/officeDocument/2006/relationships/image" Target="media/image17.jpeg"/><Relationship Id="rId26" Type="http://schemas.openxmlformats.org/officeDocument/2006/relationships/image" Target="media/image16.wmf"/><Relationship Id="rId25" Type="http://schemas.openxmlformats.org/officeDocument/2006/relationships/oleObject" Target="embeddings/oleObject1.bin"/><Relationship Id="rId24" Type="http://schemas.openxmlformats.org/officeDocument/2006/relationships/image" Target="media/image15.png"/><Relationship Id="rId23" Type="http://schemas.openxmlformats.org/officeDocument/2006/relationships/image" Target="media/image14.jpeg"/><Relationship Id="rId22" Type="http://schemas.openxmlformats.org/officeDocument/2006/relationships/image" Target="media/image13.jpe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jpeg"/><Relationship Id="rId18" Type="http://schemas.openxmlformats.org/officeDocument/2006/relationships/image" Target="media/image9.jpe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jpeg"/><Relationship Id="rId13" Type="http://schemas.openxmlformats.org/officeDocument/2006/relationships/image" Target="media/image4.jpeg"/><Relationship Id="rId12" Type="http://schemas.openxmlformats.org/officeDocument/2006/relationships/image" Target="media/image3.pn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C054D8-DC7B-4230-ACE9-57D20DD8E342}">
  <ds:schemaRefs/>
</ds:datastoreItem>
</file>

<file path=docProps/app.xml><?xml version="1.0" encoding="utf-8"?>
<Properties xmlns="http://schemas.openxmlformats.org/officeDocument/2006/extended-properties" xmlns:vt="http://schemas.openxmlformats.org/officeDocument/2006/docPropsVTypes">
  <Template>Normal.dotm</Template>
  <Pages>88</Pages>
  <Words>12698</Words>
  <Characters>13032</Characters>
  <Paragraphs>812</Paragraphs>
  <TotalTime>280</TotalTime>
  <ScaleCrop>false</ScaleCrop>
  <LinksUpToDate>false</LinksUpToDate>
  <CharactersWithSpaces>13123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2020-04-10T02:39:00Z</dcterms:created>
  <dc:creator>asus</dc:creator>
  <cp:lastModifiedBy>WPS_199711308</cp:lastModifiedBy>
  <cp:lastPrinted>2021-04-09T03:36:00Z</cp:lastPrinted>
  <dcterms:modified xsi:type="dcterms:W3CDTF">2025-02-11T07:54:27Z</dcterms:modified>
  <cp:revision>564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15a5ef8775be4d3d85fb5dc0abca42fa</vt:lpwstr>
  </property>
  <property fmtid="{D5CDD505-2E9C-101B-9397-08002B2CF9AE}" pid="4" name="KSOTemplateDocerSaveRecord">
    <vt:lpwstr>eyJoZGlkIjoiYjNlYjA3Nzg0YTExZWQwMTFlMTM2MjNjNjU0MzM4MGIiLCJ1c2VySWQiOiIxOTk3MTEzMDgifQ==</vt:lpwstr>
  </property>
</Properties>
</file>