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26592F">
      <w:pPr>
        <w:keepNext w:val="0"/>
        <w:keepLines w:val="0"/>
        <w:pageBreakBefore w:val="0"/>
        <w:widowControl/>
        <w:suppressLineNumbers w:val="0"/>
        <w:kinsoku/>
        <w:wordWrap/>
        <w:topLinePunct w:val="0"/>
        <w:bidi w:val="0"/>
        <w:snapToGrid/>
        <w:spacing w:line="420" w:lineRule="auto"/>
        <w:jc w:val="left"/>
        <w:rPr>
          <w:rFonts w:hint="eastAsia" w:ascii="微软雅黑" w:hAnsi="微软雅黑" w:eastAsia="微软雅黑" w:cs="微软雅黑"/>
          <w:b w:val="0"/>
          <w:bCs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4"/>
          <w:szCs w:val="24"/>
          <w:lang w:val="en-US" w:eastAsia="zh-CN"/>
        </w:rPr>
        <w:t>附件2</w:t>
      </w:r>
    </w:p>
    <w:p w14:paraId="0D68CAAC">
      <w:pPr>
        <w:pStyle w:val="5"/>
        <w:keepNext w:val="0"/>
        <w:keepLines w:val="0"/>
        <w:pageBreakBefore w:val="0"/>
        <w:widowControl/>
        <w:kinsoku/>
        <w:wordWrap/>
        <w:topLinePunct w:val="0"/>
        <w:bidi w:val="0"/>
        <w:snapToGrid/>
        <w:spacing w:line="420" w:lineRule="auto"/>
        <w:jc w:val="center"/>
        <w:rPr>
          <w:rFonts w:hint="eastAsia" w:ascii="微软雅黑" w:hAnsi="微软雅黑" w:eastAsia="微软雅黑" w:cs="微软雅黑"/>
          <w:b/>
          <w:bCs w:val="0"/>
          <w:kern w:val="2"/>
          <w:sz w:val="24"/>
          <w:szCs w:val="24"/>
          <w:lang w:val="en-US" w:eastAsia="zh-CN" w:bidi="ar-SA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 w:val="0"/>
          <w:sz w:val="24"/>
          <w:szCs w:val="24"/>
          <w:lang w:val="en-US" w:eastAsia="zh-CN"/>
        </w:rPr>
        <w:t>乳山市土地级别范围表</w:t>
      </w:r>
    </w:p>
    <w:bookmarkEnd w:id="0"/>
    <w:p w14:paraId="5616CA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20" w:lineRule="auto"/>
        <w:jc w:val="center"/>
        <w:textAlignment w:val="auto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  <w:t>（一）商服用地级别范围分布表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7733"/>
      </w:tblGrid>
      <w:tr w14:paraId="7DE38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0" w:hRule="atLeast"/>
        </w:trPr>
        <w:tc>
          <w:tcPr>
            <w:tcW w:w="1270" w:type="dxa"/>
            <w:noWrap w:val="0"/>
            <w:vAlign w:val="center"/>
          </w:tcPr>
          <w:p w14:paraId="5498AB9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</w:rPr>
              <w:t>一级地</w:t>
            </w:r>
          </w:p>
        </w:tc>
        <w:tc>
          <w:tcPr>
            <w:tcW w:w="7733" w:type="dxa"/>
            <w:noWrap w:val="0"/>
            <w:vAlign w:val="center"/>
          </w:tcPr>
          <w:p w14:paraId="7550062F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北环路，沿北环路向东至长庆路，沿长庆路、城镇开发边界向南至胜利东街，沿胜利东街向东、向南至天津路，沿天津路向西至昌平路，沿昌平路向南至营口路，沿营口路向西至深圳路，沿深圳路向南至幸福二路，沿幸福二路向西至世纪大道，沿世纪大道向北至海峰街，沿海峰街向西至青山路，沿青山路、兴农巷等向北至北环路，该线范围内的土地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  <w:t>。</w:t>
            </w:r>
          </w:p>
          <w:p w14:paraId="4B131019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（2）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北至武夷山路，沿武夷山路向东至西湖路，沿西湖路向南至长江路，沿长江路向西至金银大道，沿金银大道向北至武夷山路，该线范围内的土地。</w:t>
            </w:r>
          </w:p>
          <w:p w14:paraId="7EF6980D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（3）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北至银滩商业街，沿银滩商业街向东至太行山东路，沿太行山东路向南至长江路，沿长江路向西至规划路，沿规划路向北至银滩商业街，该线范围内的土地。</w:t>
            </w:r>
          </w:p>
        </w:tc>
      </w:tr>
      <w:tr w14:paraId="19F40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270" w:type="dxa"/>
            <w:noWrap w:val="0"/>
            <w:vAlign w:val="center"/>
          </w:tcPr>
          <w:p w14:paraId="30FEE3D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</w:rPr>
              <w:t>二级地</w:t>
            </w:r>
          </w:p>
        </w:tc>
        <w:tc>
          <w:tcPr>
            <w:tcW w:w="7733" w:type="dxa"/>
            <w:noWrap w:val="0"/>
            <w:vAlign w:val="center"/>
          </w:tcPr>
          <w:p w14:paraId="14943778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1）北至金水街，沿金水街、规划路向东至长庆路，沿长庆路、城镇开发边界向南至青威一级路（G1813），沿青威一级路（G1813）向西至广州路，沿广州路向西至湛江路，沿湛江路、西环路、夏村河等向北、向东至金水街，该线范围内除一级地以外的土地。</w:t>
            </w:r>
          </w:p>
          <w:p w14:paraId="18BEA3BF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2）北至台湾东路，沿台湾东路、农村道路向东至银金大道，沿银金大道、城镇开发边界等向南、向东至徐家河，沿徐家河向南至黄海，沿黄海海岸向西至黄海路（规划路），沿黄海路（规划路）、城镇开发边界、中海路等向北至昆仑山路，沿昆仑山路向西至能源路，沿能源路向北至台湾东路，该线范围内除一级地以外的土地。</w:t>
            </w:r>
          </w:p>
          <w:p w14:paraId="1F804A6B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（3）宫家岛、大乳山滨海旅游度假区范围内的土地。</w:t>
            </w:r>
          </w:p>
          <w:p w14:paraId="7AA2D6F7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（4）徐家镇：城镇开发边界内的土地。</w:t>
            </w:r>
          </w:p>
        </w:tc>
      </w:tr>
      <w:tr w14:paraId="34963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2" w:hRule="atLeast"/>
        </w:trPr>
        <w:tc>
          <w:tcPr>
            <w:tcW w:w="1270" w:type="dxa"/>
            <w:noWrap w:val="0"/>
            <w:vAlign w:val="center"/>
          </w:tcPr>
          <w:p w14:paraId="4BD26E7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三级地</w:t>
            </w:r>
          </w:p>
        </w:tc>
        <w:tc>
          <w:tcPr>
            <w:tcW w:w="7733" w:type="dxa"/>
            <w:noWrap w:val="0"/>
            <w:vAlign w:val="center"/>
          </w:tcPr>
          <w:p w14:paraId="2149973F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（1）城区街道、夏村镇夏村河、金水街以北的城镇开发边界内的全部土地。</w:t>
            </w:r>
          </w:p>
          <w:p w14:paraId="4DFC5069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2）北至夏村河，沿夏村河向东至西环路，沿西环路、湛江路向南至广州路，沿广州路向东至青威一级路（G1813），沿青威一级路（G1813）向南至世纪大道，沿世纪大道向南至莱荣高铁，沿莱荣高铁向东至能源路，沿能源路、锯河向南至台湾路，沿台湾路向东至能源路，沿能源路向南至黄海，沿黄海海岸向西至乳山口港（黄海海岸），沿乳山口港（黄海海岸）、海陆分界线向北至县道041，沿县道041、城镇开发边界向北、向东至创业二路，沿创业二路向北至台湾路，沿台湾路、城镇开发边界等向西、向北至三亚路，沿三亚路、城镇开发边界向北、向东至夏村河，该范围内的土地。</w:t>
            </w:r>
          </w:p>
          <w:p w14:paraId="4AFE07C8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（3）南黄镇：城镇开发边界内的土地。</w:t>
            </w:r>
          </w:p>
        </w:tc>
      </w:tr>
      <w:tr w14:paraId="13FF4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70" w:type="dxa"/>
            <w:noWrap w:val="0"/>
            <w:vAlign w:val="center"/>
          </w:tcPr>
          <w:p w14:paraId="4D8141C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四级地</w:t>
            </w:r>
          </w:p>
        </w:tc>
        <w:tc>
          <w:tcPr>
            <w:tcW w:w="7733" w:type="dxa"/>
            <w:noWrap w:val="0"/>
            <w:vAlign w:val="center"/>
          </w:tcPr>
          <w:p w14:paraId="6E0B24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green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一、二、三级地以外的土地。</w:t>
            </w:r>
          </w:p>
        </w:tc>
      </w:tr>
    </w:tbl>
    <w:p w14:paraId="4DF42AEB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002ACE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20" w:lineRule="auto"/>
        <w:jc w:val="center"/>
        <w:textAlignment w:val="auto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  <w:t>（二）居住用地级别范围分布表</w:t>
      </w:r>
    </w:p>
    <w:tbl>
      <w:tblPr>
        <w:tblStyle w:val="9"/>
        <w:tblW w:w="91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7880"/>
      </w:tblGrid>
      <w:tr w14:paraId="22145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1" w:hRule="exact"/>
        </w:trPr>
        <w:tc>
          <w:tcPr>
            <w:tcW w:w="1270" w:type="dxa"/>
            <w:noWrap w:val="0"/>
            <w:vAlign w:val="center"/>
          </w:tcPr>
          <w:p w14:paraId="7A38FDF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一级地</w:t>
            </w:r>
          </w:p>
        </w:tc>
        <w:tc>
          <w:tcPr>
            <w:tcW w:w="7880" w:type="dxa"/>
            <w:noWrap w:val="0"/>
            <w:vAlign w:val="center"/>
          </w:tcPr>
          <w:p w14:paraId="1265391B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北环路，沿北环路向东至长庆路，沿长庆路、城镇开发边界向南至胜利东街，沿胜利东街向东、向南至天津路，沿天津路向西至昌平路，沿昌平路向南至营口路，沿营口路向西至深圳路，沿深圳路向南至幸福二路，沿幸福二路向西至世纪大道，沿世纪大道向北至海峰街，沿海峰街向西至青山路，沿青山路、兴农巷等向北至北环路，该线范围内的土地。</w:t>
            </w:r>
          </w:p>
          <w:p w14:paraId="00923C2B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（2）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北至武夷山路，沿武夷山路向东至西湖路，沿西湖路向南至长江路，沿长江路向西至金银大道，沿金银大道向北至武夷山路，该线范围内的土地。</w:t>
            </w:r>
          </w:p>
          <w:p w14:paraId="63027E82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（3）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北至银滩商业街，沿银滩商业街向东至太行山东路，沿太行山东路向南至长江路，沿长江路向西至规划路，沿规划路向北至银滩商业街，该线范围内的土地。</w:t>
            </w:r>
          </w:p>
        </w:tc>
      </w:tr>
      <w:tr w14:paraId="46D8C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270" w:type="dxa"/>
            <w:noWrap w:val="0"/>
            <w:vAlign w:val="center"/>
          </w:tcPr>
          <w:p w14:paraId="36060BA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二级地</w:t>
            </w:r>
          </w:p>
        </w:tc>
        <w:tc>
          <w:tcPr>
            <w:tcW w:w="7880" w:type="dxa"/>
            <w:noWrap w:val="0"/>
            <w:vAlign w:val="center"/>
          </w:tcPr>
          <w:p w14:paraId="7CAC01E4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1）北至金水街，沿金水街、规划路向东至长庆路，沿长庆路、城镇开发边界向南至青威一级路（G1813），沿青威一级路（G1813）向西至广州路，沿广州路向西至湛江路，沿湛江路、西环路、夏村河等向北、向东至金水街，该线范围内除一级地以外的土地。</w:t>
            </w:r>
          </w:p>
          <w:p w14:paraId="472E93A4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台湾东路，沿台湾东路、农村道路向东至银金大道，沿银金大道、城镇开发边界等向南、向东至徐家河，沿徐家河向南至黄海，沿黄海海岸向西至黄海路（规划路），沿黄海路（规划路）、城镇开发边界、中海路等向北至昆仑山路，沿昆仑山路向西至能源路，沿能源路向北至台湾东路，该线范围内除一级地以外的土地。</w:t>
            </w:r>
          </w:p>
          <w:p w14:paraId="50827573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（2）宫家岛、大乳山滨海旅游度假区范围内的土地。</w:t>
            </w:r>
          </w:p>
          <w:p w14:paraId="193B3D8F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（3）徐家镇：城镇开发边界内的土地。</w:t>
            </w:r>
          </w:p>
        </w:tc>
      </w:tr>
      <w:tr w14:paraId="72D54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0" w:hRule="atLeast"/>
        </w:trPr>
        <w:tc>
          <w:tcPr>
            <w:tcW w:w="1270" w:type="dxa"/>
            <w:noWrap w:val="0"/>
            <w:vAlign w:val="center"/>
          </w:tcPr>
          <w:p w14:paraId="677CDC0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三级地</w:t>
            </w:r>
          </w:p>
        </w:tc>
        <w:tc>
          <w:tcPr>
            <w:tcW w:w="7880" w:type="dxa"/>
            <w:noWrap w:val="0"/>
            <w:vAlign w:val="center"/>
          </w:tcPr>
          <w:p w14:paraId="77C6B708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（1）城区街道、夏村镇夏村河、金水街以北的城镇开发边界内的全部土地。</w:t>
            </w:r>
          </w:p>
          <w:p w14:paraId="36FA30A0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2）北至夏村河，沿夏村河向东至西环路，沿西环路、湛江路向南至广州路，沿广州路向东至青威一级路（G1813），沿青威一级路（G1813）向南至世纪大道，沿世纪大道向南至莱荣高铁，沿莱荣高铁向东至能源路，沿能源路、锯河向南至台湾路，沿台湾路向东至能源路，沿能源路向南至黄海，沿黄海海岸向西至乳山口港（黄海海岸），沿乳山口港（黄海海岸）、海陆分界线向北至县道041，沿县道041、城镇开发边界向北、向东至创业二路，沿创业二路向北至台湾路，沿台湾路、城镇开发边界等向西、向北至三亚路，沿三亚路、城镇开发边界向北、向东至夏村河，该范围内的土地。</w:t>
            </w:r>
          </w:p>
          <w:p w14:paraId="11633F97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（3）南黄镇：城镇开发边界内的土地。</w:t>
            </w:r>
          </w:p>
        </w:tc>
      </w:tr>
      <w:tr w14:paraId="6E4A5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70" w:type="dxa"/>
            <w:noWrap w:val="0"/>
            <w:vAlign w:val="center"/>
          </w:tcPr>
          <w:p w14:paraId="74F9E78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四级地</w:t>
            </w:r>
          </w:p>
        </w:tc>
        <w:tc>
          <w:tcPr>
            <w:tcW w:w="7880" w:type="dxa"/>
            <w:noWrap w:val="0"/>
            <w:vAlign w:val="center"/>
          </w:tcPr>
          <w:p w14:paraId="7C343B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green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一、二、三级地以外的土地。</w:t>
            </w:r>
          </w:p>
        </w:tc>
      </w:tr>
    </w:tbl>
    <w:p w14:paraId="41EDE6D6">
      <w:pPr>
        <w:keepNext w:val="0"/>
        <w:keepLines w:val="0"/>
        <w:pageBreakBefore w:val="0"/>
        <w:kinsoku/>
        <w:topLinePunct w:val="0"/>
        <w:bidi w:val="0"/>
        <w:spacing w:line="420" w:lineRule="auto"/>
        <w:jc w:val="center"/>
        <w:rPr>
          <w:rFonts w:hint="eastAsia" w:ascii="微软雅黑" w:hAnsi="微软雅黑" w:eastAsia="微软雅黑" w:cs="微软雅黑"/>
          <w:color w:val="auto"/>
          <w:sz w:val="24"/>
          <w:szCs w:val="24"/>
          <w:highlight w:val="none"/>
        </w:rPr>
      </w:pPr>
    </w:p>
    <w:p w14:paraId="27FB5903">
      <w:pPr>
        <w:keepNext w:val="0"/>
        <w:keepLines w:val="0"/>
        <w:pageBreakBefore w:val="0"/>
        <w:kinsoku/>
        <w:topLinePunct w:val="0"/>
        <w:bidi w:val="0"/>
        <w:spacing w:line="420" w:lineRule="auto"/>
        <w:jc w:val="center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258C31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20" w:lineRule="auto"/>
        <w:jc w:val="center"/>
        <w:textAlignment w:val="auto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  <w:t>（三）工矿用地级别范围分布表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7733"/>
      </w:tblGrid>
      <w:tr w14:paraId="0BD1C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8" w:hRule="atLeast"/>
        </w:trPr>
        <w:tc>
          <w:tcPr>
            <w:tcW w:w="1270" w:type="dxa"/>
            <w:noWrap w:val="0"/>
            <w:vAlign w:val="center"/>
          </w:tcPr>
          <w:p w14:paraId="1E55809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一级地</w:t>
            </w:r>
          </w:p>
        </w:tc>
        <w:tc>
          <w:tcPr>
            <w:tcW w:w="7733" w:type="dxa"/>
            <w:noWrap w:val="0"/>
            <w:vAlign w:val="center"/>
          </w:tcPr>
          <w:p w14:paraId="4EB9C87D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北至光明街，沿光明街向东至曹城路，沿曹城路、豪门路等向南至城南河，沿城南河向西至世纪大道，沿世纪大道向南至海峰街，沿海峰街向西至青山路，沿青山路、兴农巷等向北至光明街，该线范围内的土地。</w:t>
            </w:r>
          </w:p>
        </w:tc>
      </w:tr>
      <w:tr w14:paraId="2BB53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7" w:hRule="atLeast"/>
        </w:trPr>
        <w:tc>
          <w:tcPr>
            <w:tcW w:w="1270" w:type="dxa"/>
            <w:noWrap w:val="0"/>
            <w:vAlign w:val="center"/>
          </w:tcPr>
          <w:p w14:paraId="48AF226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二级地</w:t>
            </w:r>
          </w:p>
        </w:tc>
        <w:tc>
          <w:tcPr>
            <w:tcW w:w="7733" w:type="dxa"/>
            <w:noWrap w:val="0"/>
            <w:vAlign w:val="center"/>
          </w:tcPr>
          <w:p w14:paraId="45571AB3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北至金水街，沿金水街、规划路向东至浦东路，沿浦东路向南至开发街，沿开发街向西至西环路，沿西环路、北环路、夏村河等向北至金水街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</w:rPr>
              <w:t>，该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线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</w:rPr>
              <w:t>范围内除一级地以外的土地。</w:t>
            </w:r>
          </w:p>
          <w:p w14:paraId="3ADFADB3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（2）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海城街，沿海城街向东至世纪大道，沿世纪大道、规划路、海陆分界线向南、向西至乳山口港（黄海海岸），沿乳山口港（黄海海岸）、海陆分界线向北至县道041，沿县道041、沿城镇开发边界向北、向东至创业二路，沿创业二路向北至台湾路，沿台湾路、城镇开发边界向西、向北至惠民街，沿惠民街向东至山海大道，沿山海大道向北至海城街，该线范围内的土地。</w:t>
            </w:r>
          </w:p>
          <w:p w14:paraId="3C0DAC29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3）北至台湾东路，沿台湾东路、农村道路向东至银金大道，沿银金大道、城镇开发边界等向南、向东至徐家河，沿徐家河向南至黄海，沿黄海海岸向西至黄海路（规划路），沿黄海路（规划路）、城镇开发边界、中海路等向北至昆仑山路，沿昆仑山路向西至能源路，沿能源路向北至台湾东路，该线范围内的土地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</w:rPr>
              <w:t>。</w:t>
            </w:r>
          </w:p>
          <w:p w14:paraId="30B10E82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（4）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  <w:t>宫家岛、大乳山滨海旅游度假区范围内的土地。</w:t>
            </w:r>
          </w:p>
        </w:tc>
      </w:tr>
      <w:tr w14:paraId="12C95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0" w:hRule="atLeast"/>
        </w:trPr>
        <w:tc>
          <w:tcPr>
            <w:tcW w:w="1270" w:type="dxa"/>
            <w:noWrap w:val="0"/>
            <w:vAlign w:val="center"/>
          </w:tcPr>
          <w:p w14:paraId="111FDCE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三级地</w:t>
            </w:r>
          </w:p>
        </w:tc>
        <w:tc>
          <w:tcPr>
            <w:tcW w:w="7733" w:type="dxa"/>
            <w:noWrap w:val="0"/>
            <w:vAlign w:val="center"/>
          </w:tcPr>
          <w:p w14:paraId="6AFE9A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黄依台村北，沿黄依台村北向东至青山北路，沿青山北路、城镇开发边界等向南、向东至长庆路，沿长庆路、城镇开发边界向南、向东至青威一级路（G1813），沿青威一级路（G1813）向西至世纪大道，沿世纪大道向南至莱荣高铁，沿莱荣高铁向东至能源路，沿能源路、锯河向南至台湾路，沿台湾路向东至能源路，沿能源路向南至黄海，沿黄海海岸、海陆分界线向西、向北至世纪大道，沿世纪大道向北至海城街，沿海城街向西至山海大道，沿山海大道向南至惠民街，沿惠民街向西至城镇开发边界，沿城镇开发边界向北至三亚路，沿三亚路、城镇开发边界、夏村河向北至黄依台村北，该线范围内除一级地、二级地以外的土地。</w:t>
            </w:r>
          </w:p>
          <w:p w14:paraId="3A0CBA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（2）徐家镇、下初镇、诸往镇：城镇开发边界内的土地。</w:t>
            </w:r>
          </w:p>
        </w:tc>
      </w:tr>
      <w:tr w14:paraId="440B6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atLeast"/>
        </w:trPr>
        <w:tc>
          <w:tcPr>
            <w:tcW w:w="1270" w:type="dxa"/>
            <w:noWrap w:val="0"/>
            <w:vAlign w:val="center"/>
          </w:tcPr>
          <w:p w14:paraId="1EAF6FD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四级地</w:t>
            </w:r>
          </w:p>
        </w:tc>
        <w:tc>
          <w:tcPr>
            <w:tcW w:w="7733" w:type="dxa"/>
            <w:noWrap w:val="0"/>
            <w:vAlign w:val="center"/>
          </w:tcPr>
          <w:p w14:paraId="6A6C0AA3">
            <w:pPr>
              <w:pStyle w:val="2"/>
              <w:keepNext w:val="0"/>
              <w:keepLines w:val="0"/>
              <w:pageBreakBefore w:val="0"/>
              <w:kinsoku/>
              <w:topLinePunct w:val="0"/>
              <w:bidi w:val="0"/>
              <w:spacing w:line="420" w:lineRule="auto"/>
              <w:ind w:left="0" w:leftChars="0"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一、二、三级地以外的土地。</w:t>
            </w:r>
          </w:p>
        </w:tc>
      </w:tr>
    </w:tbl>
    <w:p w14:paraId="37E6F95D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5787E8C5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4923DFEF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0A593D24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483E0881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4D72B2BD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31F8D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20" w:lineRule="auto"/>
        <w:jc w:val="center"/>
        <w:textAlignment w:val="auto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  <w:t>（四）公共管理与公共服务用地级别范围分布表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7733"/>
      </w:tblGrid>
      <w:tr w14:paraId="5605B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9" w:hRule="atLeast"/>
        </w:trPr>
        <w:tc>
          <w:tcPr>
            <w:tcW w:w="1270" w:type="dxa"/>
            <w:noWrap w:val="0"/>
            <w:vAlign w:val="center"/>
          </w:tcPr>
          <w:p w14:paraId="252922F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一级地</w:t>
            </w:r>
          </w:p>
        </w:tc>
        <w:tc>
          <w:tcPr>
            <w:tcW w:w="7733" w:type="dxa"/>
            <w:noWrap w:val="0"/>
            <w:vAlign w:val="center"/>
          </w:tcPr>
          <w:p w14:paraId="2F678648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北环路，沿北环路向东至长庆路，沿长庆路、城镇开发边界向南至胜利东街，沿胜利东街向东、向南至天津路，沿天津路向西至昌平路，沿昌平路向南至营口路，沿营口路向西至深圳路，沿深圳路向南至幸福二路，沿幸福二路向西至世纪大道，沿世纪大道向北至海峰街，沿海峰街向西至青山路，沿青山路、兴农巷等向北至北环路，该线范围内的土地。</w:t>
            </w:r>
          </w:p>
          <w:p w14:paraId="14836C40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（2）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北至武夷山路，沿武夷山路向东至西湖路，沿西湖路向南至长江路，沿长江路向西至金银大道，沿金银大道向北至武夷山路，该线范围内的土地。</w:t>
            </w:r>
          </w:p>
        </w:tc>
      </w:tr>
      <w:tr w14:paraId="54014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1270" w:type="dxa"/>
            <w:noWrap w:val="0"/>
            <w:vAlign w:val="center"/>
          </w:tcPr>
          <w:p w14:paraId="5CA2698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二级地</w:t>
            </w:r>
          </w:p>
        </w:tc>
        <w:tc>
          <w:tcPr>
            <w:tcW w:w="7733" w:type="dxa"/>
            <w:noWrap w:val="0"/>
            <w:vAlign w:val="center"/>
          </w:tcPr>
          <w:p w14:paraId="6895F8FE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1）北至金水街，沿金水街、规划路向东至长庆路，沿长庆路、城镇开发边界向南至青威一级路（G1813），沿青威一级路（G1813）向西至广州路，沿广州路向西至湛江路，沿湛江路、西环路、夏村河等向北、向东至金水街，该线范围内除一级地以外的土地。</w:t>
            </w:r>
          </w:p>
          <w:p w14:paraId="11426FF9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2）北至台湾东路，沿台湾东路、农村道路向东至银金大道，沿银金大道、城镇开发边界等向南、向东至徐家河，沿徐家河向南至黄海，沿黄海海岸向西至黄海路（规划路），沿黄海路（规划路）、城镇开发边界、中海路等向北至昆仑山路，沿昆仑山路向西至能源路，沿能源路向北至台湾东路，该线范围内除一级地以外的土地。</w:t>
            </w:r>
          </w:p>
          <w:p w14:paraId="1539564A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（3）宫家岛、大乳山滨海旅游度假区范围内的土地。</w:t>
            </w:r>
          </w:p>
          <w:p w14:paraId="64703F91">
            <w:pPr>
              <w:pStyle w:val="1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（4）徐家镇：城镇开发边界内的土地。</w:t>
            </w:r>
          </w:p>
        </w:tc>
      </w:tr>
      <w:tr w14:paraId="00F30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3" w:hRule="atLeast"/>
        </w:trPr>
        <w:tc>
          <w:tcPr>
            <w:tcW w:w="1270" w:type="dxa"/>
            <w:noWrap w:val="0"/>
            <w:vAlign w:val="center"/>
          </w:tcPr>
          <w:p w14:paraId="4D30665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三级地</w:t>
            </w:r>
          </w:p>
        </w:tc>
        <w:tc>
          <w:tcPr>
            <w:tcW w:w="7733" w:type="dxa"/>
            <w:noWrap w:val="0"/>
            <w:vAlign w:val="center"/>
          </w:tcPr>
          <w:p w14:paraId="3E11A0D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（1）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城区街道、夏村镇夏村河、金水街以北的城镇开发边界内的全部土地。</w:t>
            </w:r>
          </w:p>
          <w:p w14:paraId="7597C9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（2）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  <w:t>北至夏村河，沿夏村河向东至西环路，沿西环路、湛江路向南至广州路，沿广州路向东至青威一级路（G1813），沿青威一级路（G1813）向南至世纪大道，沿世纪大道向南至莱荣高铁，沿莱荣高铁向东至能源路，沿能源路、锯河向南至台湾路，沿台湾路向东至能源路，沿能源路向南至黄海，沿黄海海岸向西至乳山口港（黄海海岸），沿乳山口港（黄海海岸）、海陆分界线向北至县道041，沿县道041、城镇开发边界向北、向东至创业二路，沿创业二路向北至台湾路，沿台湾路、城镇开发边界等向西、向北至三亚路，沿三亚路、城镇开发边界向北、向东至夏村河，该范围内的土地。</w:t>
            </w:r>
          </w:p>
          <w:p w14:paraId="522C32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lang w:val="en-US" w:eastAsia="zh-CN" w:bidi="ar-SA"/>
              </w:rPr>
              <w:t>（3）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南黄镇：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lang w:val="en-US" w:eastAsia="zh-CN"/>
              </w:rPr>
              <w:t>城镇开发边界内的</w:t>
            </w: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土地。</w:t>
            </w:r>
          </w:p>
        </w:tc>
      </w:tr>
      <w:tr w14:paraId="6CBB0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270" w:type="dxa"/>
            <w:noWrap w:val="0"/>
            <w:vAlign w:val="center"/>
          </w:tcPr>
          <w:p w14:paraId="4FAFA9C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四级地</w:t>
            </w:r>
          </w:p>
        </w:tc>
        <w:tc>
          <w:tcPr>
            <w:tcW w:w="7733" w:type="dxa"/>
            <w:noWrap w:val="0"/>
            <w:vAlign w:val="center"/>
          </w:tcPr>
          <w:p w14:paraId="2BDF26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auto"/>
              <w:ind w:leftChars="0" w:right="0" w:rightChars="0"/>
              <w:jc w:val="both"/>
              <w:textAlignment w:val="auto"/>
              <w:outlineLvl w:val="9"/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green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一、二、三级地以外的土地。</w:t>
            </w:r>
          </w:p>
        </w:tc>
      </w:tr>
    </w:tbl>
    <w:p w14:paraId="603D6EE1">
      <w:pPr>
        <w:keepNext w:val="0"/>
        <w:keepLines w:val="0"/>
        <w:pageBreakBefore w:val="0"/>
        <w:widowControl/>
        <w:suppressLineNumbers w:val="0"/>
        <w:kinsoku/>
        <w:topLinePunct w:val="0"/>
        <w:bidi w:val="0"/>
        <w:spacing w:line="420" w:lineRule="auto"/>
        <w:jc w:val="left"/>
      </w:pPr>
    </w:p>
    <w:sectPr>
      <w:footerReference r:id="rId3" w:type="default"/>
      <w:pgSz w:w="11906" w:h="16838"/>
      <w:pgMar w:top="2098" w:right="1531" w:bottom="1984" w:left="1531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413DB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5861892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5861892"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8C2768"/>
    <w:rsid w:val="5B8C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Indent"/>
    <w:basedOn w:val="1"/>
    <w:next w:val="2"/>
    <w:qFormat/>
    <w:uiPriority w:val="0"/>
    <w:pPr>
      <w:spacing w:after="120"/>
      <w:ind w:left="420" w:leftChars="200"/>
    </w:pPr>
    <w:rPr>
      <w:rFonts w:hint="eastAsia"/>
    </w:rPr>
  </w:style>
  <w:style w:type="paragraph" w:styleId="5">
    <w:name w:val="Plain Text"/>
    <w:basedOn w:val="1"/>
    <w:qFormat/>
    <w:uiPriority w:val="0"/>
    <w:pPr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宋体" w:hAnsi="Courier New" w:eastAsia="宋体"/>
      <w:sz w:val="21"/>
      <w:lang w:val="en-GB" w:eastAsia="zh-CN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8">
    <w:name w:val="Body Text First Indent 2"/>
    <w:basedOn w:val="4"/>
    <w:next w:val="1"/>
    <w:qFormat/>
    <w:uiPriority w:val="0"/>
    <w:pPr>
      <w:ind w:firstLine="420" w:firstLineChars="200"/>
    </w:pPr>
  </w:style>
  <w:style w:type="character" w:customStyle="1" w:styleId="11">
    <w:name w:val="font21"/>
    <w:basedOn w:val="10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paragraph" w:customStyle="1" w:styleId="12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customStyle="1" w:styleId="13">
    <w:name w:val="纯文本1"/>
    <w:basedOn w:val="1"/>
    <w:qFormat/>
    <w:uiPriority w:val="0"/>
    <w:rPr>
      <w:rFonts w:ascii="宋体" w:hAnsi="Courier New"/>
      <w:szCs w:val="20"/>
    </w:rPr>
  </w:style>
  <w:style w:type="character" w:customStyle="1" w:styleId="14">
    <w:name w:val="font4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2025-01-11T00:51:00Z</dcterms:created>
  <dc:creator>Z</dc:creator>
  <cp:lastModifiedBy>Z</cp:lastModifiedBy>
  <dcterms:modified xsi:type="dcterms:W3CDTF">2025-01-11T00:53:57Z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0C8AC713D50F4CE4BCD5738749078CA2_11</vt:lpwstr>
  </property>
  <property fmtid="{D5CDD505-2E9C-101B-9397-08002B2CF9AE}" pid="4" name="KSOTemplateDocerSaveRecord">
    <vt:lpwstr>eyJoZGlkIjoiOTkyM2RjOTVjMjVmNzhlN2RiZTk0ZGM5ZGNjZWYzOGEiLCJ1c2VySWQiOiIzNDQzOTMzNDMifQ==</vt:lpwstr>
  </property>
</Properties>
</file>