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26592F">
      <w:pPr>
        <w:keepNext w:val="0"/>
        <w:keepLines w:val="0"/>
        <w:pageBreakBefore w:val="0"/>
        <w:widowControl/>
        <w:suppressLineNumbers w:val="0"/>
        <w:kinsoku/>
        <w:wordWrap/>
        <w:topLinePunct w:val="0"/>
        <w:bidi w:val="0"/>
        <w:snapToGrid/>
        <w:spacing w:line="420" w:lineRule="auto"/>
        <w:jc w:val="left"/>
        <w:rPr>
          <w:rFonts w:hint="eastAsia" w:ascii="微软雅黑" w:hAnsi="微软雅黑" w:eastAsia="微软雅黑" w:cs="微软雅黑"/>
          <w:b w:val="0"/>
          <w:bCs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/>
          <w:sz w:val="24"/>
          <w:szCs w:val="24"/>
          <w:lang w:val="en-US" w:eastAsia="zh-CN"/>
        </w:rPr>
        <w:t>附件2</w:t>
      </w:r>
    </w:p>
    <w:p w14:paraId="0D68CAAC">
      <w:pPr>
        <w:pStyle w:val="5"/>
        <w:keepNext w:val="0"/>
        <w:keepLines w:val="0"/>
        <w:pageBreakBefore w:val="0"/>
        <w:widowControl/>
        <w:kinsoku/>
        <w:wordWrap/>
        <w:topLinePunct w:val="0"/>
        <w:bidi w:val="0"/>
        <w:snapToGrid/>
        <w:spacing w:line="420" w:lineRule="auto"/>
        <w:jc w:val="center"/>
        <w:rPr>
          <w:rFonts w:hint="eastAsia" w:ascii="微软雅黑" w:hAnsi="微软雅黑" w:eastAsia="微软雅黑" w:cs="微软雅黑"/>
          <w:b/>
          <w:bCs w:val="0"/>
          <w:kern w:val="2"/>
          <w:sz w:val="24"/>
          <w:szCs w:val="24"/>
          <w:lang w:val="en-US" w:eastAsia="zh-CN" w:bidi="ar-SA"/>
        </w:rPr>
      </w:pPr>
      <w:bookmarkStart w:id="0" w:name="_GoBack"/>
      <w:r>
        <w:rPr>
          <w:rFonts w:hint="eastAsia" w:ascii="微软雅黑" w:hAnsi="微软雅黑" w:eastAsia="微软雅黑" w:cs="微软雅黑"/>
          <w:b/>
          <w:bCs w:val="0"/>
          <w:sz w:val="24"/>
          <w:szCs w:val="24"/>
          <w:lang w:val="en-US" w:eastAsia="zh-CN"/>
        </w:rPr>
        <w:t>乳山市土地级别范围表</w:t>
      </w:r>
    </w:p>
    <w:bookmarkEnd w:id="0"/>
    <w:p w14:paraId="5616CA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20" w:lineRule="auto"/>
        <w:jc w:val="center"/>
        <w:textAlignment w:val="auto"/>
        <w:rPr>
          <w:rFonts w:hint="eastAsia" w:ascii="微软雅黑" w:hAnsi="微软雅黑" w:eastAsia="微软雅黑" w:cs="微软雅黑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/>
          <w:kern w:val="2"/>
          <w:sz w:val="24"/>
          <w:szCs w:val="24"/>
          <w:lang w:val="en-US" w:eastAsia="zh-CN" w:bidi="ar-SA"/>
        </w:rPr>
        <w:t>（一）商服用地级别范围分布表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7733"/>
      </w:tblGrid>
      <w:tr w14:paraId="7DE38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0" w:hRule="atLeast"/>
        </w:trPr>
        <w:tc>
          <w:tcPr>
            <w:tcW w:w="1270" w:type="dxa"/>
            <w:noWrap w:val="0"/>
            <w:vAlign w:val="center"/>
          </w:tcPr>
          <w:p w14:paraId="5498AB9C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highlight w:val="none"/>
                <w:u w:val="none"/>
              </w:rPr>
              <w:t>一级地</w:t>
            </w:r>
          </w:p>
        </w:tc>
        <w:tc>
          <w:tcPr>
            <w:tcW w:w="7733" w:type="dxa"/>
            <w:noWrap w:val="0"/>
            <w:vAlign w:val="center"/>
          </w:tcPr>
          <w:p w14:paraId="7550062F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right="0" w:right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  <w:t>（1）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u w:val="none"/>
                <w:lang w:val="en-US" w:eastAsia="zh-CN"/>
              </w:rPr>
              <w:t>北至北环路，沿北环路向东至长庆路，沿长庆路、城镇开发边界向南至胜利东街，沿胜利东街向东、向南至天津路，沿天津路向西至昌平路，沿昌平路向南至营口路，沿营口路向西至深圳路，沿深圳路向南至幸福二路，沿幸福二路向西至世纪大道，沿世纪大道向北至海峰街，沿海峰街向西至青山路，沿青山路、兴农巷等向北至北环路，该线范围内的土地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u w:val="none"/>
                <w:lang w:eastAsia="zh-CN"/>
              </w:rPr>
              <w:t>。</w:t>
            </w:r>
          </w:p>
          <w:p w14:paraId="4B131019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right="0" w:right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  <w:t>（2）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u w:val="none"/>
                <w:lang w:val="en-US" w:eastAsia="zh-CN"/>
              </w:rPr>
              <w:t>北至武夷山路，沿武夷山路向东至西湖路，沿西湖路向南至长江路，沿长江路向西至金银大道，沿金银大道向北至武夷山路，该线范围内的土地。</w:t>
            </w:r>
          </w:p>
          <w:p w14:paraId="7EF6980D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right="0" w:right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  <w:t>（3）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u w:val="none"/>
                <w:lang w:val="en-US" w:eastAsia="zh-CN"/>
              </w:rPr>
              <w:t>北至银滩商业街，沿银滩商业街向东至太行山东路，沿太行山东路向南至长江路，沿长江路向西至规划路，沿规划路向北至银滩商业街，该线范围内的土地。</w:t>
            </w:r>
          </w:p>
        </w:tc>
      </w:tr>
      <w:tr w14:paraId="19F40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0" w:hRule="atLeast"/>
        </w:trPr>
        <w:tc>
          <w:tcPr>
            <w:tcW w:w="1270" w:type="dxa"/>
            <w:noWrap w:val="0"/>
            <w:vAlign w:val="center"/>
          </w:tcPr>
          <w:p w14:paraId="30FEE3D1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highlight w:val="none"/>
                <w:u w:val="none"/>
              </w:rPr>
              <w:t>二级地</w:t>
            </w:r>
          </w:p>
        </w:tc>
        <w:tc>
          <w:tcPr>
            <w:tcW w:w="7733" w:type="dxa"/>
            <w:noWrap w:val="0"/>
            <w:vAlign w:val="center"/>
          </w:tcPr>
          <w:p w14:paraId="14943778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right="0" w:right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u w:val="none"/>
                <w:lang w:val="en-US" w:eastAsia="zh-CN"/>
              </w:rPr>
              <w:t>（1）北至金水街，沿金水街、规划路向东至长庆路，沿长庆路、城镇开发边界向南至青威一级路（G1813），沿青威一级路（G1813）向西至广州路，沿广州路向西至湛江路，沿湛江路、西环路、夏村河等向北、向东至金水街，该线范围内除一级地以外的土地。</w:t>
            </w:r>
          </w:p>
          <w:p w14:paraId="18BEA3BF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right="0" w:right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u w:val="none"/>
                <w:lang w:val="en-US" w:eastAsia="zh-CN"/>
              </w:rPr>
              <w:t>（2）北至台湾东路，沿台湾东路、农村道路向东至银金大道，沿银金大道、城镇开发边界等向南、向东至徐家河，沿徐家河向南至黄海，沿黄海海岸向西至黄海路（规划路），沿黄海路（规划路）、城镇开发边界、中海路等向北至昆仑山路，沿昆仑山路向西至能源路，沿能源路向北至台湾东路，该线范围内除一级地以外的土地。</w:t>
            </w:r>
          </w:p>
          <w:p w14:paraId="1F804A6B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right="0" w:right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u w:val="none"/>
                <w:lang w:val="en-US" w:eastAsia="zh-CN"/>
              </w:rPr>
              <w:t>（3）宫家岛、大乳山滨海旅游度假区范围内的土地。</w:t>
            </w:r>
          </w:p>
          <w:p w14:paraId="7AA2D6F7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right="0" w:right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u w:val="none"/>
                <w:lang w:val="en-US" w:eastAsia="zh-CN"/>
              </w:rPr>
              <w:t>（4）徐家镇：城镇开发边界内的土地。</w:t>
            </w:r>
          </w:p>
        </w:tc>
      </w:tr>
      <w:tr w14:paraId="34963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2" w:hRule="atLeast"/>
        </w:trPr>
        <w:tc>
          <w:tcPr>
            <w:tcW w:w="1270" w:type="dxa"/>
            <w:noWrap w:val="0"/>
            <w:vAlign w:val="center"/>
          </w:tcPr>
          <w:p w14:paraId="4BD26E7C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  <w:t>三级地</w:t>
            </w:r>
          </w:p>
        </w:tc>
        <w:tc>
          <w:tcPr>
            <w:tcW w:w="7733" w:type="dxa"/>
            <w:noWrap w:val="0"/>
            <w:vAlign w:val="center"/>
          </w:tcPr>
          <w:p w14:paraId="2149973F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right="0" w:right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u w:val="none"/>
                <w:lang w:val="en-US" w:eastAsia="zh-CN"/>
              </w:rPr>
              <w:t>（1）城区街道、夏村镇夏村河、金水街以北的城镇开发边界内的全部土地。</w:t>
            </w:r>
          </w:p>
          <w:p w14:paraId="4DFC5069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right="0" w:right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u w:val="none"/>
                <w:lang w:val="en-US" w:eastAsia="zh-CN"/>
              </w:rPr>
              <w:t>（2）北至夏村河，沿夏村河向东至西环路，沿西环路、湛江路向南至广州路，沿广州路向东至青威一级路（G1813），沿青威一级路（G1813）向南至世纪大道，沿世纪大道向南至莱荣高铁，沿莱荣高铁向东至能源路，沿能源路、锯河向南至台湾路，沿台湾路向东至能源路，沿能源路向南至黄海，沿黄海海岸向西至乳山口港（黄海海岸），沿乳山口港（黄海海岸）、海陆分界线向北至县道041，沿县道041、城镇开发边界向北、向东至创业二路，沿创业二路向北至台湾路，沿台湾路、城镇开发边界等向西、向北至三亚路，沿三亚路、城镇开发边界向北、向东至夏村河，该范围内的土地。</w:t>
            </w:r>
          </w:p>
          <w:p w14:paraId="4AFE07C8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right="0" w:right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4"/>
                <w:szCs w:val="24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u w:val="none"/>
                <w:lang w:val="en-US" w:eastAsia="zh-CN"/>
              </w:rPr>
              <w:t>（3）南黄镇：城镇开发边界内的土地。</w:t>
            </w:r>
          </w:p>
        </w:tc>
      </w:tr>
      <w:tr w14:paraId="13FF4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270" w:type="dxa"/>
            <w:noWrap w:val="0"/>
            <w:vAlign w:val="center"/>
          </w:tcPr>
          <w:p w14:paraId="4D8141CD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  <w:t>四级地</w:t>
            </w:r>
          </w:p>
        </w:tc>
        <w:tc>
          <w:tcPr>
            <w:tcW w:w="7733" w:type="dxa"/>
            <w:noWrap w:val="0"/>
            <w:vAlign w:val="center"/>
          </w:tcPr>
          <w:p w14:paraId="6E0B245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leftChars="0" w:right="0" w:right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highlight w:val="green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一、二、三级地以外的土地。</w:t>
            </w:r>
          </w:p>
        </w:tc>
      </w:tr>
    </w:tbl>
    <w:p w14:paraId="4DF42AEB">
      <w:pPr>
        <w:keepNext w:val="0"/>
        <w:keepLines w:val="0"/>
        <w:pageBreakBefore w:val="0"/>
        <w:kinsoku/>
        <w:topLinePunct w:val="0"/>
        <w:bidi w:val="0"/>
        <w:spacing w:line="420" w:lineRule="auto"/>
        <w:jc w:val="both"/>
        <w:rPr>
          <w:rFonts w:hint="eastAsia" w:ascii="微软雅黑" w:hAnsi="微软雅黑" w:eastAsia="微软雅黑" w:cs="微软雅黑"/>
          <w:b w:val="0"/>
          <w:bCs/>
          <w:kern w:val="2"/>
          <w:sz w:val="24"/>
          <w:szCs w:val="24"/>
          <w:lang w:val="en-US" w:eastAsia="zh-CN" w:bidi="ar-SA"/>
        </w:rPr>
      </w:pPr>
    </w:p>
    <w:p w14:paraId="002AC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20" w:lineRule="auto"/>
        <w:jc w:val="center"/>
        <w:textAlignment w:val="auto"/>
        <w:rPr>
          <w:rFonts w:hint="eastAsia" w:ascii="微软雅黑" w:hAnsi="微软雅黑" w:eastAsia="微软雅黑" w:cs="微软雅黑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/>
          <w:kern w:val="2"/>
          <w:sz w:val="24"/>
          <w:szCs w:val="24"/>
          <w:lang w:val="en-US" w:eastAsia="zh-CN" w:bidi="ar-SA"/>
        </w:rPr>
        <w:t>（二）居住用地级别范围分布表</w:t>
      </w:r>
    </w:p>
    <w:tbl>
      <w:tblPr>
        <w:tblStyle w:val="9"/>
        <w:tblW w:w="91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7880"/>
      </w:tblGrid>
      <w:tr w14:paraId="22145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1" w:hRule="exact"/>
        </w:trPr>
        <w:tc>
          <w:tcPr>
            <w:tcW w:w="1270" w:type="dxa"/>
            <w:noWrap w:val="0"/>
            <w:vAlign w:val="center"/>
          </w:tcPr>
          <w:p w14:paraId="7A38FDFE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  <w:t>一级地</w:t>
            </w:r>
          </w:p>
        </w:tc>
        <w:tc>
          <w:tcPr>
            <w:tcW w:w="7880" w:type="dxa"/>
            <w:noWrap w:val="0"/>
            <w:vAlign w:val="center"/>
          </w:tcPr>
          <w:p w14:paraId="1265391B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right="0" w:right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  <w:t>（1）</w:t>
            </w: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北至北环路，沿北环路向东至长庆路，沿长庆路、城镇开发边界向南至胜利东街，沿胜利东街向东、向南至天津路，沿天津路向西至昌平路，沿昌平路向南至营口路，沿营口路向西至深圳路，沿深圳路向南至幸福二路，沿幸福二路向西至世纪大道，沿世纪大道向北至海峰街，沿海峰街向西至青山路，沿青山路、兴农巷等向北至北环路，该线范围内的土地。</w:t>
            </w:r>
          </w:p>
          <w:p w14:paraId="00923C2B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right="0" w:right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  <w:t>（2）</w:t>
            </w: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北至武夷山路，沿武夷山路向东至西湖路，沿西湖路向南至长江路，沿长江路向西至金银大道，沿金银大道向北至武夷山路，该线范围内的土地。</w:t>
            </w:r>
          </w:p>
          <w:p w14:paraId="63027E82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right="0" w:right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  <w:t>（3）</w:t>
            </w: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北至银滩商业街，沿银滩商业街向东至太行山东路，沿太行山东路向南至长江路，沿长江路向西至规划路，沿规划路向北至银滩商业街，该线范围内的土地。</w:t>
            </w:r>
          </w:p>
        </w:tc>
      </w:tr>
      <w:tr w14:paraId="46D8C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</w:trPr>
        <w:tc>
          <w:tcPr>
            <w:tcW w:w="1270" w:type="dxa"/>
            <w:noWrap w:val="0"/>
            <w:vAlign w:val="center"/>
          </w:tcPr>
          <w:p w14:paraId="36060BA0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  <w:t>二级地</w:t>
            </w:r>
          </w:p>
        </w:tc>
        <w:tc>
          <w:tcPr>
            <w:tcW w:w="7880" w:type="dxa"/>
            <w:noWrap w:val="0"/>
            <w:vAlign w:val="center"/>
          </w:tcPr>
          <w:p w14:paraId="7CAC01E4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right="0" w:right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（1）北至金水街，沿金水街、规划路向东至长庆路，沿长庆路、城镇开发边界向南至青威一级路（G1813），沿青威一级路（G1813）向西至广州路，沿广州路向西至湛江路，沿湛江路、西环路、夏村河等向北、向东至金水街，该线范围内除一级地以外的土地。</w:t>
            </w:r>
          </w:p>
          <w:p w14:paraId="472E93A4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right="0" w:right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北至台湾东路，沿台湾东路、农村道路向东至银金大道，沿银金大道、城镇开发边界等向南、向东至徐家河，沿徐家河向南至黄海，沿黄海海岸向西至黄海路（规划路），沿黄海路（规划路）、城镇开发边界、中海路等向北至昆仑山路，沿昆仑山路向西至能源路，沿能源路向北至台湾东路，该线范围内除一级地以外的土地。</w:t>
            </w:r>
          </w:p>
          <w:p w14:paraId="50827573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right="0" w:right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（2）宫家岛、大乳山滨海旅游度假区范围内的土地。</w:t>
            </w:r>
          </w:p>
          <w:p w14:paraId="193B3D8F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right="0" w:right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（3）徐家镇：城镇开发边界内的土地。</w:t>
            </w:r>
          </w:p>
        </w:tc>
      </w:tr>
      <w:tr w14:paraId="72D54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0" w:hRule="atLeast"/>
        </w:trPr>
        <w:tc>
          <w:tcPr>
            <w:tcW w:w="1270" w:type="dxa"/>
            <w:noWrap w:val="0"/>
            <w:vAlign w:val="center"/>
          </w:tcPr>
          <w:p w14:paraId="677CDC06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  <w:t>三级地</w:t>
            </w:r>
          </w:p>
        </w:tc>
        <w:tc>
          <w:tcPr>
            <w:tcW w:w="7880" w:type="dxa"/>
            <w:noWrap w:val="0"/>
            <w:vAlign w:val="center"/>
          </w:tcPr>
          <w:p w14:paraId="77C6B708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right="0" w:right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（1）城区街道、夏村镇夏村河、金水街以北的城镇开发边界内的全部土地。</w:t>
            </w:r>
          </w:p>
          <w:p w14:paraId="36FA30A0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right="0" w:right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（2）北至夏村河，沿夏村河向东至西环路，沿西环路、湛江路向南至广州路，沿广州路向东至青威一级路（G1813），沿青威一级路（G1813）向南至世纪大道，沿世纪大道向南至莱荣高铁，沿莱荣高铁向东至能源路，沿能源路、锯河向南至台湾路，沿台湾路向东至能源路，沿能源路向南至黄海，沿黄海海岸向西至乳山口港（黄海海岸），沿乳山口港（黄海海岸）、海陆分界线向北至县道041，沿县道041、城镇开发边界向北、向东至创业二路，沿创业二路向北至台湾路，沿台湾路、城镇开发边界等向西、向北至三亚路，沿三亚路、城镇开发边界向北、向东至夏村河，该范围内的土地。</w:t>
            </w:r>
          </w:p>
          <w:p w14:paraId="11633F97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right="0" w:right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4"/>
                <w:szCs w:val="24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（3）南黄镇：城镇开发边界内的土地。</w:t>
            </w:r>
          </w:p>
        </w:tc>
      </w:tr>
      <w:tr w14:paraId="6E4A5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270" w:type="dxa"/>
            <w:noWrap w:val="0"/>
            <w:vAlign w:val="center"/>
          </w:tcPr>
          <w:p w14:paraId="74F9E781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  <w:t>四级地</w:t>
            </w:r>
          </w:p>
        </w:tc>
        <w:tc>
          <w:tcPr>
            <w:tcW w:w="7880" w:type="dxa"/>
            <w:noWrap w:val="0"/>
            <w:vAlign w:val="center"/>
          </w:tcPr>
          <w:p w14:paraId="7C343B0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leftChars="0" w:right="0" w:right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highlight w:val="green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一、二、三级地以外的土地。</w:t>
            </w:r>
          </w:p>
        </w:tc>
      </w:tr>
    </w:tbl>
    <w:p w14:paraId="41EDE6D6">
      <w:pPr>
        <w:keepNext w:val="0"/>
        <w:keepLines w:val="0"/>
        <w:pageBreakBefore w:val="0"/>
        <w:kinsoku/>
        <w:topLinePunct w:val="0"/>
        <w:bidi w:val="0"/>
        <w:spacing w:line="420" w:lineRule="auto"/>
        <w:jc w:val="center"/>
        <w:rPr>
          <w:rFonts w:hint="eastAsia" w:ascii="微软雅黑" w:hAnsi="微软雅黑" w:eastAsia="微软雅黑" w:cs="微软雅黑"/>
          <w:color w:val="auto"/>
          <w:sz w:val="24"/>
          <w:szCs w:val="24"/>
          <w:highlight w:val="none"/>
        </w:rPr>
      </w:pPr>
    </w:p>
    <w:p w14:paraId="27FB5903">
      <w:pPr>
        <w:keepNext w:val="0"/>
        <w:keepLines w:val="0"/>
        <w:pageBreakBefore w:val="0"/>
        <w:kinsoku/>
        <w:topLinePunct w:val="0"/>
        <w:bidi w:val="0"/>
        <w:spacing w:line="420" w:lineRule="auto"/>
        <w:jc w:val="center"/>
        <w:rPr>
          <w:rFonts w:hint="eastAsia" w:ascii="微软雅黑" w:hAnsi="微软雅黑" w:eastAsia="微软雅黑" w:cs="微软雅黑"/>
          <w:b w:val="0"/>
          <w:bCs/>
          <w:kern w:val="2"/>
          <w:sz w:val="24"/>
          <w:szCs w:val="24"/>
          <w:lang w:val="en-US" w:eastAsia="zh-CN" w:bidi="ar-SA"/>
        </w:rPr>
      </w:pPr>
    </w:p>
    <w:p w14:paraId="258C31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20" w:lineRule="auto"/>
        <w:jc w:val="center"/>
        <w:textAlignment w:val="auto"/>
        <w:rPr>
          <w:rFonts w:hint="eastAsia" w:ascii="微软雅黑" w:hAnsi="微软雅黑" w:eastAsia="微软雅黑" w:cs="微软雅黑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/>
          <w:kern w:val="2"/>
          <w:sz w:val="24"/>
          <w:szCs w:val="24"/>
          <w:lang w:val="en-US" w:eastAsia="zh-CN" w:bidi="ar-SA"/>
        </w:rPr>
        <w:t>（三）工矿用地级别范围分布表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7733"/>
      </w:tblGrid>
      <w:tr w14:paraId="0BD1C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8" w:hRule="atLeast"/>
        </w:trPr>
        <w:tc>
          <w:tcPr>
            <w:tcW w:w="1270" w:type="dxa"/>
            <w:noWrap w:val="0"/>
            <w:vAlign w:val="center"/>
          </w:tcPr>
          <w:p w14:paraId="1E558092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  <w:t>一级地</w:t>
            </w:r>
          </w:p>
        </w:tc>
        <w:tc>
          <w:tcPr>
            <w:tcW w:w="7733" w:type="dxa"/>
            <w:noWrap w:val="0"/>
            <w:vAlign w:val="center"/>
          </w:tcPr>
          <w:p w14:paraId="4EB9C87D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right="0" w:right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北至光明街，沿光明街向东至曹城路，沿曹城路、豪门路等向南至城南河，沿城南河向西至世纪大道，沿世纪大道向南至海峰街，沿海峰街向西至青山路，沿青山路、兴农巷等向北至光明街，该线范围内的土地。</w:t>
            </w:r>
          </w:p>
        </w:tc>
      </w:tr>
      <w:tr w14:paraId="2BB53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67" w:hRule="atLeast"/>
        </w:trPr>
        <w:tc>
          <w:tcPr>
            <w:tcW w:w="1270" w:type="dxa"/>
            <w:noWrap w:val="0"/>
            <w:vAlign w:val="center"/>
          </w:tcPr>
          <w:p w14:paraId="48AF226C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  <w:t>二级地</w:t>
            </w:r>
          </w:p>
        </w:tc>
        <w:tc>
          <w:tcPr>
            <w:tcW w:w="7733" w:type="dxa"/>
            <w:noWrap w:val="0"/>
            <w:vAlign w:val="center"/>
          </w:tcPr>
          <w:p w14:paraId="45571AB3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  <w:t>（1）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u w:val="none"/>
                <w:lang w:val="en-US" w:eastAsia="zh-CN"/>
              </w:rPr>
              <w:t>北至金水街，沿金水街、规划路向东至浦东路，沿浦东路向南至开发街，沿开发街向西至西环路，沿西环路、北环路、夏村河等向北至金水街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u w:val="none"/>
              </w:rPr>
              <w:t>，该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u w:val="none"/>
                <w:lang w:val="en-US" w:eastAsia="zh-CN"/>
              </w:rPr>
              <w:t>线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u w:val="none"/>
              </w:rPr>
              <w:t>范围内除一级地以外的土地。</w:t>
            </w:r>
          </w:p>
          <w:p w14:paraId="3ADFADB3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  <w:t>（2）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u w:val="none"/>
                <w:lang w:val="en-US" w:eastAsia="zh-CN"/>
              </w:rPr>
              <w:t>北至海城街，沿海城街向东至世纪大道，沿世纪大道、规划路、海陆分界线向南、向西至乳山口港（黄海海岸），沿乳山口港（黄海海岸）、海陆分界线向北至县道041，沿县道041、沿城镇开发边界向北、向东至创业二路，沿创业二路向北至台湾路，沿台湾路、城镇开发边界向西、向北至惠民街，沿惠民街向东至山海大道，沿山海大道向北至海城街，该线范围内的土地。</w:t>
            </w:r>
          </w:p>
          <w:p w14:paraId="3C0DAC29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leftChars="0" w:right="0" w:right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u w:val="none"/>
                <w:lang w:val="en-US" w:eastAsia="zh-CN"/>
              </w:rPr>
              <w:t>（3）北至台湾东路，沿台湾东路、农村道路向东至银金大道，沿银金大道、城镇开发边界等向南、向东至徐家河，沿徐家河向南至黄海，沿黄海海岸向西至黄海路（规划路），沿黄海路（规划路）、城镇开发边界、中海路等向北至昆仑山路，沿昆仑山路向西至能源路，沿能源路向北至台湾东路，该线范围内的土地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u w:val="none"/>
              </w:rPr>
              <w:t>。</w:t>
            </w:r>
          </w:p>
          <w:p w14:paraId="30B10E82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leftChars="0" w:right="0" w:right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u w:val="none"/>
                <w:lang w:val="en-US" w:eastAsia="zh-CN"/>
              </w:rPr>
              <w:t>（4）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</w:rPr>
              <w:t>宫家岛、大乳山滨海旅游度假区范围内的土地。</w:t>
            </w:r>
          </w:p>
        </w:tc>
      </w:tr>
      <w:tr w14:paraId="12C95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0" w:hRule="atLeast"/>
        </w:trPr>
        <w:tc>
          <w:tcPr>
            <w:tcW w:w="1270" w:type="dxa"/>
            <w:noWrap w:val="0"/>
            <w:vAlign w:val="center"/>
          </w:tcPr>
          <w:p w14:paraId="111FDCEF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  <w:t>三级地</w:t>
            </w:r>
          </w:p>
        </w:tc>
        <w:tc>
          <w:tcPr>
            <w:tcW w:w="7733" w:type="dxa"/>
            <w:noWrap w:val="0"/>
            <w:vAlign w:val="center"/>
          </w:tcPr>
          <w:p w14:paraId="6AFE9AF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left="0" w:leftChars="0" w:right="0" w:right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  <w:t>（1）</w:t>
            </w: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北至黄依台村北，沿黄依台村北向东至青山北路，沿青山北路、城镇开发边界等向南、向东至长庆路，沿长庆路、城镇开发边界向南、向东至青威一级路（G1813），沿青威一级路（G1813）向西至世纪大道，沿世纪大道向南至莱荣高铁，沿莱荣高铁向东至能源路，沿能源路、锯河向南至台湾路，沿台湾路向东至能源路，沿能源路向南至黄海，沿黄海海岸、海陆分界线向西、向北至世纪大道，沿世纪大道向北至海城街，沿海城街向西至山海大道，沿山海大道向南至惠民街，沿惠民街向西至城镇开发边界，沿城镇开发边界向北至三亚路，沿三亚路、城镇开发边界、夏村河向北至黄依台村北，该线范围内除一级地、二级地以外的土地。</w:t>
            </w:r>
          </w:p>
          <w:p w14:paraId="3A0CBAF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right="0" w:right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（2）徐家镇、下初镇、诸往镇：城镇开发边界内的土地。</w:t>
            </w:r>
          </w:p>
        </w:tc>
      </w:tr>
      <w:tr w14:paraId="440B6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</w:trPr>
        <w:tc>
          <w:tcPr>
            <w:tcW w:w="1270" w:type="dxa"/>
            <w:noWrap w:val="0"/>
            <w:vAlign w:val="center"/>
          </w:tcPr>
          <w:p w14:paraId="1EAF6FD3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  <w:t>四级地</w:t>
            </w:r>
          </w:p>
        </w:tc>
        <w:tc>
          <w:tcPr>
            <w:tcW w:w="7733" w:type="dxa"/>
            <w:noWrap w:val="0"/>
            <w:vAlign w:val="center"/>
          </w:tcPr>
          <w:p w14:paraId="6A6C0AA3">
            <w:pPr>
              <w:pStyle w:val="2"/>
              <w:keepNext w:val="0"/>
              <w:keepLines w:val="0"/>
              <w:pageBreakBefore w:val="0"/>
              <w:kinsoku/>
              <w:topLinePunct w:val="0"/>
              <w:bidi w:val="0"/>
              <w:spacing w:line="420" w:lineRule="auto"/>
              <w:ind w:left="0" w:leftChars="0" w:firstLine="0" w:firstLineChars="0"/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u w:val="none"/>
                <w:lang w:val="en-US" w:eastAsia="zh-CN"/>
              </w:rPr>
              <w:t>一、二、三级地以外的土地。</w:t>
            </w:r>
          </w:p>
        </w:tc>
      </w:tr>
    </w:tbl>
    <w:p w14:paraId="37E6F95D">
      <w:pPr>
        <w:keepNext w:val="0"/>
        <w:keepLines w:val="0"/>
        <w:pageBreakBefore w:val="0"/>
        <w:kinsoku/>
        <w:topLinePunct w:val="0"/>
        <w:bidi w:val="0"/>
        <w:spacing w:line="420" w:lineRule="auto"/>
        <w:jc w:val="both"/>
        <w:rPr>
          <w:rFonts w:hint="eastAsia" w:ascii="微软雅黑" w:hAnsi="微软雅黑" w:eastAsia="微软雅黑" w:cs="微软雅黑"/>
          <w:b w:val="0"/>
          <w:bCs/>
          <w:kern w:val="2"/>
          <w:sz w:val="24"/>
          <w:szCs w:val="24"/>
          <w:lang w:val="en-US" w:eastAsia="zh-CN" w:bidi="ar-SA"/>
        </w:rPr>
      </w:pPr>
    </w:p>
    <w:p w14:paraId="5787E8C5">
      <w:pPr>
        <w:keepNext w:val="0"/>
        <w:keepLines w:val="0"/>
        <w:pageBreakBefore w:val="0"/>
        <w:kinsoku/>
        <w:topLinePunct w:val="0"/>
        <w:bidi w:val="0"/>
        <w:spacing w:line="420" w:lineRule="auto"/>
        <w:jc w:val="both"/>
        <w:rPr>
          <w:rFonts w:hint="eastAsia" w:ascii="微软雅黑" w:hAnsi="微软雅黑" w:eastAsia="微软雅黑" w:cs="微软雅黑"/>
          <w:b w:val="0"/>
          <w:bCs/>
          <w:kern w:val="2"/>
          <w:sz w:val="24"/>
          <w:szCs w:val="24"/>
          <w:lang w:val="en-US" w:eastAsia="zh-CN" w:bidi="ar-SA"/>
        </w:rPr>
      </w:pPr>
    </w:p>
    <w:p w14:paraId="4923DFEF">
      <w:pPr>
        <w:keepNext w:val="0"/>
        <w:keepLines w:val="0"/>
        <w:pageBreakBefore w:val="0"/>
        <w:kinsoku/>
        <w:topLinePunct w:val="0"/>
        <w:bidi w:val="0"/>
        <w:spacing w:line="420" w:lineRule="auto"/>
        <w:jc w:val="both"/>
        <w:rPr>
          <w:rFonts w:hint="eastAsia" w:ascii="微软雅黑" w:hAnsi="微软雅黑" w:eastAsia="微软雅黑" w:cs="微软雅黑"/>
          <w:b w:val="0"/>
          <w:bCs/>
          <w:kern w:val="2"/>
          <w:sz w:val="24"/>
          <w:szCs w:val="24"/>
          <w:lang w:val="en-US" w:eastAsia="zh-CN" w:bidi="ar-SA"/>
        </w:rPr>
      </w:pPr>
    </w:p>
    <w:p w14:paraId="0A593D24">
      <w:pPr>
        <w:keepNext w:val="0"/>
        <w:keepLines w:val="0"/>
        <w:pageBreakBefore w:val="0"/>
        <w:kinsoku/>
        <w:topLinePunct w:val="0"/>
        <w:bidi w:val="0"/>
        <w:spacing w:line="420" w:lineRule="auto"/>
        <w:jc w:val="both"/>
        <w:rPr>
          <w:rFonts w:hint="eastAsia" w:ascii="微软雅黑" w:hAnsi="微软雅黑" w:eastAsia="微软雅黑" w:cs="微软雅黑"/>
          <w:b w:val="0"/>
          <w:bCs/>
          <w:kern w:val="2"/>
          <w:sz w:val="24"/>
          <w:szCs w:val="24"/>
          <w:lang w:val="en-US" w:eastAsia="zh-CN" w:bidi="ar-SA"/>
        </w:rPr>
      </w:pPr>
    </w:p>
    <w:p w14:paraId="483E0881">
      <w:pPr>
        <w:keepNext w:val="0"/>
        <w:keepLines w:val="0"/>
        <w:pageBreakBefore w:val="0"/>
        <w:kinsoku/>
        <w:topLinePunct w:val="0"/>
        <w:bidi w:val="0"/>
        <w:spacing w:line="420" w:lineRule="auto"/>
        <w:jc w:val="both"/>
        <w:rPr>
          <w:rFonts w:hint="eastAsia" w:ascii="微软雅黑" w:hAnsi="微软雅黑" w:eastAsia="微软雅黑" w:cs="微软雅黑"/>
          <w:b w:val="0"/>
          <w:bCs/>
          <w:kern w:val="2"/>
          <w:sz w:val="24"/>
          <w:szCs w:val="24"/>
          <w:lang w:val="en-US" w:eastAsia="zh-CN" w:bidi="ar-SA"/>
        </w:rPr>
      </w:pPr>
    </w:p>
    <w:p w14:paraId="4D72B2BD">
      <w:pPr>
        <w:keepNext w:val="0"/>
        <w:keepLines w:val="0"/>
        <w:pageBreakBefore w:val="0"/>
        <w:kinsoku/>
        <w:topLinePunct w:val="0"/>
        <w:bidi w:val="0"/>
        <w:spacing w:line="420" w:lineRule="auto"/>
        <w:jc w:val="both"/>
        <w:rPr>
          <w:rFonts w:hint="eastAsia" w:ascii="微软雅黑" w:hAnsi="微软雅黑" w:eastAsia="微软雅黑" w:cs="微软雅黑"/>
          <w:b w:val="0"/>
          <w:bCs/>
          <w:kern w:val="2"/>
          <w:sz w:val="24"/>
          <w:szCs w:val="24"/>
          <w:lang w:val="en-US" w:eastAsia="zh-CN" w:bidi="ar-SA"/>
        </w:rPr>
      </w:pPr>
    </w:p>
    <w:p w14:paraId="31F8D9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420" w:lineRule="auto"/>
        <w:jc w:val="center"/>
        <w:textAlignment w:val="auto"/>
        <w:rPr>
          <w:rFonts w:hint="eastAsia" w:ascii="微软雅黑" w:hAnsi="微软雅黑" w:eastAsia="微软雅黑" w:cs="微软雅黑"/>
          <w:b w:val="0"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微软雅黑" w:hAnsi="微软雅黑" w:eastAsia="微软雅黑" w:cs="微软雅黑"/>
          <w:b w:val="0"/>
          <w:bCs/>
          <w:kern w:val="2"/>
          <w:sz w:val="24"/>
          <w:szCs w:val="24"/>
          <w:lang w:val="en-US" w:eastAsia="zh-CN" w:bidi="ar-SA"/>
        </w:rPr>
        <w:t>（四）公共管理与公共服务用地级别范围分布表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7733"/>
      </w:tblGrid>
      <w:tr w14:paraId="5605B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9" w:hRule="atLeast"/>
        </w:trPr>
        <w:tc>
          <w:tcPr>
            <w:tcW w:w="1270" w:type="dxa"/>
            <w:noWrap w:val="0"/>
            <w:vAlign w:val="center"/>
          </w:tcPr>
          <w:p w14:paraId="252922FE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  <w:t>一级地</w:t>
            </w:r>
          </w:p>
        </w:tc>
        <w:tc>
          <w:tcPr>
            <w:tcW w:w="7733" w:type="dxa"/>
            <w:noWrap w:val="0"/>
            <w:vAlign w:val="center"/>
          </w:tcPr>
          <w:p w14:paraId="2F678648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right="0" w:right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  <w:t>（1）</w:t>
            </w: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北至北环路，沿北环路向东至长庆路，沿长庆路、城镇开发边界向南至胜利东街，沿胜利东街向东、向南至天津路，沿天津路向西至昌平路，沿昌平路向南至营口路，沿营口路向西至深圳路，沿深圳路向南至幸福二路，沿幸福二路向西至世纪大道，沿世纪大道向北至海峰街，沿海峰街向西至青山路，沿青山路、兴农巷等向北至北环路，该线范围内的土地。</w:t>
            </w:r>
          </w:p>
          <w:p w14:paraId="14836C40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right="0" w:right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  <w:t>（2）</w:t>
            </w: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北至武夷山路，沿武夷山路向东至西湖路，沿西湖路向南至长江路，沿长江路向西至金银大道，沿金银大道向北至武夷山路，该线范围内的土地。</w:t>
            </w:r>
          </w:p>
        </w:tc>
      </w:tr>
      <w:tr w14:paraId="54014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270" w:type="dxa"/>
            <w:noWrap w:val="0"/>
            <w:vAlign w:val="center"/>
          </w:tcPr>
          <w:p w14:paraId="5CA26988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  <w:t>二级地</w:t>
            </w:r>
          </w:p>
        </w:tc>
        <w:tc>
          <w:tcPr>
            <w:tcW w:w="7733" w:type="dxa"/>
            <w:noWrap w:val="0"/>
            <w:vAlign w:val="center"/>
          </w:tcPr>
          <w:p w14:paraId="6895F8FE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right="0" w:right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（1）北至金水街，沿金水街、规划路向东至长庆路，沿长庆路、城镇开发边界向南至青威一级路（G1813），沿青威一级路（G1813）向西至广州路，沿广州路向西至湛江路，沿湛江路、西环路、夏村河等向北、向东至金水街，该线范围内除一级地以外的土地。</w:t>
            </w:r>
          </w:p>
          <w:p w14:paraId="11426FF9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right="0" w:right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（2）北至台湾东路，沿台湾东路、农村道路向东至银金大道，沿银金大道、城镇开发边界等向南、向东至徐家河，沿徐家河向南至黄海，沿黄海海岸向西至黄海路（规划路），沿黄海路（规划路）、城镇开发边界、中海路等向北至昆仑山路，沿昆仑山路向西至能源路，沿能源路向北至台湾东路，该线范围内除一级地以外的土地。</w:t>
            </w:r>
          </w:p>
          <w:p w14:paraId="1539564A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right="0" w:right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（3）宫家岛、大乳山滨海旅游度假区范围内的土地。</w:t>
            </w:r>
          </w:p>
          <w:p w14:paraId="64703F91">
            <w:pPr>
              <w:pStyle w:val="13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right="0" w:right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（4）徐家镇：城镇开发边界内的土地。</w:t>
            </w:r>
          </w:p>
        </w:tc>
      </w:tr>
      <w:tr w14:paraId="00F30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3" w:hRule="atLeast"/>
        </w:trPr>
        <w:tc>
          <w:tcPr>
            <w:tcW w:w="1270" w:type="dxa"/>
            <w:noWrap w:val="0"/>
            <w:vAlign w:val="center"/>
          </w:tcPr>
          <w:p w14:paraId="4D306656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  <w:t>三级地</w:t>
            </w:r>
          </w:p>
        </w:tc>
        <w:tc>
          <w:tcPr>
            <w:tcW w:w="7733" w:type="dxa"/>
            <w:noWrap w:val="0"/>
            <w:vAlign w:val="center"/>
          </w:tcPr>
          <w:p w14:paraId="3E11A0D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  <w:t>（1）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u w:val="none"/>
                <w:lang w:val="en-US" w:eastAsia="zh-CN"/>
              </w:rPr>
              <w:t>城区街道、夏村镇夏村河、金水街以北的城镇开发边界内的全部土地。</w:t>
            </w:r>
          </w:p>
          <w:p w14:paraId="7597C98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4"/>
                <w:szCs w:val="24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  <w:t>（2）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u w:val="none"/>
                <w:lang w:val="en-US" w:eastAsia="zh-CN"/>
              </w:rPr>
              <w:t>北至夏村河，沿夏村河向东至西环路，沿西环路、湛江路向南至广州路，沿广州路向东至青威一级路（G1813），沿青威一级路（G1813）向南至世纪大道，沿世纪大道向南至莱荣高铁，沿莱荣高铁向东至能源路，沿能源路、锯河向南至台湾路，沿台湾路向东至能源路，沿能源路向南至黄海，沿黄海海岸向西至乳山口港（黄海海岸），沿乳山口港（黄海海岸）、海陆分界线向北至县道041，沿县道041、城镇开发边界向北、向东至创业二路，沿创业二路向北至台湾路，沿台湾路、城镇开发边界等向西、向北至三亚路，沿三亚路、城镇开发边界向北、向东至夏村河，该范围内的土地。</w:t>
            </w:r>
          </w:p>
          <w:p w14:paraId="522C327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4"/>
                <w:szCs w:val="24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lang w:val="en-US" w:eastAsia="zh-CN" w:bidi="ar-SA"/>
              </w:rPr>
              <w:t>（3）</w:t>
            </w: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南黄镇：</w:t>
            </w:r>
            <w:r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lang w:val="en-US" w:eastAsia="zh-CN"/>
              </w:rPr>
              <w:t>城镇开发边界内的</w:t>
            </w: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土地。</w:t>
            </w:r>
          </w:p>
        </w:tc>
      </w:tr>
      <w:tr w14:paraId="6CBB0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1270" w:type="dxa"/>
            <w:noWrap w:val="0"/>
            <w:vAlign w:val="center"/>
          </w:tcPr>
          <w:p w14:paraId="4FAFA9CA">
            <w:pPr>
              <w:pStyle w:val="1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微软雅黑" w:hAnsi="微软雅黑" w:eastAsia="微软雅黑" w:cs="微软雅黑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highlight w:val="none"/>
                <w:u w:val="none"/>
                <w:lang w:val="en-US" w:eastAsia="zh-CN"/>
              </w:rPr>
              <w:t>四级地</w:t>
            </w:r>
          </w:p>
        </w:tc>
        <w:tc>
          <w:tcPr>
            <w:tcW w:w="7733" w:type="dxa"/>
            <w:noWrap w:val="0"/>
            <w:vAlign w:val="center"/>
          </w:tcPr>
          <w:p w14:paraId="2BDF26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20" w:lineRule="auto"/>
              <w:ind w:leftChars="0" w:right="0" w:rightChars="0"/>
              <w:jc w:val="both"/>
              <w:textAlignment w:val="auto"/>
              <w:outlineLvl w:val="9"/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highlight w:val="green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  <w:t>一、二、三级地以外的土地。</w:t>
            </w:r>
          </w:p>
        </w:tc>
      </w:tr>
    </w:tbl>
    <w:p w14:paraId="603D6EE1">
      <w:pPr>
        <w:keepNext w:val="0"/>
        <w:keepLines w:val="0"/>
        <w:pageBreakBefore w:val="0"/>
        <w:widowControl/>
        <w:suppressLineNumbers w:val="0"/>
        <w:kinsoku/>
        <w:topLinePunct w:val="0"/>
        <w:bidi w:val="0"/>
        <w:spacing w:line="420" w:lineRule="auto"/>
        <w:jc w:val="left"/>
      </w:pPr>
    </w:p>
    <w:sectPr>
      <w:footerReference r:id="rId3" w:type="default"/>
      <w:pgSz w:w="11906" w:h="16838"/>
      <w:pgMar w:top="2098" w:right="1531" w:bottom="1984" w:left="1531" w:header="851" w:footer="153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9413DB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861892"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315" w:leftChars="150" w:right="315" w:rightChars="150"/>
                            <w:textAlignment w:val="auto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861892"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315" w:leftChars="150" w:right="315" w:rightChars="150"/>
                      <w:textAlignment w:val="auto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8C2768"/>
    <w:rsid w:val="5B8C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/>
    </w:p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Body Text Indent"/>
    <w:basedOn w:val="1"/>
    <w:next w:val="2"/>
    <w:qFormat/>
    <w:uiPriority w:val="0"/>
    <w:pPr>
      <w:spacing w:after="120"/>
      <w:ind w:left="420" w:leftChars="200"/>
    </w:pPr>
    <w:rPr>
      <w:rFonts w:hint="eastAsia"/>
    </w:rPr>
  </w:style>
  <w:style w:type="paragraph" w:styleId="5">
    <w:name w:val="Plain Text"/>
    <w:basedOn w:val="1"/>
    <w:qFormat/>
    <w:uiPriority w:val="0"/>
    <w:pPr>
      <w:widowControl/>
      <w:overflowPunct w:val="0"/>
      <w:autoSpaceDE w:val="0"/>
      <w:autoSpaceDN w:val="0"/>
      <w:adjustRightInd w:val="0"/>
      <w:jc w:val="left"/>
      <w:textAlignment w:val="baseline"/>
    </w:pPr>
    <w:rPr>
      <w:rFonts w:ascii="宋体" w:hAnsi="Courier New" w:eastAsia="宋体"/>
      <w:sz w:val="21"/>
      <w:lang w:val="en-GB" w:eastAsia="zh-CN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styleId="8">
    <w:name w:val="Body Text First Indent 2"/>
    <w:basedOn w:val="4"/>
    <w:next w:val="1"/>
    <w:qFormat/>
    <w:uiPriority w:val="0"/>
    <w:pPr>
      <w:ind w:firstLine="420" w:firstLineChars="200"/>
    </w:pPr>
  </w:style>
  <w:style w:type="character" w:customStyle="1" w:styleId="11">
    <w:name w:val="font21"/>
    <w:basedOn w:val="10"/>
    <w:qFormat/>
    <w:uiPriority w:val="0"/>
    <w:rPr>
      <w:rFonts w:hint="eastAsia" w:ascii="仿宋" w:hAnsi="仿宋" w:eastAsia="仿宋" w:cs="仿宋"/>
      <w:color w:val="000000"/>
      <w:sz w:val="28"/>
      <w:szCs w:val="28"/>
      <w:u w:val="none"/>
    </w:rPr>
  </w:style>
  <w:style w:type="paragraph" w:customStyle="1" w:styleId="12">
    <w:name w:val="Plain Text"/>
    <w:basedOn w:val="1"/>
    <w:qFormat/>
    <w:uiPriority w:val="0"/>
    <w:rPr>
      <w:rFonts w:ascii="宋体" w:hAnsi="Courier New" w:eastAsia="宋体" w:cs="Times New Roman"/>
      <w:szCs w:val="20"/>
    </w:rPr>
  </w:style>
  <w:style w:type="paragraph" w:customStyle="1" w:styleId="13">
    <w:name w:val="纯文本1"/>
    <w:basedOn w:val="1"/>
    <w:qFormat/>
    <w:uiPriority w:val="0"/>
    <w:rPr>
      <w:rFonts w:ascii="宋体" w:hAnsi="Courier New"/>
      <w:szCs w:val="20"/>
    </w:rPr>
  </w:style>
  <w:style w:type="character" w:customStyle="1" w:styleId="14">
    <w:name w:val="font4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2025-01-11T00:51:00Z</dcterms:created>
  <dc:creator>Z</dc:creator>
  <cp:lastModifiedBy>Z</cp:lastModifiedBy>
  <dcterms:modified xsi:type="dcterms:W3CDTF">2025-01-11T00:53:57Z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0C8AC713D50F4CE4BCD5738749078CA2_11</vt:lpwstr>
  </property>
  <property fmtid="{D5CDD505-2E9C-101B-9397-08002B2CF9AE}" pid="4" name="KSOTemplateDocerSaveRecord">
    <vt:lpwstr>eyJoZGlkIjoiOTkyM2RjOTVjMjVmNzhlN2RiZTk0ZGM5ZGNjZWYzOGEiLCJ1c2VySWQiOiIzNDQzOTMzNDMifQ==</vt:lpwstr>
  </property>
</Properties>
</file>