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2"/>
        </w:numPr>
        <w:spacing w:line="640" w:lineRule="exact"/>
        <w:jc w:val="center"/>
        <w:outlineLvl w:val="0"/>
        <w:rPr>
          <w:rFonts w:hint="eastAsia" w:ascii="方正小标宋简体" w:hAnsi="方正小标宋简体" w:eastAsia="方正小标宋简体" w:cs="方正小标宋简体"/>
          <w:color w:val="auto"/>
          <w:sz w:val="44"/>
          <w:szCs w:val="44"/>
        </w:rPr>
      </w:pPr>
      <w:bookmarkStart w:id="0" w:name="DYNAMIC—DWXX—tAj_dwmc"/>
      <w:r>
        <w:rPr>
          <w:rFonts w:hint="default" w:ascii="方正小标宋简体" w:hAnsi="方正小标宋简体" w:eastAsia="方正小标宋简体" w:cs="方正小标宋简体"/>
          <w:color w:val="000000"/>
          <w:sz w:val="44"/>
          <w:u w:val="none"/>
        </w:rPr>
        <w:t>乳山市市场监督管理局</w:t>
      </w:r>
      <w:bookmarkEnd w:id="0"/>
    </w:p>
    <w:p>
      <w:pPr>
        <w:pStyle w:val="2"/>
        <w:keepNext w:val="0"/>
        <w:numPr>
          <w:ilvl w:val="0"/>
          <w:numId w:val="2"/>
        </w:numPr>
        <w:spacing w:before="0" w:after="0" w:line="640" w:lineRule="exact"/>
        <w:jc w:val="center"/>
        <w:rPr>
          <w:rFonts w:hint="eastAsia" w:eastAsia="方正小标宋简体" w:cs="方正小标宋简体"/>
          <w:color w:val="auto"/>
          <w:sz w:val="44"/>
          <w:szCs w:val="44"/>
        </w:rPr>
      </w:pPr>
      <w:bookmarkStart w:id="1" w:name="_Toc76683344"/>
      <w:r>
        <w:rPr>
          <w:rFonts w:hint="eastAsia" w:hAnsi="方正小标宋简体" w:eastAsia="方正小标宋简体" w:cs="方正小标宋简体"/>
          <w:color w:val="000000"/>
          <w:sz w:val="44"/>
          <w:szCs w:val="44"/>
          <w:u w:val="none"/>
          <w:lang w:val="en-US"/>
        </w:rPr>
        <w:t>行政处罚告知书</w:t>
      </w:r>
      <w:bookmarkEnd w:id="1"/>
    </w:p>
    <w:p>
      <w:pPr>
        <w:spacing w:line="560" w:lineRule="exact"/>
        <w:jc w:val="center"/>
        <w:outlineLvl w:val="1"/>
        <w:rPr>
          <w:rFonts w:hint="default" w:ascii="Times New Roman" w:hAnsi="Times New Roman" w:eastAsia="仿宋_GB2312" w:cs="仿宋"/>
          <w:color w:val="auto"/>
          <w:sz w:val="32"/>
        </w:rPr>
      </w:pPr>
      <w:bookmarkStart w:id="2" w:name="tAj_wh"/>
      <w:r>
        <w:rPr>
          <w:rFonts w:hint="default" w:ascii="Times New Roman" w:hAnsi="Times New Roman" w:eastAsia="仿宋_GB2312" w:cs="仿宋"/>
          <w:color w:val="000000"/>
          <w:sz w:val="32"/>
          <w:u w:val="none"/>
        </w:rPr>
        <w:t>乳市监罚告</w:t>
      </w:r>
      <w:bookmarkStart w:id="5" w:name="_GoBack"/>
      <w:r>
        <w:rPr>
          <w:rFonts w:hint="default" w:ascii="Times New Roman" w:hAnsi="Times New Roman" w:eastAsia="仿宋_GB2312" w:cs="仿宋"/>
          <w:color w:val="000000"/>
          <w:sz w:val="32"/>
          <w:u w:val="none"/>
        </w:rPr>
        <w:t>〔2024〕123号</w:t>
      </w:r>
      <w:bookmarkEnd w:id="2"/>
      <w:bookmarkEnd w:id="5"/>
    </w:p>
    <w:p>
      <w:pPr>
        <w:spacing w:line="560" w:lineRule="exact"/>
        <w:jc w:val="center"/>
        <w:outlineLvl w:val="1"/>
        <w:rPr>
          <w:rFonts w:hint="eastAsia" w:ascii="Times New Roman" w:hAnsi="Times New Roman" w:eastAsia="仿宋_GB2312" w:cs="仿宋"/>
          <w:color w:val="auto"/>
          <w:sz w:val="32"/>
        </w:rPr>
      </w:pPr>
    </w:p>
    <w:p>
      <w:pPr>
        <w:rPr>
          <w:rFonts w:hint="eastAsia" w:ascii="仿宋" w:hAnsi="仿宋" w:eastAsia="仿宋" w:cs="仿宋"/>
          <w:sz w:val="32"/>
          <w:szCs w:val="32"/>
          <w:lang w:val="en-US" w:eastAsia="zh-CN"/>
        </w:rPr>
      </w:pPr>
      <w:r>
        <w:rPr>
          <w:rFonts w:hint="eastAsia" w:ascii="仿宋" w:hAnsi="仿宋" w:eastAsia="仿宋" w:cs="仿宋"/>
          <w:color w:val="000000"/>
          <w:sz w:val="32"/>
          <w:szCs w:val="32"/>
          <w:u w:val="none"/>
          <w:lang w:val="en-US" w:eastAsia="zh-CN"/>
        </w:rPr>
        <w:t>威海蓝科国际贸易有限公司：</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color w:val="000000"/>
          <w:sz w:val="32"/>
          <w:szCs w:val="32"/>
          <w:u w:val="none"/>
        </w:rPr>
        <w:t>由本局立案调查的你（单位）涉嫌 开业后自行停业连续六个月以上一案，已调查终结。依据《中华人民共和国行政处罚法》第</w:t>
      </w:r>
      <w:r>
        <w:rPr>
          <w:rFonts w:hint="eastAsia" w:ascii="仿宋" w:hAnsi="仿宋" w:eastAsia="仿宋" w:cs="仿宋"/>
          <w:color w:val="000000"/>
          <w:sz w:val="32"/>
          <w:szCs w:val="32"/>
          <w:u w:val="none"/>
          <w:lang w:eastAsia="zh-CN"/>
        </w:rPr>
        <w:t>四十四</w:t>
      </w:r>
      <w:r>
        <w:rPr>
          <w:rFonts w:hint="eastAsia" w:ascii="仿宋" w:hAnsi="仿宋" w:eastAsia="仿宋" w:cs="仿宋"/>
          <w:color w:val="000000"/>
          <w:sz w:val="32"/>
          <w:szCs w:val="32"/>
          <w:u w:val="none"/>
        </w:rPr>
        <w:t>条的规定，现将本局拟作出行政处罚的事实、理由、依据及处罚内容告知如下：</w:t>
      </w:r>
      <w:r>
        <w:rPr>
          <w:rFonts w:hint="eastAsia" w:ascii="仿宋" w:hAnsi="仿宋" w:eastAsia="仿宋" w:cs="仿宋"/>
          <w:color w:val="000000"/>
          <w:sz w:val="32"/>
          <w:szCs w:val="32"/>
          <w:u w:val="none"/>
          <w:lang w:val="en-US" w:eastAsia="zh-CN"/>
        </w:rPr>
        <w:t xml:space="preserve">                      </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color w:val="000000"/>
          <w:sz w:val="32"/>
          <w:szCs w:val="32"/>
          <w:u w:val="none"/>
          <w:lang w:val="en-US" w:eastAsia="zh-CN"/>
        </w:rPr>
        <w:t>2024年03月05日接信用监管科提供案件线索，通过国家企业信用信息公示系统发现你（单位）2021年度、2022年度均未申报企业年报，其行为涉嫌违反《中华人民共和国公司法》第二百一十一条之规定，为查明事实，本局于2024年03月05日立案。在调查中，我局执法人员对你（单位）2021年度、2022年度企业年报情况，在乳山市行政审批局登记情况，在国家税务总局乳山市税务局税务报税情况，在乳山市社会保险服务中心社会保险缴纳情况、在乳山市金融服务中心金融纠纷案件情况进行了调查。对你（单位）进行了现场检查，现场没有采取行政强制措施。</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color w:val="000000"/>
          <w:sz w:val="32"/>
          <w:szCs w:val="32"/>
          <w:u w:val="none"/>
          <w:lang w:val="en-US" w:eastAsia="zh-CN"/>
        </w:rPr>
        <w:t>经查：你（单位）于2007年03月07日设立，因未按照《企业信息公示暂行条例》第八条规定的期限报送并公示年度报告，于2018年09月11日、2022年07月14日、2023年07月14日、2023年10月31日4次被列入经营异常名录。2024年03月05日，我局执法人员根据企业注册信息依法对山东省威海市乳山市育黎镇驻地进行现场检查。经现场核查，山东省威海市乳山市育黎镇驻地，该住所查你（单位）。现场拨打企业的联系电话，无法联系到你（单位）。执法人员采取拍照录像方式进行了全程记录。另查明，你（单位）税务申报未登记，未缴纳社保，无金融纠纷案件，无债权债务等纠纷案件。</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color w:val="000000"/>
          <w:sz w:val="32"/>
          <w:szCs w:val="32"/>
          <w:u w:val="none"/>
          <w:lang w:val="en-US" w:eastAsia="zh-CN"/>
        </w:rPr>
        <w:t>通过以上事实，本局认为，你（单位）开业后已经自行停业连续六个月以上，该行为构成《中华人民共和国公司法》第二百一十一条第一款“公司成立后无正当理由超过六个月未开业的，或者开业后自行停业连续六个月以上的，可以由公司登记机关吊销营业执照。”规定的开业后自行停业连续六个月以上的行为。</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color w:val="000000"/>
          <w:sz w:val="32"/>
          <w:szCs w:val="32"/>
          <w:u w:val="none"/>
          <w:lang w:val="en-US" w:eastAsia="zh-CN"/>
        </w:rPr>
        <w:t>鉴于你（单位）开业后连续两个年度以上未依法报送年度报告且未进行纳税申报等情形，属于《工商总局、税务总局关于清理长期停业未经营企业工作有关问题的通知》（工商企监字[2016]97号）（一）规定的应当列入清理范围的企业，适用于依法吊销营业执照的清理方式。</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color w:val="000000"/>
          <w:sz w:val="32"/>
          <w:szCs w:val="32"/>
          <w:u w:val="none"/>
          <w:lang w:val="en-US" w:eastAsia="zh-CN"/>
        </w:rPr>
        <w:t>依据《中华人民共和国公司法》第二百一十一条第一款“公司成立后无正当理由超过六个月未开业的，或者开业后自行停业连续六个月以上的，可以由公司登记机关吊销营业执照。”之规定，拟处罚如下:吊销营业执照。</w:t>
      </w:r>
    </w:p>
    <w:p>
      <w:pPr>
        <w:ind w:firstLine="640" w:firstLineChars="200"/>
        <w:rPr>
          <w:rFonts w:hint="eastAsia" w:ascii="仿宋" w:hAnsi="仿宋" w:eastAsia="仿宋" w:cs="仿宋"/>
          <w:sz w:val="32"/>
          <w:szCs w:val="32"/>
        </w:rPr>
      </w:pPr>
      <w:r>
        <w:rPr>
          <w:rFonts w:hint="eastAsia" w:ascii="仿宋" w:hAnsi="仿宋" w:eastAsia="仿宋" w:cs="仿宋"/>
          <w:color w:val="000000"/>
          <w:sz w:val="32"/>
          <w:szCs w:val="32"/>
          <w:u w:val="none"/>
        </w:rPr>
        <w:t>依据《中华人民共和国行政处罚法》第四十四条、第四十五条、第六十三条、第六十四条第一项，以及《市场监督管理行政处罚听证办法》第五条</w:t>
      </w:r>
      <w:r>
        <w:rPr>
          <w:rFonts w:hint="eastAsia" w:ascii="仿宋" w:hAnsi="仿宋" w:eastAsia="仿宋" w:cs="仿宋"/>
          <w:color w:val="000000"/>
          <w:sz w:val="32"/>
          <w:szCs w:val="32"/>
          <w:u w:val="none"/>
          <w:lang w:eastAsia="zh-CN"/>
        </w:rPr>
        <w:t>，《山东省行政处罚听证程序实施办法》第二条</w:t>
      </w:r>
      <w:r>
        <w:rPr>
          <w:rFonts w:hint="eastAsia" w:ascii="仿宋" w:hAnsi="仿宋" w:eastAsia="仿宋" w:cs="仿宋"/>
          <w:color w:val="000000"/>
          <w:sz w:val="32"/>
          <w:szCs w:val="32"/>
          <w:u w:val="none"/>
        </w:rPr>
        <w:t>的规定，你（单位）有权进行陈述、申辩，并可以要求听证。</w:t>
      </w:r>
    </w:p>
    <w:p>
      <w:pPr>
        <w:ind w:firstLine="640" w:firstLineChars="200"/>
        <w:rPr>
          <w:rFonts w:hint="eastAsia" w:ascii="仿宋" w:hAnsi="仿宋" w:eastAsia="仿宋" w:cs="仿宋"/>
          <w:sz w:val="32"/>
          <w:szCs w:val="32"/>
        </w:rPr>
      </w:pPr>
      <w:r>
        <w:rPr>
          <w:rFonts w:hint="eastAsia" w:ascii="仿宋" w:hAnsi="仿宋" w:eastAsia="仿宋" w:cs="仿宋"/>
          <w:color w:val="000000"/>
          <w:sz w:val="32"/>
          <w:szCs w:val="32"/>
          <w:u w:val="none"/>
        </w:rPr>
        <w:t>自收到本告知书之日起五个工作日内未行使陈述、申辩权， 未要求听证的，视为放弃此权利。</w:t>
      </w:r>
    </w:p>
    <w:p>
      <w:pPr>
        <w:ind w:firstLine="640" w:firstLineChars="200"/>
        <w:rPr>
          <w:rFonts w:hint="eastAsia" w:ascii="仿宋" w:hAnsi="仿宋" w:eastAsia="仿宋" w:cs="仿宋"/>
          <w:sz w:val="32"/>
          <w:szCs w:val="32"/>
        </w:rPr>
      </w:pPr>
    </w:p>
    <w:p>
      <w:pPr>
        <w:ind w:firstLine="640" w:firstLineChars="200"/>
        <w:rPr>
          <w:rFonts w:hint="eastAsia" w:ascii="仿宋" w:hAnsi="仿宋" w:eastAsia="仿宋" w:cs="仿宋"/>
          <w:sz w:val="32"/>
          <w:szCs w:val="32"/>
        </w:rPr>
      </w:pPr>
    </w:p>
    <w:p>
      <w:pPr>
        <w:ind w:firstLine="640" w:firstLineChars="200"/>
        <w:rPr>
          <w:rFonts w:hint="eastAsia" w:ascii="仿宋" w:hAnsi="仿宋" w:eastAsia="仿宋" w:cs="仿宋"/>
          <w:sz w:val="32"/>
          <w:szCs w:val="32"/>
        </w:rPr>
      </w:pPr>
      <w:r>
        <w:rPr>
          <w:rFonts w:hint="eastAsia" w:ascii="仿宋" w:hAnsi="仿宋" w:eastAsia="仿宋" w:cs="仿宋"/>
          <w:color w:val="000000"/>
          <w:sz w:val="32"/>
          <w:szCs w:val="32"/>
          <w:u w:val="none"/>
        </w:rPr>
        <w:t xml:space="preserve">联系人： </w:t>
      </w:r>
      <w:r>
        <w:rPr>
          <w:rFonts w:hint="eastAsia" w:ascii="仿宋" w:hAnsi="仿宋" w:eastAsia="仿宋" w:cs="仿宋"/>
          <w:color w:val="000000"/>
          <w:sz w:val="32"/>
          <w:szCs w:val="32"/>
          <w:u w:val="none"/>
          <w:lang w:eastAsia="zh-CN"/>
        </w:rPr>
        <w:t>王宇</w:t>
      </w:r>
      <w:r>
        <w:rPr>
          <w:rFonts w:hint="eastAsia" w:ascii="仿宋" w:hAnsi="仿宋" w:eastAsia="仿宋" w:cs="仿宋"/>
          <w:color w:val="000000"/>
          <w:sz w:val="32"/>
          <w:szCs w:val="32"/>
          <w:u w:val="none"/>
        </w:rPr>
        <w:t xml:space="preserve">       联系电话：  6</w:t>
      </w:r>
      <w:r>
        <w:rPr>
          <w:rFonts w:hint="eastAsia" w:ascii="仿宋" w:hAnsi="仿宋" w:eastAsia="仿宋" w:cs="仿宋"/>
          <w:color w:val="000000"/>
          <w:sz w:val="32"/>
          <w:szCs w:val="32"/>
          <w:u w:val="none"/>
          <w:lang w:val="en-US" w:eastAsia="zh-CN"/>
        </w:rPr>
        <w:t>869316</w:t>
      </w:r>
      <w:r>
        <w:rPr>
          <w:rFonts w:hint="eastAsia" w:ascii="仿宋" w:hAnsi="仿宋" w:eastAsia="仿宋" w:cs="仿宋"/>
          <w:color w:val="000000"/>
          <w:sz w:val="32"/>
          <w:szCs w:val="32"/>
          <w:u w:val="none"/>
        </w:rPr>
        <w:t xml:space="preserve">          </w:t>
      </w:r>
    </w:p>
    <w:p>
      <w:pPr>
        <w:ind w:firstLine="640" w:firstLineChars="200"/>
        <w:rPr>
          <w:rFonts w:hint="eastAsia" w:ascii="仿宋" w:hAnsi="仿宋" w:eastAsia="仿宋" w:cs="仿宋"/>
          <w:sz w:val="32"/>
          <w:szCs w:val="32"/>
          <w:lang w:eastAsia="zh-CN"/>
        </w:rPr>
      </w:pPr>
      <w:r>
        <w:rPr>
          <w:rFonts w:hint="eastAsia" w:ascii="仿宋" w:hAnsi="仿宋" w:eastAsia="仿宋" w:cs="仿宋"/>
          <w:color w:val="000000"/>
          <w:sz w:val="32"/>
          <w:szCs w:val="32"/>
          <w:u w:val="none"/>
          <w:lang w:eastAsia="zh-CN"/>
        </w:rPr>
        <w:t>联系地址：乳山市育黎镇驻地</w:t>
      </w:r>
    </w:p>
    <w:p>
      <w:pPr>
        <w:spacing w:line="520" w:lineRule="exact"/>
        <w:ind w:right="640" w:firstLine="601"/>
        <w:jc w:val="right"/>
        <w:rPr>
          <w:rFonts w:hint="eastAsia" w:ascii="Times New Roman" w:hAnsi="Times New Roman" w:eastAsia="仿宋_GB2312" w:cs="Mongolian Baiti"/>
          <w:color w:val="auto"/>
          <w:sz w:val="32"/>
          <w:szCs w:val="32"/>
        </w:rPr>
      </w:pPr>
    </w:p>
    <w:p>
      <w:pPr>
        <w:spacing w:line="520" w:lineRule="exact"/>
        <w:ind w:right="640" w:firstLine="601"/>
        <w:jc w:val="right"/>
        <w:rPr>
          <w:rFonts w:hint="eastAsia" w:ascii="Times New Roman" w:hAnsi="Times New Roman" w:eastAsia="仿宋_GB2312" w:cs="Mongolian Baiti"/>
          <w:color w:val="auto"/>
          <w:sz w:val="32"/>
          <w:szCs w:val="32"/>
        </w:rPr>
      </w:pPr>
    </w:p>
    <w:p>
      <w:pPr>
        <w:spacing w:line="520" w:lineRule="exact"/>
        <w:ind w:right="640" w:firstLine="601"/>
        <w:jc w:val="right"/>
        <w:rPr>
          <w:rFonts w:hint="eastAsia" w:ascii="Times New Roman" w:hAnsi="Times New Roman" w:eastAsia="仿宋_GB2312" w:cs="Mongolian Baiti"/>
          <w:color w:val="auto"/>
          <w:sz w:val="32"/>
          <w:szCs w:val="32"/>
        </w:rPr>
      </w:pPr>
    </w:p>
    <w:p>
      <w:pPr>
        <w:spacing w:line="520" w:lineRule="exact"/>
        <w:ind w:right="640" w:firstLine="601"/>
        <w:jc w:val="right"/>
        <w:rPr>
          <w:rFonts w:hint="eastAsia" w:ascii="Times New Roman" w:hAnsi="Times New Roman" w:eastAsia="仿宋_GB2312" w:cs="仿宋"/>
          <w:color w:val="auto"/>
          <w:sz w:val="32"/>
          <w:szCs w:val="32"/>
        </w:rPr>
      </w:pPr>
      <w:bookmarkStart w:id="3" w:name="DYNAMIC—DWXX—tAj_dwmc—0"/>
      <w:r>
        <w:rPr>
          <w:rFonts w:hint="eastAsia" w:ascii="Times New Roman" w:hAnsi="Times New Roman" w:eastAsia="仿宋_GB2312" w:cs="仿宋"/>
          <w:color w:val="000000"/>
          <w:sz w:val="32"/>
          <w:u w:val="none"/>
        </w:rPr>
        <w:t>乳山市市场监督管理局</w:t>
      </w:r>
      <w:bookmarkEnd w:id="3"/>
      <w:r>
        <w:rPr>
          <w:rFonts w:hint="eastAsia" w:ascii="Times New Roman" w:hAnsi="Times New Roman" w:eastAsia="仿宋_GB2312" w:cs="仿宋"/>
          <w:color w:val="000000"/>
          <w:sz w:val="32"/>
          <w:szCs w:val="32"/>
          <w:u w:val="none"/>
        </w:rPr>
        <w:t xml:space="preserve">    </w:t>
      </w:r>
    </w:p>
    <w:p>
      <w:pPr>
        <w:wordWrap w:val="0"/>
        <w:spacing w:line="520" w:lineRule="exact"/>
        <w:ind w:firstLine="601"/>
        <w:jc w:val="right"/>
        <w:outlineLvl w:val="1"/>
        <w:rPr>
          <w:rFonts w:hint="eastAsia" w:ascii="Times New Roman" w:hAnsi="Times New Roman" w:eastAsia="仿宋_GB2312" w:cs="仿宋"/>
          <w:color w:val="auto"/>
          <w:sz w:val="32"/>
          <w:szCs w:val="32"/>
        </w:rPr>
      </w:pPr>
      <w:r>
        <w:rPr>
          <w:rFonts w:hint="eastAsia" w:ascii="Times New Roman" w:hAnsi="Times New Roman" w:eastAsia="仿宋_GB2312" w:cs="仿宋"/>
          <w:color w:val="000000"/>
          <w:sz w:val="32"/>
          <w:szCs w:val="32"/>
          <w:u w:val="none"/>
        </w:rPr>
        <w:t>（印 章）</w:t>
      </w:r>
      <w:r>
        <w:rPr>
          <w:rFonts w:hint="default" w:ascii="Times New Roman" w:hAnsi="Times New Roman" w:eastAsia="仿宋_GB2312" w:cs="仿宋"/>
          <w:color w:val="000000"/>
          <w:sz w:val="32"/>
          <w:szCs w:val="32"/>
          <w:u w:val="none"/>
        </w:rPr>
        <w:t xml:space="preserve">     </w:t>
      </w:r>
    </w:p>
    <w:p>
      <w:pPr>
        <w:keepNext w:val="0"/>
        <w:keepLines w:val="0"/>
        <w:pageBreakBefore w:val="0"/>
        <w:widowControl w:val="0"/>
        <w:kinsoku/>
        <w:wordWrap w:val="0"/>
        <w:overflowPunct/>
        <w:topLinePunct w:val="0"/>
        <w:autoSpaceDE/>
        <w:autoSpaceDN/>
        <w:bidi w:val="0"/>
        <w:adjustRightInd/>
        <w:snapToGrid/>
        <w:spacing w:line="520" w:lineRule="exact"/>
        <w:ind w:right="567" w:firstLine="601"/>
        <w:jc w:val="right"/>
        <w:textAlignment w:val="auto"/>
        <w:rPr>
          <w:rFonts w:hint="eastAsia" w:ascii="仿宋_GB2312" w:hAnsi="Times New Roman" w:eastAsia="仿宋_GB2312" w:cs="仿宋"/>
          <w:color w:val="auto"/>
          <w:sz w:val="32"/>
          <w:szCs w:val="32"/>
          <w:lang w:val="en-US" w:eastAsia="zh-CN"/>
        </w:rPr>
      </w:pPr>
      <w:bookmarkStart w:id="4" w:name="CALCULATE—TIME—NOW"/>
      <w:r>
        <w:rPr>
          <w:rFonts w:ascii="仿宋_GB2312" w:hAnsi="仿宋_GB2312" w:eastAsia="仿宋_GB2312" w:cs="仿宋_GB2312"/>
          <w:sz w:val="32"/>
        </w:rPr>
        <w:t>2024年05月30日</w:t>
      </w:r>
      <w:bookmarkEnd w:id="4"/>
      <w:r>
        <w:rPr>
          <w:rFonts w:hint="eastAsia" w:ascii="仿宋_GB2312" w:hAnsi="Times New Roman" w:eastAsia="仿宋_GB2312" w:cs="仿宋"/>
          <w:color w:val="000000"/>
          <w:sz w:val="32"/>
          <w:szCs w:val="32"/>
          <w:u w:val="none"/>
          <w:lang w:val="en-US" w:eastAsia="zh-CN"/>
        </w:rPr>
        <w:t xml:space="preserve"> </w:t>
      </w:r>
    </w:p>
    <w:p>
      <w:pPr>
        <w:spacing w:line="520" w:lineRule="exact"/>
        <w:ind w:right="1120" w:firstLine="600"/>
        <w:jc w:val="right"/>
        <w:rPr>
          <w:rFonts w:hint="eastAsia" w:ascii="仿宋_GB2312" w:hAnsi="Times New Roman" w:eastAsia="仿宋_GB2312" w:cs="仿宋"/>
          <w:color w:val="auto"/>
          <w:sz w:val="32"/>
          <w:szCs w:val="32"/>
        </w:rPr>
      </w:pPr>
    </w:p>
    <w:p>
      <w:pPr>
        <w:spacing w:line="520" w:lineRule="exact"/>
        <w:ind w:right="1120"/>
        <w:jc w:val="both"/>
        <w:rPr>
          <w:rFonts w:hint="eastAsia" w:ascii="仿宋_GB2312" w:hAnsi="Times New Roman" w:eastAsia="仿宋_GB2312" w:cs="仿宋"/>
          <w:color w:val="auto"/>
          <w:sz w:val="32"/>
          <w:szCs w:val="32"/>
        </w:rPr>
      </w:pPr>
    </w:p>
    <w:p>
      <w:pPr>
        <w:spacing w:line="520" w:lineRule="exact"/>
        <w:ind w:right="1120" w:firstLine="600"/>
        <w:jc w:val="right"/>
        <w:rPr>
          <w:rFonts w:hint="eastAsia" w:ascii="仿宋_GB2312" w:hAnsi="Times New Roman" w:eastAsia="仿宋_GB2312" w:cs="仿宋"/>
          <w:color w:val="auto"/>
          <w:sz w:val="32"/>
          <w:szCs w:val="32"/>
        </w:rPr>
      </w:pPr>
    </w:p>
    <w:p>
      <w:pPr>
        <w:spacing w:line="520" w:lineRule="exact"/>
        <w:ind w:right="1120"/>
        <w:jc w:val="both"/>
        <w:rPr>
          <w:rFonts w:hint="eastAsia" w:ascii="仿宋_GB2312" w:hAnsi="Times New Roman" w:eastAsia="仿宋_GB2312" w:cs="仿宋"/>
          <w:color w:val="auto"/>
          <w:sz w:val="32"/>
          <w:szCs w:val="32"/>
        </w:rPr>
      </w:pPr>
    </w:p>
    <w:p>
      <w:pPr>
        <w:spacing w:line="520" w:lineRule="exact"/>
        <w:ind w:right="1120" w:firstLine="600"/>
        <w:jc w:val="right"/>
        <w:rPr>
          <w:rFonts w:hint="eastAsia" w:ascii="仿宋_GB2312" w:hAnsi="Times New Roman" w:eastAsia="仿宋_GB2312" w:cs="仿宋"/>
          <w:color w:val="auto"/>
          <w:sz w:val="32"/>
          <w:szCs w:val="32"/>
        </w:rPr>
      </w:pPr>
    </w:p>
    <w:p>
      <w:pPr>
        <w:spacing w:before="157" w:beforeLines="50" w:line="500" w:lineRule="exact"/>
        <w:rPr>
          <w:rFonts w:hint="eastAsia" w:ascii="Times New Roman" w:hAnsi="Times New Roman" w:eastAsia="仿宋_GB2312" w:cs="Mongolian Baiti"/>
          <w:bCs/>
          <w:color w:val="auto"/>
          <w:sz w:val="32"/>
          <w:szCs w:val="32"/>
        </w:rPr>
      </w:pPr>
      <w:r>
        <w:rPr>
          <w:rFonts w:hint="eastAsia" w:ascii="Times New Roman" w:hAnsi="Times New Roman" w:eastAsia="仿宋_GB2312"/>
          <w:color w:val="000000"/>
          <w:sz w:val="32"/>
          <w:u w:val="none"/>
        </w:rPr>
        <mc:AlternateContent>
          <mc:Choice Requires="wps">
            <w:drawing>
              <wp:anchor distT="0" distB="0" distL="114300" distR="114300" simplePos="0" relativeHeight="251661312" behindDoc="0" locked="0" layoutInCell="1" allowOverlap="1">
                <wp:simplePos x="0" y="0"/>
                <wp:positionH relativeFrom="column">
                  <wp:align>center</wp:align>
                </wp:positionH>
                <wp:positionV relativeFrom="paragraph">
                  <wp:posOffset>95250</wp:posOffset>
                </wp:positionV>
                <wp:extent cx="5550535" cy="635"/>
                <wp:effectExtent l="0" t="0" r="0" b="0"/>
                <wp:wrapNone/>
                <wp:docPr id="6" name="直接连接符 6"/>
                <wp:cNvGraphicFramePr/>
                <a:graphic xmlns:a="http://schemas.openxmlformats.org/drawingml/2006/main">
                  <a:graphicData uri="http://schemas.microsoft.com/office/word/2010/wordprocessingShape">
                    <wps:wsp>
                      <wps:cNvCnPr/>
                      <wps:spPr>
                        <a:xfrm>
                          <a:off x="0" y="0"/>
                          <a:ext cx="5550535" cy="635"/>
                        </a:xfrm>
                        <a:prstGeom prst="line">
                          <a:avLst/>
                        </a:prstGeom>
                        <a:ln w="1587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top:7.5pt;height:0.05pt;width:437.05pt;mso-position-horizontal:center;z-index:251661312;mso-width-relative:page;mso-height-relative:page;" filled="f" stroked="t" coordsize="21600,21600" o:gfxdata="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Ok99JXVAAAABgEAAA8AAAAAAAAAAQAgAAAAIgAAAGRycy9kb3ducmV2LnhtbFBLAQIU&#10;ABQAAAAIAIdO4kBjB/aj9gEAAOcDAAAOAAAAAAAAAAEAIAAAACQBAABkcnMvZTJvRG9jLnhtbFBL&#10;BQYAAAAABgAGAFkBAACMBQAAAAA=&#10;">
                <v:fill on="f" focussize="0,0"/>
                <v:stroke weight="1.25pt" color="#000000" joinstyle="round"/>
                <v:imagedata o:title=""/>
                <o:lock v:ext="edit" aspectratio="f"/>
              </v:line>
            </w:pict>
          </mc:Fallback>
        </mc:AlternateContent>
      </w:r>
      <w:r>
        <w:rPr>
          <w:rFonts w:hint="eastAsia" w:ascii="Times New Roman" w:hAnsi="Times New Roman" w:eastAsia="仿宋_GB2312" w:cs="仿宋"/>
          <w:bCs/>
          <w:color w:val="000000"/>
          <w:sz w:val="32"/>
          <w:szCs w:val="32"/>
          <w:u w:val="none"/>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5" name="直接连接符 5"/>
                <wp:cNvGraphicFramePr/>
                <a:graphic xmlns:a="http://schemas.openxmlformats.org/drawingml/2006/main">
                  <a:graphicData uri="http://schemas.microsoft.com/office/word/2010/wordprocessingShape">
                    <wps:wsp>
                      <wps:cNvCnPr/>
                      <wps:spPr>
                        <a:xfrm>
                          <a:off x="0" y="0"/>
                          <a:ext cx="5762625" cy="1270"/>
                        </a:xfrm>
                        <a:prstGeom prst="line">
                          <a:avLst/>
                        </a:prstGeom>
                        <a:ln w="9360" cap="sq"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1638.35pt;height:0.1pt;width:453.75pt;z-index:251660288;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i+/zkdcAAAAKAQAADwAAAAAAAAABACAAAAAiAAAAZHJzL2Rvd25yZXYueG1s&#10;UEsBAhQAFAAAAAgAh07iQAMebpL5AQAA5QMAAA4AAAAAAAAAAQAgAAAAJgEAAGRycy9lMm9Eb2Mu&#10;eG1sUEsFBgAAAAAGAAYAWQEAAJEFA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u w:val="none"/>
        </w:rPr>
        <w:t>本文书一式</w:t>
      </w:r>
      <w:r>
        <w:rPr>
          <w:rFonts w:hint="eastAsia" w:ascii="Times New Roman" w:hAnsi="Times New Roman" w:eastAsia="仿宋_GB2312" w:cs="仿宋"/>
          <w:color w:val="000000"/>
          <w:sz w:val="32"/>
          <w:szCs w:val="32"/>
          <w:u w:val="none"/>
          <w:lang w:eastAsia="zh-CN"/>
        </w:rPr>
        <w:t>三</w:t>
      </w:r>
      <w:r>
        <w:rPr>
          <w:rFonts w:hint="eastAsia" w:ascii="Times New Roman" w:hAnsi="Times New Roman" w:eastAsia="仿宋_GB2312" w:cs="仿宋"/>
          <w:color w:val="000000"/>
          <w:sz w:val="32"/>
          <w:szCs w:val="32"/>
          <w:u w:val="none"/>
        </w:rPr>
        <w:t>份，</w:t>
      </w:r>
      <w:r>
        <w:rPr>
          <w:rFonts w:hint="eastAsia" w:ascii="Times New Roman" w:hAnsi="Times New Roman" w:eastAsia="仿宋_GB2312" w:cs="仿宋"/>
          <w:color w:val="000000"/>
          <w:sz w:val="32"/>
          <w:szCs w:val="32"/>
          <w:u w:val="none"/>
          <w:lang w:eastAsia="zh-CN"/>
        </w:rPr>
        <w:t>一</w:t>
      </w:r>
      <w:r>
        <w:rPr>
          <w:rFonts w:hint="eastAsia" w:ascii="Times New Roman" w:hAnsi="Times New Roman" w:eastAsia="仿宋_GB2312" w:cs="仿宋"/>
          <w:color w:val="000000"/>
          <w:sz w:val="32"/>
          <w:szCs w:val="32"/>
          <w:u w:val="none"/>
        </w:rPr>
        <w:t>份送达，一份归档，</w:t>
      </w:r>
      <w:r>
        <w:rPr>
          <w:rFonts w:hint="eastAsia" w:ascii="Times New Roman" w:hAnsi="Times New Roman" w:eastAsia="仿宋_GB2312" w:cs="仿宋"/>
          <w:color w:val="000000"/>
          <w:sz w:val="32"/>
          <w:szCs w:val="32"/>
          <w:u w:val="none"/>
          <w:lang w:eastAsia="zh-CN"/>
        </w:rPr>
        <w:t>一份办案机构留存</w:t>
      </w:r>
      <w:r>
        <w:rPr>
          <w:rFonts w:hint="eastAsia" w:ascii="Times New Roman" w:hAnsi="Times New Roman" w:eastAsia="仿宋_GB2312" w:cs="仿宋"/>
          <w:color w:val="000000"/>
          <w:sz w:val="32"/>
          <w:szCs w:val="32"/>
          <w:u w:val="none"/>
        </w:rPr>
        <w:t>。</w:t>
      </w:r>
    </w:p>
    <w:p>
      <w:pPr>
        <w:keepNext w:val="0"/>
        <w:keepLines w:val="0"/>
        <w:pageBreakBefore w:val="0"/>
        <w:widowControl w:val="0"/>
        <w:kinsoku/>
        <w:wordWrap/>
        <w:overflowPunct/>
        <w:topLinePunct w:val="0"/>
        <w:autoSpaceDE/>
        <w:autoSpaceDN/>
        <w:bidi w:val="0"/>
        <w:adjustRightInd/>
        <w:snapToGrid/>
        <w:spacing w:line="20" w:lineRule="exact"/>
        <w:ind w:left="0" w:leftChars="0" w:right="0" w:rightChars="0" w:firstLine="0" w:firstLineChars="0"/>
        <w:jc w:val="both"/>
        <w:textAlignment w:val="auto"/>
        <w:outlineLvl w:val="9"/>
        <w:rPr>
          <w:color w:val="auto"/>
        </w:rPr>
      </w:pP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angal">
    <w:panose1 w:val="02040503050203030202"/>
    <w:charset w:val="00"/>
    <w:family w:val="roman"/>
    <w:pitch w:val="default"/>
    <w:sig w:usb0="00008003" w:usb1="00000000" w:usb2="00000000" w:usb3="00000000" w:csb0="00000001"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golian Baiti">
    <w:panose1 w:val="03000500000000000000"/>
    <w:charset w:val="00"/>
    <w:family w:val="script"/>
    <w:pitch w:val="default"/>
    <w:sig w:usb0="80000023" w:usb1="00000000" w:usb2="0002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宋体" w:hAnsi="宋体" w:eastAsia="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一</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2</w:t>
                          </w:r>
                          <w:r>
                            <w:rPr>
                              <w:rFonts w:hint="eastAsia" w:ascii="宋体" w:hAnsi="宋体" w:cs="宋体"/>
                              <w:sz w:val="28"/>
                              <w:szCs w:val="28"/>
                            </w:rPr>
                            <w:fldChar w:fldCharType="end"/>
                          </w:r>
                          <w:r>
                            <w:rPr>
                              <w:rFonts w:hint="eastAsia" w:ascii="宋体" w:hAnsi="宋体" w:cs="宋体"/>
                              <w:sz w:val="28"/>
                              <w:szCs w:val="28"/>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ascii="宋体" w:hAnsi="宋体" w:eastAsia="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一</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2</w:t>
                    </w:r>
                    <w:r>
                      <w:rPr>
                        <w:rFonts w:hint="eastAsia" w:ascii="宋体" w:hAnsi="宋体" w:cs="宋体"/>
                        <w:sz w:val="28"/>
                        <w:szCs w:val="28"/>
                      </w:rPr>
                      <w:fldChar w:fldCharType="end"/>
                    </w:r>
                    <w:r>
                      <w:rPr>
                        <w:rFonts w:hint="eastAsia" w:ascii="宋体" w:hAnsi="宋体" w:cs="宋体"/>
                        <w:sz w:val="28"/>
                        <w:szCs w:val="28"/>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multilevel"/>
    <w:tmpl w:val="00000008"/>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000000A"/>
    <w:multiLevelType w:val="multilevel"/>
    <w:tmpl w:val="0000000A"/>
    <w:lvl w:ilvl="0" w:tentative="0">
      <w:start w:val="1"/>
      <w:numFmt w:val="none"/>
      <w:pStyle w:val="2"/>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YyMmQ3YzVkNDNlMmI4YjUxODFmYzFkZWFhN2U3NDUifQ=="/>
    <w:docVar w:name="KSO_WPS_MARK_KEY" w:val="3c6a7642-80e0-4086-acf5-8eac6f5bf662"/>
  </w:docVars>
  <w:rsids>
    <w:rsidRoot w:val="5BA419F7"/>
    <w:rsid w:val="0826168A"/>
    <w:rsid w:val="099A1FA0"/>
    <w:rsid w:val="0EF97BEC"/>
    <w:rsid w:val="0F3A0857"/>
    <w:rsid w:val="0F7E45C4"/>
    <w:rsid w:val="13D47795"/>
    <w:rsid w:val="143E1E38"/>
    <w:rsid w:val="152E563E"/>
    <w:rsid w:val="1E2A308C"/>
    <w:rsid w:val="1F8D46D8"/>
    <w:rsid w:val="23BC3EB3"/>
    <w:rsid w:val="24D95404"/>
    <w:rsid w:val="2DE10173"/>
    <w:rsid w:val="32413C8F"/>
    <w:rsid w:val="32D76A6C"/>
    <w:rsid w:val="333B6EE8"/>
    <w:rsid w:val="33447BC1"/>
    <w:rsid w:val="33793162"/>
    <w:rsid w:val="348722BC"/>
    <w:rsid w:val="3A8A0DC9"/>
    <w:rsid w:val="3C244CA0"/>
    <w:rsid w:val="3DBF2620"/>
    <w:rsid w:val="3F5C36FF"/>
    <w:rsid w:val="3FBE01FB"/>
    <w:rsid w:val="3FFF4CEC"/>
    <w:rsid w:val="42845635"/>
    <w:rsid w:val="44384F4C"/>
    <w:rsid w:val="44775C1F"/>
    <w:rsid w:val="496F3588"/>
    <w:rsid w:val="4EDA0F68"/>
    <w:rsid w:val="58FC7EFD"/>
    <w:rsid w:val="5BA419F7"/>
    <w:rsid w:val="5C8F50CD"/>
    <w:rsid w:val="5D7E7967"/>
    <w:rsid w:val="607B2305"/>
    <w:rsid w:val="612E7E8C"/>
    <w:rsid w:val="65DE7711"/>
    <w:rsid w:val="6DDF8BBA"/>
    <w:rsid w:val="6E7FCB90"/>
    <w:rsid w:val="6FED452A"/>
    <w:rsid w:val="732108F2"/>
    <w:rsid w:val="73227AD9"/>
    <w:rsid w:val="73C0428B"/>
    <w:rsid w:val="756A176A"/>
    <w:rsid w:val="7BA22844"/>
    <w:rsid w:val="7FD7BE73"/>
    <w:rsid w:val="BF965547"/>
    <w:rsid w:val="BFFD87AA"/>
    <w:rsid w:val="D7FF1B27"/>
    <w:rsid w:val="DA76FE71"/>
    <w:rsid w:val="DF9F7CF4"/>
    <w:rsid w:val="DFBFF95F"/>
    <w:rsid w:val="DFF944AD"/>
    <w:rsid w:val="EFFCA455"/>
    <w:rsid w:val="F7EC5959"/>
    <w:rsid w:val="FBFEF6F3"/>
    <w:rsid w:val="FDEF9929"/>
    <w:rsid w:val="FFDEF5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spacing w:before="240" w:after="120"/>
      <w:jc w:val="left"/>
      <w:outlineLvl w:val="0"/>
    </w:pPr>
    <w:rPr>
      <w:rFonts w:ascii="Times New Roman" w:hAnsi="Times New Roman" w:cs="Mangal"/>
      <w:color w:val="00000A"/>
      <w:sz w:val="24"/>
      <w:lang w:val="zh-CN" w:bidi="hi-I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1205</Words>
  <Characters>1280</Characters>
  <Lines>0</Lines>
  <Paragraphs>0</Paragraphs>
  <TotalTime>1</TotalTime>
  <ScaleCrop>false</ScaleCrop>
  <LinksUpToDate>false</LinksUpToDate>
  <CharactersWithSpaces>1335</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2021-07-27T02:04:00Z</dcterms:created>
  <dc:creator>胖林宝宝噜啦噜～</dc:creator>
  <cp:lastModifiedBy>刘玉智</cp:lastModifiedBy>
  <dcterms:modified xsi:type="dcterms:W3CDTF">2024-06-21T07:28:12Z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263A4670E59C4E1BAD96156740FAF5E9_13</vt:lpwstr>
  </property>
</Properties>
</file>