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951C7B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1367DA87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47D7D7EC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5BEEC753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269FD9A9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0C2BEF23">
      <w:pPr>
        <w:pStyle w:val="2"/>
        <w:bidi w:val="0"/>
        <w:rPr>
          <w:rFonts w:hint="eastAsia"/>
          <w:highlight w:val="none"/>
        </w:rPr>
      </w:pPr>
    </w:p>
    <w:p w14:paraId="73502DCE">
      <w:pPr>
        <w:pStyle w:val="2"/>
        <w:bidi w:val="0"/>
        <w:rPr>
          <w:rFonts w:hint="eastAsia"/>
          <w:highlight w:val="none"/>
        </w:rPr>
      </w:pPr>
    </w:p>
    <w:p w14:paraId="1024E918">
      <w:pPr>
        <w:pStyle w:val="2"/>
        <w:bidi w:val="0"/>
        <w:rPr>
          <w:rFonts w:hint="eastAsia"/>
          <w:highlight w:val="none"/>
        </w:rPr>
      </w:pPr>
      <w:r>
        <w:rPr>
          <w:rFonts w:hint="eastAsia"/>
          <w:highlight w:val="none"/>
          <w:lang w:eastAsia="zh-CN"/>
        </w:rPr>
        <w:t>南泓</w:t>
      </w:r>
      <w:r>
        <w:rPr>
          <w:rFonts w:hint="eastAsia"/>
          <w:highlight w:val="none"/>
        </w:rPr>
        <w:t>渔港管理章程</w:t>
      </w:r>
    </w:p>
    <w:p w14:paraId="5D4989F1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46CA6F1D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60F95493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3DDF9F02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5EDCBE60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31E0BF4F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25B5A402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05563038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3D66356C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6E2A05CE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03245979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0CBD8843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3FCC3AEF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74B1FA16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049B78FC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7708B664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6CB7DB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60" w:leftChars="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编制：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乳山市金海蓝湾综合开发有限公司</w:t>
      </w:r>
    </w:p>
    <w:p w14:paraId="741927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60" w:leftChars="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审核：乳山市海洋发展局</w:t>
      </w:r>
    </w:p>
    <w:p w14:paraId="1C9686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60" w:leftChars="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发布：乳山市人民政府</w:t>
      </w:r>
    </w:p>
    <w:p w14:paraId="68E3B1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60" w:leftChars="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时间：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 w14:paraId="3EEDAC24">
      <w:pPr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019F60E9">
      <w:pPr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17FF2BE">
      <w:pPr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7688C143">
      <w:pPr>
        <w:pStyle w:val="2"/>
        <w:bidi w:val="0"/>
        <w:rPr>
          <w:rFonts w:hint="eastAsia"/>
          <w:highlight w:val="none"/>
        </w:rPr>
      </w:pPr>
      <w:r>
        <w:rPr>
          <w:rFonts w:hint="eastAsia"/>
          <w:highlight w:val="none"/>
        </w:rPr>
        <w:t>目  录</w:t>
      </w:r>
    </w:p>
    <w:p w14:paraId="1197BA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711E66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第一章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总  则</w:t>
      </w:r>
    </w:p>
    <w:p w14:paraId="52A20E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第二章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渔港概况</w:t>
      </w:r>
    </w:p>
    <w:p w14:paraId="5961A5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第三章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渔港管理机构</w:t>
      </w:r>
    </w:p>
    <w:p w14:paraId="52ED5A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第四章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渔港设施</w:t>
      </w:r>
    </w:p>
    <w:p w14:paraId="52D4B3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第五章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渔船进出港</w:t>
      </w:r>
    </w:p>
    <w:p w14:paraId="1E3A2B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第六章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渔船停泊和作业</w:t>
      </w:r>
    </w:p>
    <w:p w14:paraId="3A818D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第七章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渔港经营与服务</w:t>
      </w:r>
    </w:p>
    <w:p w14:paraId="2216D0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第八章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渔港安全与环境保护</w:t>
      </w:r>
    </w:p>
    <w:p w14:paraId="56E1E5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第九章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渔港应急事件处置</w:t>
      </w:r>
    </w:p>
    <w:p w14:paraId="534394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第十章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禁止与限制性规定</w:t>
      </w:r>
    </w:p>
    <w:p w14:paraId="34BBA3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第十一章  附  则</w:t>
      </w:r>
    </w:p>
    <w:p w14:paraId="2BABF1C9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752C071E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575CAA32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7B613A8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6BFFDCF8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EE07EF3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1A4D812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5752FC1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08FFDA7E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3F575160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1C344435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6A9DE495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18D60641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68C081A0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097EBF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  <w:sectPr>
          <w:headerReference r:id="rId3" w:type="default"/>
          <w:footerReference r:id="rId4" w:type="default"/>
          <w:pgSz w:w="11905" w:h="16838"/>
          <w:pgMar w:top="1270" w:right="1080" w:bottom="1270" w:left="1080" w:header="720" w:footer="720" w:gutter="0"/>
          <w:pgNumType w:fmt="decimal" w:start="1"/>
          <w:cols w:space="0" w:num="1"/>
          <w:rtlGutter w:val="0"/>
          <w:docGrid w:linePitch="360" w:charSpace="0"/>
        </w:sectPr>
      </w:pPr>
    </w:p>
    <w:p w14:paraId="12F4CA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第一章 总 则</w:t>
      </w:r>
    </w:p>
    <w:p w14:paraId="0A5479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第一条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为了加强渔港管理，保障渔港生产安全，维护渔港 经营秩序，依据《中华人民共和国渔港水域交通安全管理条例》《山东省渔业港口和渔业船舶管理条例》《山东省规范海洋渔业船舶捕捞规定》，结合本港实际，制定本章程。</w:t>
      </w:r>
    </w:p>
    <w:p w14:paraId="2EEF2B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在本港从事生产经营活动以及进入港区的船舶、设施、车辆和人员，应当遵守本章程。</w:t>
      </w:r>
    </w:p>
    <w:p w14:paraId="1860F2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</w:rPr>
        <w:t>第二章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</w:rPr>
        <w:t>渔港概况</w:t>
      </w:r>
    </w:p>
    <w:p w14:paraId="07D877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第三条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本港隶属乳山市育犁农业发展集团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有限公司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南泓渔港位于海阳所镇南泓南村东海岸。南泓渔港东临黄海，地处青岛港、海阳港和石岛港之间，水陆交通方便，水路东至石岛港50海里，西至青岛港90海里，陆路距乳山市区26公里，可与牟乳、青威、潍石公路相接，距桃威铁路40公里。</w:t>
      </w:r>
    </w:p>
    <w:p w14:paraId="211653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本港处于中纬度地区，属东亚暖温带季风气候，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四季分明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，终年不冻。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潮汐为规则半日潮，最大潮差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4.31米，最小潮差0.49米。</w:t>
      </w:r>
    </w:p>
    <w:p w14:paraId="0CAC92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南泓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渔港陆域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总面积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面积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20.97</w:t>
      </w:r>
      <w:r>
        <w:rPr>
          <w:rFonts w:hint="eastAsia" w:eastAsia="仿宋_GB2312"/>
          <w:color w:val="auto"/>
          <w:sz w:val="32"/>
          <w:szCs w:val="32"/>
          <w:highlight w:val="none"/>
        </w:rPr>
        <w:t>万平方米</w:t>
      </w:r>
      <w:r>
        <w:rPr>
          <w:rFonts w:hint="eastAsia"/>
          <w:color w:val="auto"/>
          <w:sz w:val="32"/>
          <w:szCs w:val="32"/>
          <w:highlight w:val="none"/>
          <w:lang w:eastAsia="zh-CN"/>
        </w:rPr>
        <w:t>，其中北侧陆域面积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13.01万平方米，为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BL1-BL2-BL3-BL4-BL5-BL6-BL7-BL8-BL9-BL10-BL11-BL12-BL13-BL1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连线以内的区域；南侧陆域面积7.96万平方米，为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NL1-NL2-NL3-NL4-NL5-NL6-NL7-NL8-NL9-NL10-NL11-NL12-NL13-NL14-NL15-NL16-NL17-NL18-NL19-NL20-NL21-NL22-NL23-NL24-NL25-NL26-NL27-NL1</w:t>
      </w:r>
      <w:r>
        <w:rPr>
          <w:rFonts w:hint="eastAsia"/>
          <w:color w:val="auto"/>
          <w:sz w:val="32"/>
          <w:szCs w:val="32"/>
          <w:highlight w:val="none"/>
          <w:lang w:val="en-US" w:eastAsia="zh-CN"/>
        </w:rPr>
        <w:t>连线以内的区域</w:t>
      </w:r>
      <w:r>
        <w:rPr>
          <w:rFonts w:hint="eastAsia"/>
          <w:color w:val="auto"/>
          <w:sz w:val="32"/>
          <w:szCs w:val="32"/>
          <w:highlight w:val="none"/>
          <w:lang w:eastAsia="zh-CN"/>
        </w:rPr>
        <w:t>。</w:t>
      </w:r>
    </w:p>
    <w:p w14:paraId="0907CE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hAnsi="宋体" w:eastAsia="仿宋_GB2312"/>
          <w:color w:val="auto"/>
          <w:sz w:val="32"/>
          <w:szCs w:val="36"/>
          <w:highlight w:val="none"/>
          <w:lang w:eastAsia="zh-CN"/>
        </w:rPr>
      </w:pPr>
      <w:r>
        <w:rPr>
          <w:rFonts w:hint="eastAsia" w:hAnsi="宋体"/>
          <w:color w:val="auto"/>
          <w:sz w:val="32"/>
          <w:szCs w:val="36"/>
          <w:highlight w:val="none"/>
          <w:lang w:eastAsia="zh-CN"/>
        </w:rPr>
        <w:t>（一）北侧</w:t>
      </w:r>
      <w:r>
        <w:rPr>
          <w:rFonts w:hint="eastAsia" w:hAnsi="宋体"/>
          <w:color w:val="auto"/>
          <w:sz w:val="32"/>
          <w:szCs w:val="36"/>
          <w:highlight w:val="none"/>
        </w:rPr>
        <w:t>陆域控制点坐标</w:t>
      </w:r>
    </w:p>
    <w:p w14:paraId="26272B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121°37′23.57″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36°46′06.35″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0A2630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121°37′24.63″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36°46′08.99″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66B4A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121°37′26.35″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36°46′12.42″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BE0BC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121°37′28.86″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36°46′12.54″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491AB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121°37′30.07″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36°46′12.02″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64FFB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6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121°37′30.81″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36°46′12.35″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6371C0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7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121°37′28.98″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36°46′14.59″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9A5AA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8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121°37′31.52″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36°46′16.08″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5DBD58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9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121°37′29.78″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36°46′22.87″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1955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10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121°37′16.41″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36°46′20.13″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5BC9D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121°37′16.79″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36°46′12.35″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452F2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121°37′18.26″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36°46′06.78″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A434D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BL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121°37′23.51″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36°46′06.36″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N。</w:t>
      </w:r>
    </w:p>
    <w:p w14:paraId="0C9CEA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hAnsi="宋体" w:eastAsia="仿宋_GB2312"/>
          <w:color w:val="auto"/>
          <w:sz w:val="32"/>
          <w:szCs w:val="36"/>
          <w:highlight w:val="none"/>
          <w:lang w:eastAsia="zh-CN"/>
        </w:rPr>
      </w:pPr>
      <w:r>
        <w:rPr>
          <w:rFonts w:hint="eastAsia" w:hAnsi="宋体"/>
          <w:color w:val="auto"/>
          <w:sz w:val="32"/>
          <w:szCs w:val="36"/>
          <w:highlight w:val="none"/>
          <w:lang w:eastAsia="zh-CN"/>
        </w:rPr>
        <w:t>（二）南侧</w:t>
      </w:r>
      <w:r>
        <w:rPr>
          <w:rFonts w:hint="eastAsia" w:hAnsi="宋体"/>
          <w:color w:val="auto"/>
          <w:sz w:val="32"/>
          <w:szCs w:val="36"/>
          <w:highlight w:val="none"/>
        </w:rPr>
        <w:t>陆域控制点坐标</w:t>
      </w:r>
    </w:p>
    <w:p w14:paraId="4F04D2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NL1：121°37′31.53″E、36°45′55.93″N；</w:t>
      </w:r>
    </w:p>
    <w:p w14:paraId="45D74F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NL2：121°37′31.68″E、36°45′55.28″N；</w:t>
      </w:r>
    </w:p>
    <w:p w14:paraId="635FFE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NL3：121°37′24.75″E、36°45′53.80″N；</w:t>
      </w:r>
    </w:p>
    <w:p w14:paraId="7EDF55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NL4：121°37′25.19″E、36°45′51.34″N；</w:t>
      </w:r>
    </w:p>
    <w:p w14:paraId="02FF65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NL5：121°37′26.32″E、36°45′48.21″N；</w:t>
      </w:r>
    </w:p>
    <w:p w14:paraId="5991A3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NL6：121°37′27.82″E、36°45′45.85″N；</w:t>
      </w:r>
    </w:p>
    <w:p w14:paraId="47E87A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NL7：121°37′29.84″E、36°45′45.92″N；</w:t>
      </w:r>
    </w:p>
    <w:p w14:paraId="487098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NL8：121°37′31.06″E、36°45′44.97″N；</w:t>
      </w:r>
    </w:p>
    <w:p w14:paraId="009AFB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NL9：121°37′29.08″E、36°45′42.90″N；</w:t>
      </w:r>
    </w:p>
    <w:p w14:paraId="6C1513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NL10：121°37′28.06″E、36°45′42.36″N；</w:t>
      </w:r>
    </w:p>
    <w:p w14:paraId="347040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NL11：121°37′25.18″E、36°45′40.63″N；</w:t>
      </w:r>
    </w:p>
    <w:p w14:paraId="3D8CAF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NL12：121°37′22.32″E、36°45′44.79″N；</w:t>
      </w:r>
    </w:p>
    <w:p w14:paraId="59F5B9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NL13：121°37′21.97″E、36°45′44.76″N；</w:t>
      </w:r>
    </w:p>
    <w:p w14:paraId="1CC39A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NL14：121°37′20.57″E、36°45′44.13″N；</w:t>
      </w:r>
    </w:p>
    <w:p w14:paraId="1EF90E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NL15：121°37′19.47″E、36°45′44.84″N；</w:t>
      </w:r>
    </w:p>
    <w:p w14:paraId="308D56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NL16：121°37′21.44″E、36°45′46.37″N；</w:t>
      </w:r>
    </w:p>
    <w:p w14:paraId="0E8A85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NL17：121°37′18.54″E、36°45′51.35″N；</w:t>
      </w:r>
    </w:p>
    <w:p w14:paraId="3D2E7F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NL18：121°37′17.67″E、36°45′54.31″N；</w:t>
      </w:r>
    </w:p>
    <w:p w14:paraId="753F9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NL19：121°37′17.31″E、36°45′56.02″N；</w:t>
      </w:r>
    </w:p>
    <w:p w14:paraId="6D82BB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NL20：121°37′17.52″E、36°45′56.92″N；</w:t>
      </w:r>
    </w:p>
    <w:p w14:paraId="412144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NL21：121°37′21.69″E、36°45′56.50″N；</w:t>
      </w:r>
    </w:p>
    <w:p w14:paraId="61512A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NL22：121°37′22.46″E、36°45′55.45″N；</w:t>
      </w:r>
    </w:p>
    <w:p w14:paraId="27954E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NL23：121°37′23.65″E、36°45′55.82″N；</w:t>
      </w:r>
    </w:p>
    <w:p w14:paraId="5706C8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NL24：121°37′24.67″E、36°45′54.36″N；</w:t>
      </w:r>
    </w:p>
    <w:p w14:paraId="743FFB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NL25：121°37′27.34″E、36°45′54.87″N；</w:t>
      </w:r>
    </w:p>
    <w:p w14:paraId="0870D4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NL26：121°37′27.60″E、36°45′55.17″N；</w:t>
      </w:r>
    </w:p>
    <w:p w14:paraId="71A155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NL27：121°37′31.52″E、36°45′55.93″N。</w:t>
      </w:r>
    </w:p>
    <w:p w14:paraId="00DE88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Cs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南泓渔港水域面积6.88万平方米。</w:t>
      </w:r>
      <w:r>
        <w:rPr>
          <w:rFonts w:hint="eastAsia" w:ascii="仿宋_GB2312" w:hAnsi="仿宋_GB2312" w:eastAsia="仿宋_GB2312" w:cs="仿宋_GB2312"/>
          <w:bCs w:val="0"/>
          <w:kern w:val="2"/>
          <w:sz w:val="32"/>
          <w:szCs w:val="32"/>
          <w:highlight w:val="none"/>
          <w:lang w:val="en-US" w:eastAsia="zh-CN" w:bidi="ar-SA"/>
        </w:rPr>
        <w:t>渔港水域控制点坐标</w:t>
      </w:r>
      <w:r>
        <w:rPr>
          <w:rFonts w:hint="eastAsia" w:ascii="仿宋_GB2312" w:hAnsi="仿宋_GB2312" w:cs="仿宋_GB2312"/>
          <w:bCs w:val="0"/>
          <w:kern w:val="2"/>
          <w:sz w:val="32"/>
          <w:szCs w:val="32"/>
          <w:highlight w:val="none"/>
          <w:lang w:val="en-US" w:eastAsia="zh-CN" w:bidi="ar-SA"/>
        </w:rPr>
        <w:t>：</w:t>
      </w:r>
    </w:p>
    <w:p w14:paraId="2B5EB93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121°37′31.53″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36°45′55.93″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5048618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121°37′31.68″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36°45′55.28″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2914AF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121°37′24.75″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36°45′53.80″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7E436A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121°37′25.19″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36°45′51.34″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1E21D0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121°37′26.32″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36°45′48.21″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391A83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S6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121°37′27.82″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36°45′45.85″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AADA12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S7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121°37′35.33″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36°45′51.08″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B0D727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S8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121°37′33.10″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36°45′58.69″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4A93C7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S9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121°37′21.69″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36°45′56.50″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4306FE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S10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121°37′22.46″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36°45′55.45″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CB7AEC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121°37′23.65″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36°45′55.82″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5C45E6F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121°37′24.67″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36°45′54.36″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FE49C2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121°37′27.34″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36°45′54.87″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BFD3D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121°37′27.60″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36°45′55.17″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F808DD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121°37′31.52″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36°45′55.93″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N。</w:t>
      </w:r>
    </w:p>
    <w:p w14:paraId="5426F6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第三章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渔港管理机构</w:t>
      </w:r>
    </w:p>
    <w:p w14:paraId="4CABFC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 xml:space="preserve">条 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市海洋发展局是本港的行政管理部门，负责组织编制渔港管理章程，对渔港安全和经营实施监督管理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负责指导监督航标规划、建设及维护管理；负责参与渔业船舶水上交通事故、渔事纠纷的调查处理，参与海上抢险救助；负责渔业港口管理建设、认定、经营许可审核等工作。</w:t>
      </w:r>
    </w:p>
    <w:p w14:paraId="48F1BB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 xml:space="preserve">条 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乳山市海洋发展局在</w:t>
      </w:r>
      <w:r>
        <w:rPr>
          <w:rFonts w:hint="eastAsia" w:ascii="仿宋_GB2312" w:hAnsi="仿宋_GB2312" w:cs="仿宋_GB2312"/>
          <w:b w:val="0"/>
          <w:bCs w:val="0"/>
          <w:sz w:val="32"/>
          <w:szCs w:val="32"/>
          <w:highlight w:val="none"/>
          <w:lang w:eastAsia="zh-CN"/>
        </w:rPr>
        <w:t>南泓渔港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设有乳山市</w:t>
      </w:r>
      <w:r>
        <w:rPr>
          <w:rFonts w:hint="eastAsia" w:ascii="仿宋_GB2312" w:hAnsi="仿宋_GB2312" w:cs="仿宋_GB2312"/>
          <w:b w:val="0"/>
          <w:bCs w:val="0"/>
          <w:sz w:val="32"/>
          <w:szCs w:val="32"/>
          <w:highlight w:val="none"/>
          <w:lang w:eastAsia="zh-CN"/>
        </w:rPr>
        <w:t>南泓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渔港渔船管理站，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具体负责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本港水域交通安全与防污染监管，开展渔船渔港安全监督检查工作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负责港区内安全管理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。</w:t>
      </w:r>
    </w:p>
    <w:p w14:paraId="46B177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威海市公安局海岸警察支队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海阳所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派出所负责本港治安管理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。</w:t>
      </w:r>
    </w:p>
    <w:p w14:paraId="2C9850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第四章 渔港设施</w:t>
      </w:r>
    </w:p>
    <w:p w14:paraId="2A5A2A2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本港码头总长381米，设计泊位9个，前沿顶面高程+3.0米，前沿水深-3.0米，最大可靠泊150吨级船舶。1-5、7号泊位为渔获物装卸泊位，6号泊位为加油泊位，8号泊位为渔船临时维修泊位，9号泊位为加冰泊位。</w:t>
      </w:r>
    </w:p>
    <w:p w14:paraId="17AF31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第五章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渔船进出港</w:t>
      </w:r>
    </w:p>
    <w:p w14:paraId="6171EA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本港专门为渔业生产服务。未经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同意，非渔船不得进入本港。</w:t>
      </w:r>
    </w:p>
    <w:p w14:paraId="1EF135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拟进出本港的渔船应当使用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规定的系统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报告，并采用适当方式向本港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报告船名、进出港时间、进出港目的等。</w:t>
      </w:r>
    </w:p>
    <w:p w14:paraId="4CAA3A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渔船进出港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靠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右侧航行，航速不得超过5节。进港船避让出港船，小型船避让大型船，机动船避让非机动船；拖带船、驳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及其他物体应当显示拖带信号，采用旁拖方式，旁拖船数不得超过两艘；拖带舢板、小艇可采用尾拖方式，保持拖缆牢固。</w:t>
      </w:r>
    </w:p>
    <w:p w14:paraId="1AA9FE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渔船进港后和出港前，应当在指定泊位停泊，泊稳后通知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登记进出港信息，登记完成后，方可进行码头作业或者驶离码头。</w:t>
      </w:r>
    </w:p>
    <w:p w14:paraId="0B5AA2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登记渔船进出港信息，应当使用全省统一的渔船进出港登记系统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如实填报渔船数据，发现进出港渔船有下列情形之一的，立即向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报告，并限制渔船离港：</w:t>
      </w:r>
    </w:p>
    <w:p w14:paraId="69905A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进出港登记检查不合格的；</w:t>
      </w:r>
    </w:p>
    <w:p w14:paraId="742C5D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违反休渔管理规定的；</w:t>
      </w:r>
    </w:p>
    <w:p w14:paraId="66884D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禁止离港或者扣押期间离港的；</w:t>
      </w:r>
    </w:p>
    <w:p w14:paraId="4135D1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被渔业行政主管部门通报核查的。</w:t>
      </w:r>
    </w:p>
    <w:p w14:paraId="6108A5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登记渔船进港信息，应当核验渔船身份，查验渔船证书，校验船名、船名牌、船籍港等是否与渔船证书记载相符，利用渔船进出港登记信息系统核实渔船船位是否在本港。</w:t>
      </w:r>
    </w:p>
    <w:p w14:paraId="60505D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登记渔船出港信息，应当检查渔船安全状况，具体包括：</w:t>
      </w:r>
    </w:p>
    <w:p w14:paraId="38AD0B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职务船员配备、船员持证以及是否超员；</w:t>
      </w:r>
    </w:p>
    <w:p w14:paraId="675416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救生消防设备是否齐全有效；</w:t>
      </w:r>
    </w:p>
    <w:p w14:paraId="3919CC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AIS、北斗设备完好性及注册信息准确性。</w:t>
      </w:r>
    </w:p>
    <w:p w14:paraId="0554A7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禁渔期内，未经渔业主管部门批准，休渔渔船不得进出本港。</w:t>
      </w:r>
    </w:p>
    <w:p w14:paraId="4C6B01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第六章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渔船停泊和作业</w:t>
      </w:r>
    </w:p>
    <w:p w14:paraId="0243C7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渔船进入本港后，应当及时向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报告动态，服从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调度和指挥，在指定地点停泊或者作业。</w:t>
      </w:r>
    </w:p>
    <w:p w14:paraId="72BEE9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应当根据船舶种类、码头作业类别以及泊位功能等合理安排渔船停泊或者作业泊位。</w:t>
      </w:r>
    </w:p>
    <w:p w14:paraId="0D7DF4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第二十条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渔船停泊应当留有紧急疏散通道，系泊方式可采用单船单锚或者多船并排单锚。</w:t>
      </w:r>
    </w:p>
    <w:p w14:paraId="32787A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渔船停泊期间，应当留足值班船员，及时应对突发事件。</w:t>
      </w:r>
    </w:p>
    <w:p w14:paraId="662B37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color w:val="0000FF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渔船在本港装卸渔获物的，应报告渔获物品种、数量等信息。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船载渔获物应当采用箱装或者袋装方式上岸。使用移动式链条运输机等起重机械装卸的，须向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报备；作业期间，船方应当指定专人做好现场安全防护，防止无关人员靠近作业区域。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渔获物在本港上交易时，有溯源管理要求的，应取得相关合法标签。</w:t>
      </w:r>
    </w:p>
    <w:p w14:paraId="2294BF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进港装运渔获物的车辆应当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根据相关收费标准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，缴纳货物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费，并经本港门卫查验缴费单据后，方可离港。</w:t>
      </w:r>
    </w:p>
    <w:p w14:paraId="38C142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渔船进行电焊、气焊、喷灯等明火作业，须向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报备。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应当查验承接作业单位资质、作业人员资质、作业周边环境等是否符合国家有关规定和技术标准要求。</w:t>
      </w:r>
    </w:p>
    <w:p w14:paraId="525E86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明火作业期间，施工方及船方应当加强现场值守，划定作业隔离区，配备相应的应急消防设备。</w:t>
      </w:r>
    </w:p>
    <w:p w14:paraId="630E92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渔船加油须向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报备。使用加油车辆加油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的，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加油车辆应当经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检查，核验并登记加油车辆、驾驶人员、操作人员资质以及受油船舶信息，留存油品来源证明。</w:t>
      </w:r>
    </w:p>
    <w:p w14:paraId="01A434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渔船加油期间，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应当加强现场安全管理，配备相应的应急消防和防治污染设备。</w:t>
      </w:r>
    </w:p>
    <w:p w14:paraId="469E62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二十六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渔船进行潜水割摆作业，须向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报备。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应当加强作业现场管理，防止其他船舶靠近作业区域；船方应当安排人员值守，保障作业安全。</w:t>
      </w:r>
    </w:p>
    <w:p w14:paraId="2D77BE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二十七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渔船结束码头作业，应当立即驶离，在指定地点停泊，不得长时间占用作业泊位。</w:t>
      </w:r>
    </w:p>
    <w:p w14:paraId="6E6D2B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第七章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渔港经营与服务</w:t>
      </w:r>
    </w:p>
    <w:p w14:paraId="1229BD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二十八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在本港从事经营活动，应当遵守有关法律、法规和规章的规定，为客户提供公平、良好服务，不得强买强卖或者为涉渔“三无”船舶提供服务。</w:t>
      </w:r>
    </w:p>
    <w:p w14:paraId="463D01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二十九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本港经营人为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乳山市金海蓝湾综合开发有限公司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，已取得威海市海洋发展局颁发的《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渔业港口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经营许可证》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内设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南泓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服务中心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具体负责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管理。</w:t>
      </w:r>
    </w:p>
    <w:p w14:paraId="12381D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第三十条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渔港经营人应当加强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管理，维护港区生产经营秩序，定期维护渔港设施，保障设施正常运行。本港可为到港渔船提供下列经营项目：</w:t>
      </w:r>
    </w:p>
    <w:p w14:paraId="6C509E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（一）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渔获物装卸、交易；</w:t>
      </w:r>
    </w:p>
    <w:p w14:paraId="3F44ED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岸电使用；</w:t>
      </w:r>
    </w:p>
    <w:p w14:paraId="1B2B2B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（三）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溢油防治。</w:t>
      </w:r>
    </w:p>
    <w:p w14:paraId="699598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本港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经营收费项目和收费标准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按照有关部门批文执行，并在渔港服务中心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公示。</w:t>
      </w:r>
    </w:p>
    <w:p w14:paraId="25580E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第三十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南邻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乳山市龙海渔船修造厂，可为到港渔船提供维修服务。拥有修船坞道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条，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可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维修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>27米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以下船舶。</w:t>
      </w:r>
    </w:p>
    <w:p w14:paraId="0E5885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本港之外的单位进入本港为渔船提供燃油补给、渔获物装卸等经营活动，须经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同意；作业过程中，应当服从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调度和指挥。</w:t>
      </w:r>
    </w:p>
    <w:p w14:paraId="1F3490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第八章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渔港安全与环境保护</w:t>
      </w:r>
    </w:p>
    <w:p w14:paraId="5DC64A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本港从事生产经营活动的单位、船舶和人员应当接受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市海洋发展局依法实施的安全监督检查，不得拒绝、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阻挠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或者隐匿、谎报有关情况和资料。</w:t>
      </w:r>
    </w:p>
    <w:p w14:paraId="63E144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乳山市金海蓝湾综合开发有限公司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是本港安全生产的责任主体，负有组织机构保障、规章制度保障、安全生产投入保障、教育培训保障、安全管理保障、事故报告和应急救援等主体责任。</w:t>
      </w:r>
    </w:p>
    <w:p w14:paraId="7F0268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任何单位和个人不得破坏渔港设施。船舶触碰航道浮标，应当立即向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报告；造成损坏的，承担相应的赔偿责任。</w:t>
      </w:r>
    </w:p>
    <w:p w14:paraId="499E00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color w:val="auto"/>
          <w:sz w:val="32"/>
          <w:szCs w:val="32"/>
          <w:highlight w:val="none"/>
          <w:lang w:eastAsia="zh-CN"/>
        </w:rPr>
        <w:t>三十六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本港码头前水域波高大于0.5米时，任何渔船不得进行码头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装卸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作业。</w:t>
      </w:r>
    </w:p>
    <w:p w14:paraId="53EF6A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车辆进入港区应当谨慎通行，限速20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K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m/h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除公务车辆和码头作业车辆外，其他车辆不得驶入码头，在指定的停车场所停放。</w:t>
      </w:r>
    </w:p>
    <w:p w14:paraId="728271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在本港水域新建、改建、扩建各种设施，或者进行其他水上水下作业，施工单位应当依法向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申请通航安全审核，取得《渔业港口水上水下作业许可证》。</w:t>
      </w:r>
    </w:p>
    <w:p w14:paraId="4BBC87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施工单位应当按照许可的时间、范围作业；必要时，可向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申请划定作业安全区和设置专用航标；作业结束，及时清除碍航物。</w:t>
      </w:r>
    </w:p>
    <w:p w14:paraId="339F4A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在本港水域遗留碍航物的所有人、经营人或者管理人，应当及时设置警示标志，向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报告碍航物的名称、形状、尺寸、位置和深度等信息，并在其限定的期限内打捞清除。</w:t>
      </w:r>
    </w:p>
    <w:p w14:paraId="4883D1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第四十条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到港船舶发生火灾事故，应当立即向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接报后，应当迅速组织救援，疏散事发区域船舶和人员。</w:t>
      </w:r>
    </w:p>
    <w:p w14:paraId="27165C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第四十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渔港经营人应当制定防治渔港水域污染的管理制度，配备污染物接收、处理设施，并采取有效措施，防治船舶污染物和陆源污染物污染渔港水域。</w:t>
      </w:r>
    </w:p>
    <w:p w14:paraId="0FBFEA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第四十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到港渔船应当将船舶垃圾、生活污水、含油污水排入本港污染物接收、处理设施。</w:t>
      </w:r>
    </w:p>
    <w:p w14:paraId="05AAC4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应当监督到港渔船排放船舶垃圾、生活污水、含油污水，如实记录船舶污染物接收、处理或转运台账，并及时清除本港水域内的生活垃圾和废弃物。对未按规定排放船舶污染物的渔船，不得允许其进行码头作业。</w:t>
      </w:r>
    </w:p>
    <w:p w14:paraId="13C8A8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到港渔船发生油类、油类混合物或者其他有毒、有害物质泄漏造成本港水域污染的，应当立即控制和消除污染，并向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接报后，应当迅速采取应急处置措施。</w:t>
      </w:r>
    </w:p>
    <w:p w14:paraId="28CBD5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第九章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渔港应急事件处置</w:t>
      </w:r>
    </w:p>
    <w:p w14:paraId="404462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渔港经营人应当依法制定港口生产安全事故、预防自然灾害等应急预案，保障组织实施，并定期组织演练。</w:t>
      </w:r>
    </w:p>
    <w:p w14:paraId="281501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渔船在本港水域发生水上安全事故，应当立即向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报告，按照指令在指定地点停泊，接受调查处理。拒不服从指令或者危害水上交通安全的，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有权对其采取强制性处置措施。</w:t>
      </w:r>
    </w:p>
    <w:p w14:paraId="0BB09E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渔船在本港水域发生污染事故，应当立即向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市海洋发展局报告，接受调查处理。为减轻污染损害，事故调查机关有权采取清除、打捞、拖航、过驳等必要措施，相关费用由造成渔港水域污染的渔船或者作业单位承担。</w:t>
      </w:r>
    </w:p>
    <w:p w14:paraId="0A7EFB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有下列情形之一的，渔港经营人应当立即采取疏港措施，港内船舶、车辆和人员必须配合：</w:t>
      </w:r>
    </w:p>
    <w:p w14:paraId="32FCAF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遭遇台风、风暴潮等极端恶劣天气，超过本港设计避险能力的；</w:t>
      </w:r>
    </w:p>
    <w:p w14:paraId="7164D7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港区突发重大公共卫生事件的；</w:t>
      </w:r>
    </w:p>
    <w:p w14:paraId="1332AC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发生火灾、爆炸事故对港口运营产生重大影响的；</w:t>
      </w:r>
    </w:p>
    <w:p w14:paraId="23A969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其他可能危及港内船舶和人员安全的。</w:t>
      </w:r>
    </w:p>
    <w:p w14:paraId="327946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大风红色预警，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应当采取一切可能的方式通知港内渔船，督促渔船所有人或者经营人立即将船上人员全部转移上岸，合理调度渔船停泊避风。对拒不服从政府指令或者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调度的，及时向驻港渔业执法机构和公安机关报告。</w:t>
      </w:r>
    </w:p>
    <w:p w14:paraId="57AE66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第十章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禁止与限制性规定</w:t>
      </w:r>
    </w:p>
    <w:p w14:paraId="17058A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第五十条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通航安全禁止与限制：</w:t>
      </w:r>
    </w:p>
    <w:p w14:paraId="2F9D9C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禁止在本港水域从事捕捞、养殖、垂钓、试航等活动；</w:t>
      </w:r>
    </w:p>
    <w:p w14:paraId="781AB9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港区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追逐、竞驶；</w:t>
      </w:r>
    </w:p>
    <w:p w14:paraId="06F044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禁止在港区燃放烟花爆竹；</w:t>
      </w:r>
    </w:p>
    <w:p w14:paraId="542CE4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禁止小型船舶靠泊渔船搭载人员或者物资；</w:t>
      </w:r>
    </w:p>
    <w:p w14:paraId="5A7F4B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五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禁止盗窃、损坏渔业航标或者影响渔业航标工作效能；</w:t>
      </w:r>
    </w:p>
    <w:p w14:paraId="0ACFC1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六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禁止无关船舶驶入水上水下作业安全区。</w:t>
      </w:r>
    </w:p>
    <w:p w14:paraId="1E2172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第五十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码头作业禁止与限制：</w:t>
      </w:r>
    </w:p>
    <w:p w14:paraId="2D39D2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禁止在码头作业区域堆放货物，设摊经营，晾晒或者弃置渔具、渔获物等；</w:t>
      </w:r>
    </w:p>
    <w:p w14:paraId="629588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渔船加油期间，影响区域内禁止明火；</w:t>
      </w:r>
    </w:p>
    <w:p w14:paraId="5A65DD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禁止装卸易燃、易爆、有毒等危险货物；</w:t>
      </w:r>
    </w:p>
    <w:p w14:paraId="0EC337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禁渔期内，禁止向休渔渔船供油、供冰；</w:t>
      </w:r>
    </w:p>
    <w:p w14:paraId="3C4889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五十二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环境保护禁止与限制：</w:t>
      </w:r>
    </w:p>
    <w:p w14:paraId="6A4B1D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禁止向本港水域倾倒淤泥、垃圾和排放船舶污染物；</w:t>
      </w:r>
    </w:p>
    <w:p w14:paraId="5256B5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禁止在本港水域从事船舶除锈、油漆、驳油等作业；</w:t>
      </w:r>
    </w:p>
    <w:p w14:paraId="15100A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禁止在本港水域拆船。</w:t>
      </w:r>
    </w:p>
    <w:p w14:paraId="7EE61D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五十三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治安管理禁止与限制：</w:t>
      </w:r>
    </w:p>
    <w:p w14:paraId="1042D1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禁止无证或者酒后驾驶船舶；</w:t>
      </w:r>
    </w:p>
    <w:p w14:paraId="195169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禁止伪造、变造船舶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号牌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；</w:t>
      </w:r>
    </w:p>
    <w:p w14:paraId="6B828D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不得强买强卖、强迫他人提供或者接受服务；</w:t>
      </w:r>
    </w:p>
    <w:p w14:paraId="66F037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紧急状态情况下县级以上人民政府依法发布的决定、命令，港内船舶、车辆和人员不得拒绝执行。</w:t>
      </w:r>
    </w:p>
    <w:p w14:paraId="7E0E8D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第十一章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附则</w:t>
      </w:r>
    </w:p>
    <w:p w14:paraId="227A1A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eastAsia="zh-CN"/>
        </w:rPr>
        <w:t>五十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本章程由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市海洋发展局组织编制，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市人民政府批准。港口资料统计截止时间为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月。</w:t>
      </w:r>
    </w:p>
    <w:p w14:paraId="093B9F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eastAsia="zh-CN"/>
        </w:rPr>
        <w:t>五十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港章自发布之日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起施行。</w:t>
      </w:r>
    </w:p>
    <w:p w14:paraId="0FE4A0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165F72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附件：1.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南泓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渔港管理机构及经营服务单位名录</w:t>
      </w:r>
    </w:p>
    <w:p w14:paraId="33A545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2.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南泓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图</w:t>
      </w:r>
    </w:p>
    <w:p w14:paraId="7FB6DD1B">
      <w:pPr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br w:type="page"/>
      </w:r>
    </w:p>
    <w:p w14:paraId="1BA30A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附件1</w:t>
      </w:r>
    </w:p>
    <w:p w14:paraId="63559496">
      <w:pPr>
        <w:pStyle w:val="2"/>
        <w:bidi w:val="0"/>
        <w:rPr>
          <w:rFonts w:hint="eastAsia"/>
          <w:sz w:val="36"/>
          <w:szCs w:val="22"/>
          <w:highlight w:val="none"/>
        </w:rPr>
      </w:pPr>
      <w:r>
        <w:rPr>
          <w:rFonts w:hint="eastAsia"/>
          <w:sz w:val="36"/>
          <w:szCs w:val="22"/>
          <w:highlight w:val="none"/>
          <w:lang w:eastAsia="zh-CN"/>
        </w:rPr>
        <w:t>南泓</w:t>
      </w:r>
      <w:r>
        <w:rPr>
          <w:rFonts w:hint="eastAsia"/>
          <w:sz w:val="36"/>
          <w:szCs w:val="22"/>
          <w:highlight w:val="none"/>
        </w:rPr>
        <w:t>渔港管理机构及经营服务单位名录</w:t>
      </w:r>
    </w:p>
    <w:p w14:paraId="0C618F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61" w:afterLines="100"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一、渔港管理机构</w:t>
      </w:r>
    </w:p>
    <w:tbl>
      <w:tblPr>
        <w:tblStyle w:val="8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2"/>
        <w:gridCol w:w="3746"/>
        <w:gridCol w:w="1853"/>
      </w:tblGrid>
      <w:tr w14:paraId="20C13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2189" w:type="pct"/>
            <w:vAlign w:val="center"/>
          </w:tcPr>
          <w:p w14:paraId="396736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1880" w:type="pct"/>
            <w:vAlign w:val="center"/>
          </w:tcPr>
          <w:p w14:paraId="04432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位置</w:t>
            </w:r>
          </w:p>
        </w:tc>
        <w:tc>
          <w:tcPr>
            <w:tcW w:w="930" w:type="pct"/>
            <w:vAlign w:val="center"/>
          </w:tcPr>
          <w:p w14:paraId="55ACE4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电话</w:t>
            </w:r>
          </w:p>
        </w:tc>
      </w:tr>
      <w:tr w14:paraId="0E9584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89" w:type="pct"/>
            <w:vAlign w:val="center"/>
          </w:tcPr>
          <w:p w14:paraId="33C9E2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乳山市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海洋发展局</w:t>
            </w:r>
          </w:p>
        </w:tc>
        <w:tc>
          <w:tcPr>
            <w:tcW w:w="1880" w:type="pct"/>
            <w:vAlign w:val="center"/>
          </w:tcPr>
          <w:p w14:paraId="2B8DD7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乳山市府前路4号</w:t>
            </w:r>
          </w:p>
        </w:tc>
        <w:tc>
          <w:tcPr>
            <w:tcW w:w="930" w:type="pct"/>
            <w:vAlign w:val="center"/>
          </w:tcPr>
          <w:p w14:paraId="233671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0631-6651473</w:t>
            </w:r>
          </w:p>
        </w:tc>
      </w:tr>
      <w:tr w14:paraId="4EC72E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89" w:type="pct"/>
            <w:vAlign w:val="center"/>
          </w:tcPr>
          <w:p w14:paraId="736D97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乳山市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南泓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渔港渔船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管理站</w:t>
            </w:r>
          </w:p>
        </w:tc>
        <w:tc>
          <w:tcPr>
            <w:tcW w:w="1880" w:type="pct"/>
            <w:vAlign w:val="center"/>
          </w:tcPr>
          <w:p w14:paraId="16D55D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乳山市海阳所镇南泓南村东海岸</w:t>
            </w:r>
          </w:p>
        </w:tc>
        <w:tc>
          <w:tcPr>
            <w:tcW w:w="930" w:type="pct"/>
            <w:vAlign w:val="center"/>
          </w:tcPr>
          <w:p w14:paraId="5C323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13573716197</w:t>
            </w:r>
          </w:p>
        </w:tc>
      </w:tr>
      <w:tr w14:paraId="114A35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89" w:type="pct"/>
            <w:vAlign w:val="center"/>
          </w:tcPr>
          <w:p w14:paraId="44A748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威海市公安局海岸警察支队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海阳所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派出所</w:t>
            </w:r>
          </w:p>
        </w:tc>
        <w:tc>
          <w:tcPr>
            <w:tcW w:w="1880" w:type="pct"/>
            <w:vAlign w:val="center"/>
          </w:tcPr>
          <w:p w14:paraId="64A9DD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乳山市39县道与千里山海自驾旅游公路交叉口西280米</w:t>
            </w:r>
          </w:p>
        </w:tc>
        <w:tc>
          <w:tcPr>
            <w:tcW w:w="930" w:type="pct"/>
            <w:vAlign w:val="center"/>
          </w:tcPr>
          <w:p w14:paraId="37A181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0631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0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-6751001</w:t>
            </w:r>
          </w:p>
        </w:tc>
      </w:tr>
    </w:tbl>
    <w:p w14:paraId="48EC5D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二、渔港经营服务单位</w:t>
      </w:r>
    </w:p>
    <w:tbl>
      <w:tblPr>
        <w:tblStyle w:val="8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4"/>
        <w:gridCol w:w="3082"/>
        <w:gridCol w:w="2596"/>
        <w:gridCol w:w="1915"/>
      </w:tblGrid>
      <w:tr w14:paraId="09E8B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7" w:type="pct"/>
            <w:vAlign w:val="center"/>
          </w:tcPr>
          <w:p w14:paraId="358564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1547" w:type="pct"/>
            <w:vAlign w:val="center"/>
          </w:tcPr>
          <w:p w14:paraId="6B9DE3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经营服务项目</w:t>
            </w:r>
          </w:p>
        </w:tc>
        <w:tc>
          <w:tcPr>
            <w:tcW w:w="1303" w:type="pct"/>
            <w:vAlign w:val="center"/>
          </w:tcPr>
          <w:p w14:paraId="649D7C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位置</w:t>
            </w:r>
          </w:p>
        </w:tc>
        <w:tc>
          <w:tcPr>
            <w:tcW w:w="961" w:type="pct"/>
            <w:vAlign w:val="center"/>
          </w:tcPr>
          <w:p w14:paraId="651DC8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电话</w:t>
            </w:r>
          </w:p>
        </w:tc>
      </w:tr>
      <w:tr w14:paraId="73A23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7" w:type="pct"/>
            <w:vAlign w:val="center"/>
          </w:tcPr>
          <w:p w14:paraId="09CAEE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南泓渔港服务中心</w:t>
            </w:r>
          </w:p>
        </w:tc>
        <w:tc>
          <w:tcPr>
            <w:tcW w:w="1547" w:type="pct"/>
            <w:vAlign w:val="center"/>
          </w:tcPr>
          <w:p w14:paraId="797658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泊位调度</w:t>
            </w:r>
          </w:p>
          <w:p w14:paraId="4F6493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渔船进出港登记</w:t>
            </w:r>
          </w:p>
          <w:p w14:paraId="5671A2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码头作业管理</w:t>
            </w:r>
          </w:p>
          <w:p w14:paraId="4DA618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加冰</w:t>
            </w:r>
          </w:p>
          <w:p w14:paraId="6C811C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岸电使用</w:t>
            </w:r>
          </w:p>
          <w:p w14:paraId="374402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溢油防治</w:t>
            </w:r>
          </w:p>
        </w:tc>
        <w:tc>
          <w:tcPr>
            <w:tcW w:w="1303" w:type="pct"/>
            <w:vAlign w:val="center"/>
          </w:tcPr>
          <w:p w14:paraId="1FE97F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乳山市海阳所镇南泓南村东海岸南泓渔港码头入口处</w:t>
            </w:r>
          </w:p>
        </w:tc>
        <w:tc>
          <w:tcPr>
            <w:tcW w:w="961" w:type="pct"/>
            <w:vAlign w:val="center"/>
          </w:tcPr>
          <w:p w14:paraId="1A52E2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13181100008</w:t>
            </w:r>
          </w:p>
        </w:tc>
      </w:tr>
      <w:tr w14:paraId="2F3C5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7" w:type="pct"/>
            <w:vAlign w:val="center"/>
          </w:tcPr>
          <w:p w14:paraId="328425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乳山市龙海渔船修造厂</w:t>
            </w:r>
          </w:p>
        </w:tc>
        <w:tc>
          <w:tcPr>
            <w:tcW w:w="1547" w:type="pct"/>
            <w:vAlign w:val="center"/>
          </w:tcPr>
          <w:p w14:paraId="78091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渔船维修</w:t>
            </w:r>
          </w:p>
        </w:tc>
        <w:tc>
          <w:tcPr>
            <w:tcW w:w="1303" w:type="pct"/>
            <w:vAlign w:val="center"/>
          </w:tcPr>
          <w:p w14:paraId="7BB8CC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南泓渔港南邻</w:t>
            </w:r>
          </w:p>
        </w:tc>
        <w:tc>
          <w:tcPr>
            <w:tcW w:w="961" w:type="pct"/>
            <w:vAlign w:val="center"/>
          </w:tcPr>
          <w:p w14:paraId="104AF1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13361188383</w:t>
            </w:r>
          </w:p>
        </w:tc>
      </w:tr>
    </w:tbl>
    <w:p w14:paraId="768891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6284A4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sectPr>
          <w:footerReference r:id="rId5" w:type="default"/>
          <w:pgSz w:w="11905" w:h="16838"/>
          <w:pgMar w:top="1270" w:right="1080" w:bottom="1270" w:left="1080" w:header="720" w:footer="720" w:gutter="0"/>
          <w:pgNumType w:fmt="decimal"/>
          <w:cols w:space="0" w:num="1"/>
          <w:rtlGutter w:val="0"/>
          <w:docGrid w:linePitch="360" w:charSpace="0"/>
        </w:sectPr>
      </w:pPr>
    </w:p>
    <w:p w14:paraId="12F979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-149860</wp:posOffset>
            </wp:positionH>
            <wp:positionV relativeFrom="paragraph">
              <wp:posOffset>346075</wp:posOffset>
            </wp:positionV>
            <wp:extent cx="6419850" cy="8423910"/>
            <wp:effectExtent l="0" t="0" r="0" b="15240"/>
            <wp:wrapNone/>
            <wp:docPr id="2" name="图片 2" descr="南泓(3)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南泓(3)_00"/>
                    <pic:cNvPicPr>
                      <a:picLocks noChangeAspect="1"/>
                    </pic:cNvPicPr>
                  </pic:nvPicPr>
                  <pic:blipFill>
                    <a:blip r:embed="rId7"/>
                    <a:srcRect t="3317" b="3941"/>
                    <a:stretch>
                      <a:fillRect/>
                    </a:stretch>
                  </pic:blipFill>
                  <pic:spPr>
                    <a:xfrm>
                      <a:off x="0" y="0"/>
                      <a:ext cx="6419850" cy="84239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附件2</w:t>
      </w:r>
    </w:p>
    <w:p w14:paraId="572E85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sectPr>
      <w:pgSz w:w="11905" w:h="16838"/>
      <w:pgMar w:top="1134" w:right="1134" w:bottom="1134" w:left="1134" w:header="567" w:footer="567" w:gutter="0"/>
      <w:pgNumType w:fmt="decimal"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3F8FBD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AE0B34F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AE0B34F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A95742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F2C0E24"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F2C0E24"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264974"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jMzkxOGY5NzhlOTBkYTJjYzA5NTFhZTExNDU0OWUifQ=="/>
  </w:docVars>
  <w:rsids>
    <w:rsidRoot w:val="75503108"/>
    <w:rsid w:val="0035517E"/>
    <w:rsid w:val="00AD7338"/>
    <w:rsid w:val="00DC22C0"/>
    <w:rsid w:val="01237CBA"/>
    <w:rsid w:val="01636938"/>
    <w:rsid w:val="01D22B31"/>
    <w:rsid w:val="02840426"/>
    <w:rsid w:val="028C1A10"/>
    <w:rsid w:val="0350044F"/>
    <w:rsid w:val="03B63B6A"/>
    <w:rsid w:val="03FB2BB1"/>
    <w:rsid w:val="048C7A27"/>
    <w:rsid w:val="04FE3979"/>
    <w:rsid w:val="058828FA"/>
    <w:rsid w:val="05F45070"/>
    <w:rsid w:val="06B867FC"/>
    <w:rsid w:val="07000BDB"/>
    <w:rsid w:val="073262AA"/>
    <w:rsid w:val="07666493"/>
    <w:rsid w:val="07D93108"/>
    <w:rsid w:val="07F13FAE"/>
    <w:rsid w:val="081B648D"/>
    <w:rsid w:val="09002112"/>
    <w:rsid w:val="092C4DA2"/>
    <w:rsid w:val="09F61D50"/>
    <w:rsid w:val="0A640748"/>
    <w:rsid w:val="0C2B650C"/>
    <w:rsid w:val="0CAE603F"/>
    <w:rsid w:val="0D6276FC"/>
    <w:rsid w:val="0DCA5C92"/>
    <w:rsid w:val="0DF11314"/>
    <w:rsid w:val="0E545297"/>
    <w:rsid w:val="0E8A3480"/>
    <w:rsid w:val="0EB7236D"/>
    <w:rsid w:val="0F6D43A0"/>
    <w:rsid w:val="0F7D056A"/>
    <w:rsid w:val="0F8E0CF8"/>
    <w:rsid w:val="0FDC3796"/>
    <w:rsid w:val="100827DD"/>
    <w:rsid w:val="101C44BF"/>
    <w:rsid w:val="103B2931"/>
    <w:rsid w:val="108552A4"/>
    <w:rsid w:val="108A1FB5"/>
    <w:rsid w:val="109717C5"/>
    <w:rsid w:val="10B22749"/>
    <w:rsid w:val="11826A24"/>
    <w:rsid w:val="118E3EF1"/>
    <w:rsid w:val="120B3B89"/>
    <w:rsid w:val="12905D43"/>
    <w:rsid w:val="129723CE"/>
    <w:rsid w:val="12A549E0"/>
    <w:rsid w:val="12EF6AB8"/>
    <w:rsid w:val="13211947"/>
    <w:rsid w:val="14663E36"/>
    <w:rsid w:val="155D5602"/>
    <w:rsid w:val="15EF557D"/>
    <w:rsid w:val="16B2282A"/>
    <w:rsid w:val="16ED4959"/>
    <w:rsid w:val="16F941C6"/>
    <w:rsid w:val="17E606DC"/>
    <w:rsid w:val="17FE48E7"/>
    <w:rsid w:val="184E0FA9"/>
    <w:rsid w:val="186E51A7"/>
    <w:rsid w:val="18BF5A03"/>
    <w:rsid w:val="19832B7B"/>
    <w:rsid w:val="1A0062D3"/>
    <w:rsid w:val="1A0F4768"/>
    <w:rsid w:val="1A165AF6"/>
    <w:rsid w:val="1A2226ED"/>
    <w:rsid w:val="1B157B5C"/>
    <w:rsid w:val="1C4A7CD9"/>
    <w:rsid w:val="1CF0262F"/>
    <w:rsid w:val="1CFF4071"/>
    <w:rsid w:val="1D6628F1"/>
    <w:rsid w:val="1D686669"/>
    <w:rsid w:val="1D9B4492"/>
    <w:rsid w:val="1DBE7C4D"/>
    <w:rsid w:val="1E026A6D"/>
    <w:rsid w:val="1E7135D0"/>
    <w:rsid w:val="1E731769"/>
    <w:rsid w:val="1F691D3E"/>
    <w:rsid w:val="1FC009DE"/>
    <w:rsid w:val="1FF64400"/>
    <w:rsid w:val="20CA3DC4"/>
    <w:rsid w:val="21333432"/>
    <w:rsid w:val="21A73A32"/>
    <w:rsid w:val="21C34E85"/>
    <w:rsid w:val="21EB5ABA"/>
    <w:rsid w:val="22401962"/>
    <w:rsid w:val="22F8197D"/>
    <w:rsid w:val="23EF5C64"/>
    <w:rsid w:val="24207C9D"/>
    <w:rsid w:val="25063F87"/>
    <w:rsid w:val="25381017"/>
    <w:rsid w:val="255E41D9"/>
    <w:rsid w:val="258417B0"/>
    <w:rsid w:val="268E5543"/>
    <w:rsid w:val="26A0179B"/>
    <w:rsid w:val="26B537A3"/>
    <w:rsid w:val="26BB3CAD"/>
    <w:rsid w:val="273E5B72"/>
    <w:rsid w:val="28687E65"/>
    <w:rsid w:val="28A35B9E"/>
    <w:rsid w:val="28C826B1"/>
    <w:rsid w:val="29787C34"/>
    <w:rsid w:val="29AC3D81"/>
    <w:rsid w:val="29C0782D"/>
    <w:rsid w:val="2A1C0F07"/>
    <w:rsid w:val="2A353074"/>
    <w:rsid w:val="2A9817E1"/>
    <w:rsid w:val="2C1B0D4A"/>
    <w:rsid w:val="2D0C42C1"/>
    <w:rsid w:val="2D1E4F96"/>
    <w:rsid w:val="2D233B39"/>
    <w:rsid w:val="2D377E06"/>
    <w:rsid w:val="2D430559"/>
    <w:rsid w:val="2D7448B4"/>
    <w:rsid w:val="2D8017AD"/>
    <w:rsid w:val="2DCB7FB8"/>
    <w:rsid w:val="2E642E7C"/>
    <w:rsid w:val="2EE52969"/>
    <w:rsid w:val="2F1513B0"/>
    <w:rsid w:val="2F7B1C18"/>
    <w:rsid w:val="2FAC6889"/>
    <w:rsid w:val="2FB13E9F"/>
    <w:rsid w:val="308F4FB3"/>
    <w:rsid w:val="30D62983"/>
    <w:rsid w:val="319E7BAE"/>
    <w:rsid w:val="321E1594"/>
    <w:rsid w:val="32C43EEA"/>
    <w:rsid w:val="32F81DE5"/>
    <w:rsid w:val="33A930DF"/>
    <w:rsid w:val="33D12C69"/>
    <w:rsid w:val="33D61A8A"/>
    <w:rsid w:val="33E84534"/>
    <w:rsid w:val="33ED56C2"/>
    <w:rsid w:val="34574ACF"/>
    <w:rsid w:val="349D2C44"/>
    <w:rsid w:val="34C839CB"/>
    <w:rsid w:val="3538296D"/>
    <w:rsid w:val="355552CD"/>
    <w:rsid w:val="35577297"/>
    <w:rsid w:val="35CB558F"/>
    <w:rsid w:val="36A31726"/>
    <w:rsid w:val="370657FE"/>
    <w:rsid w:val="37265173"/>
    <w:rsid w:val="373709C9"/>
    <w:rsid w:val="37CA7C08"/>
    <w:rsid w:val="381A7687"/>
    <w:rsid w:val="38AD71CE"/>
    <w:rsid w:val="3AD76784"/>
    <w:rsid w:val="3B5F6EA5"/>
    <w:rsid w:val="3C7544A7"/>
    <w:rsid w:val="3C794506"/>
    <w:rsid w:val="3CA803D8"/>
    <w:rsid w:val="3CBC7580"/>
    <w:rsid w:val="3CC571DC"/>
    <w:rsid w:val="3CF23E82"/>
    <w:rsid w:val="3D4E71D1"/>
    <w:rsid w:val="3D793569"/>
    <w:rsid w:val="3E182314"/>
    <w:rsid w:val="3E4B1963"/>
    <w:rsid w:val="3E8B44BA"/>
    <w:rsid w:val="3ED41958"/>
    <w:rsid w:val="40226500"/>
    <w:rsid w:val="409A0980"/>
    <w:rsid w:val="41572C26"/>
    <w:rsid w:val="421C10AE"/>
    <w:rsid w:val="42352EC3"/>
    <w:rsid w:val="42562684"/>
    <w:rsid w:val="4392064E"/>
    <w:rsid w:val="43B34232"/>
    <w:rsid w:val="44A1408B"/>
    <w:rsid w:val="44DC673E"/>
    <w:rsid w:val="45525385"/>
    <w:rsid w:val="4577128F"/>
    <w:rsid w:val="458A0FC3"/>
    <w:rsid w:val="459F4295"/>
    <w:rsid w:val="45A73923"/>
    <w:rsid w:val="45ED3300"/>
    <w:rsid w:val="462027DB"/>
    <w:rsid w:val="46492C2C"/>
    <w:rsid w:val="464D5EB2"/>
    <w:rsid w:val="46D85E72"/>
    <w:rsid w:val="46E97F6B"/>
    <w:rsid w:val="470F55A1"/>
    <w:rsid w:val="47C06F1E"/>
    <w:rsid w:val="47C43AD8"/>
    <w:rsid w:val="47E54182"/>
    <w:rsid w:val="4A062BE2"/>
    <w:rsid w:val="4A2770A9"/>
    <w:rsid w:val="4AE740D8"/>
    <w:rsid w:val="4B5D6832"/>
    <w:rsid w:val="4CED2983"/>
    <w:rsid w:val="4CF80F08"/>
    <w:rsid w:val="4D8939D0"/>
    <w:rsid w:val="4DE4148C"/>
    <w:rsid w:val="4E5008D0"/>
    <w:rsid w:val="4E7E71EB"/>
    <w:rsid w:val="4E9C50B5"/>
    <w:rsid w:val="4F8A3B52"/>
    <w:rsid w:val="4FBD688A"/>
    <w:rsid w:val="5060129E"/>
    <w:rsid w:val="509448C9"/>
    <w:rsid w:val="50A8054F"/>
    <w:rsid w:val="511B1106"/>
    <w:rsid w:val="51A21442"/>
    <w:rsid w:val="51A258E6"/>
    <w:rsid w:val="537A08C9"/>
    <w:rsid w:val="53AD33B3"/>
    <w:rsid w:val="53CC27A6"/>
    <w:rsid w:val="53E9091E"/>
    <w:rsid w:val="53EE096F"/>
    <w:rsid w:val="54002AB7"/>
    <w:rsid w:val="540B32CF"/>
    <w:rsid w:val="54722B2B"/>
    <w:rsid w:val="554F6A3D"/>
    <w:rsid w:val="55AC44DD"/>
    <w:rsid w:val="56BC0894"/>
    <w:rsid w:val="574A05B2"/>
    <w:rsid w:val="57790E97"/>
    <w:rsid w:val="578C0BCA"/>
    <w:rsid w:val="57981DED"/>
    <w:rsid w:val="57C02622"/>
    <w:rsid w:val="59407EBE"/>
    <w:rsid w:val="598D29D8"/>
    <w:rsid w:val="59A0270B"/>
    <w:rsid w:val="59C12681"/>
    <w:rsid w:val="5A386DE8"/>
    <w:rsid w:val="5A7043BB"/>
    <w:rsid w:val="5AB33F92"/>
    <w:rsid w:val="5AF14E1D"/>
    <w:rsid w:val="5B355E62"/>
    <w:rsid w:val="5B4D241F"/>
    <w:rsid w:val="5B856F4A"/>
    <w:rsid w:val="5BBA6917"/>
    <w:rsid w:val="5C6E4D42"/>
    <w:rsid w:val="5D027239"/>
    <w:rsid w:val="5D107BA8"/>
    <w:rsid w:val="5D6A52BE"/>
    <w:rsid w:val="5DAA5696"/>
    <w:rsid w:val="5E2A6A47"/>
    <w:rsid w:val="609A4358"/>
    <w:rsid w:val="60B46A9C"/>
    <w:rsid w:val="60D1086C"/>
    <w:rsid w:val="613876CD"/>
    <w:rsid w:val="61D90EB0"/>
    <w:rsid w:val="62DB0C58"/>
    <w:rsid w:val="630C7063"/>
    <w:rsid w:val="631844E8"/>
    <w:rsid w:val="63473BF7"/>
    <w:rsid w:val="63996C58"/>
    <w:rsid w:val="64CA1EE8"/>
    <w:rsid w:val="65817895"/>
    <w:rsid w:val="659E2782"/>
    <w:rsid w:val="66546082"/>
    <w:rsid w:val="66754053"/>
    <w:rsid w:val="67212D13"/>
    <w:rsid w:val="67A055CE"/>
    <w:rsid w:val="67B3056F"/>
    <w:rsid w:val="681937F3"/>
    <w:rsid w:val="68573C08"/>
    <w:rsid w:val="68B97345"/>
    <w:rsid w:val="692534D8"/>
    <w:rsid w:val="69562DE6"/>
    <w:rsid w:val="69977A8C"/>
    <w:rsid w:val="69EE0B66"/>
    <w:rsid w:val="6A4E5FC0"/>
    <w:rsid w:val="6AB9187F"/>
    <w:rsid w:val="6AF843D4"/>
    <w:rsid w:val="6BB06997"/>
    <w:rsid w:val="6BB81BE6"/>
    <w:rsid w:val="6BF066E1"/>
    <w:rsid w:val="6C027260"/>
    <w:rsid w:val="6C5C0714"/>
    <w:rsid w:val="6C5E3963"/>
    <w:rsid w:val="6D5533B5"/>
    <w:rsid w:val="6D714B4E"/>
    <w:rsid w:val="6DA02882"/>
    <w:rsid w:val="6DAA55F0"/>
    <w:rsid w:val="6ED554AF"/>
    <w:rsid w:val="6ED749C9"/>
    <w:rsid w:val="6F0D2199"/>
    <w:rsid w:val="6F9B2D2A"/>
    <w:rsid w:val="6FC70FB4"/>
    <w:rsid w:val="7020098E"/>
    <w:rsid w:val="70AC775D"/>
    <w:rsid w:val="70FA1A5A"/>
    <w:rsid w:val="71080E6A"/>
    <w:rsid w:val="717D4035"/>
    <w:rsid w:val="73682094"/>
    <w:rsid w:val="73BB5C5C"/>
    <w:rsid w:val="73C02417"/>
    <w:rsid w:val="73F74CFC"/>
    <w:rsid w:val="75503108"/>
    <w:rsid w:val="75CBDCCE"/>
    <w:rsid w:val="75D605ED"/>
    <w:rsid w:val="76806F06"/>
    <w:rsid w:val="76854D0B"/>
    <w:rsid w:val="76866FD1"/>
    <w:rsid w:val="793574F8"/>
    <w:rsid w:val="794F33AE"/>
    <w:rsid w:val="7BFA3AA5"/>
    <w:rsid w:val="7C0A3959"/>
    <w:rsid w:val="7C5F1B5A"/>
    <w:rsid w:val="7C7C6FF4"/>
    <w:rsid w:val="7CDD00AC"/>
    <w:rsid w:val="7D5E1E12"/>
    <w:rsid w:val="7E7F64E4"/>
    <w:rsid w:val="7ED76320"/>
    <w:rsid w:val="7FD7D886"/>
    <w:rsid w:val="BFEF6858"/>
    <w:rsid w:val="F7EFD5B9"/>
    <w:rsid w:val="FEBDD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cs="仿宋_GB2312" w:asciiTheme="minorHAnsi" w:hAnsiTheme="minorHAnsi"/>
      <w:kern w:val="2"/>
      <w:sz w:val="32"/>
      <w:szCs w:val="32"/>
      <w:lang w:val="en-US" w:eastAsia="zh-CN" w:bidi="ar-SA"/>
    </w:rPr>
  </w:style>
  <w:style w:type="paragraph" w:styleId="2">
    <w:name w:val="heading 1"/>
    <w:basedOn w:val="3"/>
    <w:next w:val="1"/>
    <w:link w:val="11"/>
    <w:qFormat/>
    <w:uiPriority w:val="0"/>
    <w:pPr>
      <w:keepNext/>
      <w:keepLines/>
      <w:adjustRightInd w:val="0"/>
      <w:snapToGrid w:val="0"/>
      <w:spacing w:beforeLines="0" w:beforeAutospacing="0" w:afterLines="0" w:afterAutospacing="0" w:line="560" w:lineRule="exact"/>
      <w:jc w:val="center"/>
      <w:outlineLvl w:val="0"/>
    </w:pPr>
    <w:rPr>
      <w:rFonts w:eastAsia="方正小标宋简体" w:cs="宋体" w:asciiTheme="minorAscii" w:hAnsiTheme="minorAscii"/>
      <w:snapToGrid w:val="0"/>
      <w:color w:val="000000"/>
      <w:kern w:val="24"/>
      <w:sz w:val="44"/>
      <w:szCs w:val="28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!正文"/>
    <w:basedOn w:val="1"/>
    <w:qFormat/>
    <w:uiPriority w:val="0"/>
    <w:pPr>
      <w:spacing w:line="480" w:lineRule="exact"/>
      <w:ind w:firstLine="200" w:firstLineChars="200"/>
    </w:pPr>
    <w:rPr>
      <w:bCs/>
      <w:sz w:val="28"/>
      <w:szCs w:val="32"/>
    </w:rPr>
  </w:style>
  <w:style w:type="character" w:customStyle="1" w:styleId="11">
    <w:name w:val="标题 1 Char"/>
    <w:link w:val="2"/>
    <w:qFormat/>
    <w:uiPriority w:val="0"/>
    <w:rPr>
      <w:rFonts w:eastAsia="方正小标宋简体" w:cs="宋体" w:asciiTheme="minorAscii" w:hAnsiTheme="minorAscii"/>
      <w:snapToGrid w:val="0"/>
      <w:color w:val="000000"/>
      <w:kern w:val="24"/>
      <w:sz w:val="4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5812</Words>
  <Characters>6978</Characters>
  <Lines>0</Lines>
  <Paragraphs>0</Paragraphs>
  <TotalTime>5</TotalTime>
  <ScaleCrop>false</ScaleCrop>
  <LinksUpToDate>false</LinksUpToDate>
  <CharactersWithSpaces>7129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2024-06-25T18:59:00Z</dcterms:created>
  <dc:creator>不忘初心</dc:creator>
  <cp:lastModifiedBy>国家一级海底捞运动员</cp:lastModifiedBy>
  <cp:lastPrinted>2024-07-29T23:49:00Z</cp:lastPrinted>
  <dcterms:modified xsi:type="dcterms:W3CDTF">2024-10-28T01:09:51Z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0385938A8AC94505B748C376D28A5383_13</vt:lpwstr>
  </property>
</Properties>
</file>