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  <w:t>乳山市生态环境保护工程项目招标投标行政监督责任清单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2680"/>
        <w:gridCol w:w="3544"/>
        <w:gridCol w:w="1772"/>
        <w:gridCol w:w="1772"/>
        <w:gridCol w:w="1772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监督部门</w:t>
            </w:r>
          </w:p>
        </w:tc>
        <w:tc>
          <w:tcPr>
            <w:tcW w:w="2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监督责任</w:t>
            </w:r>
          </w:p>
        </w:tc>
        <w:tc>
          <w:tcPr>
            <w:tcW w:w="3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项目监督权限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监督依据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监督范围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监督内容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监管方式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</w:trPr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生态环境行政主管部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门</w:t>
            </w:r>
          </w:p>
        </w:tc>
        <w:tc>
          <w:tcPr>
            <w:tcW w:w="26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负责生态环境保护工程项目招标投标活动的行政监督工作，国家另有规定的，从其规定。</w:t>
            </w:r>
          </w:p>
        </w:tc>
        <w:tc>
          <w:tcPr>
            <w:tcW w:w="35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负责指导辖区内生态环境保护工程项目招标投标行政监督工作，并负责生态环境分局审批、核准、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备案的生态环境保护工程项目招标投标行政监督工作。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《中华人民共和国招标投标法》《中华人民共和国招标投标法实施条例》《电子招标投标办法》《山东省实施〈中华人民共和国招标投标法〉办法》等。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威海市发改委印发的公共资源交易目录中的生态环境保护工程项目。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" w:eastAsia="zh-CN"/>
              </w:rPr>
              <w:t>对生态环境保护工程项目的招标投标的重点环节实施监督。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强化监督检查。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建立健全投诉举报接收、转办、反馈工作机制。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BB9040"/>
    <w:multiLevelType w:val="singleLevel"/>
    <w:tmpl w:val="F1BB90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3FB89F6"/>
    <w:rsid w:val="B1FFF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user</cp:lastModifiedBy>
  <cp:lastPrinted>2025-12-30T23:30:00Z</cp:lastPrinted>
  <dcterms:modified xsi:type="dcterms:W3CDTF">2025-12-30T15:55:32Z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