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75CDC">
      <w:pPr>
        <w:keepNext w:val="0"/>
        <w:keepLines w:val="0"/>
        <w:pageBreakBefore w:val="0"/>
        <w:widowControl/>
        <w:kinsoku w:val="0"/>
        <w:wordWrap/>
        <w:overflowPunct/>
        <w:topLinePunct w:val="0"/>
        <w:autoSpaceDE w:val="0"/>
        <w:autoSpaceDN w:val="0"/>
        <w:bidi w:val="0"/>
        <w:adjustRightInd w:val="0"/>
        <w:snapToGrid w:val="0"/>
        <w:spacing w:line="580" w:lineRule="exact"/>
        <w:jc w:val="both"/>
        <w:textAlignment w:val="baseline"/>
        <w:outlineLvl w:val="0"/>
        <w:rPr>
          <w:rFonts w:hint="eastAsia" w:ascii="Times New Roman" w:hAnsi="Times New Roman" w:eastAsia="方正小标宋简体" w:cs="Times New Roman"/>
          <w:spacing w:val="16"/>
          <w:sz w:val="44"/>
          <w:szCs w:val="44"/>
          <w:lang w:val="en-US" w:eastAsia="zh-CN"/>
        </w:rPr>
      </w:pPr>
      <w:r>
        <w:rPr>
          <w:rFonts w:hint="default" w:ascii="Times New Roman" w:hAnsi="Times New Roman" w:eastAsia="仿宋_GB2312" w:cs="Times New Roman"/>
          <w:spacing w:val="16"/>
          <w:sz w:val="32"/>
          <w:szCs w:val="32"/>
          <w:lang w:val="en-US" w:eastAsia="zh-CN"/>
        </w:rPr>
        <w:t>RSDR-2026-0020</w:t>
      </w:r>
      <w:r>
        <w:rPr>
          <w:rFonts w:hint="eastAsia" w:ascii="Times New Roman" w:hAnsi="Times New Roman" w:eastAsia="仿宋_GB2312" w:cs="Times New Roman"/>
          <w:spacing w:val="16"/>
          <w:sz w:val="32"/>
          <w:szCs w:val="32"/>
          <w:lang w:val="en-US" w:eastAsia="zh-CN"/>
        </w:rPr>
        <w:t>0</w:t>
      </w:r>
      <w:r>
        <w:rPr>
          <w:rFonts w:hint="default" w:ascii="Times New Roman" w:hAnsi="Times New Roman" w:eastAsia="仿宋_GB2312" w:cs="Times New Roman"/>
          <w:spacing w:val="16"/>
          <w:sz w:val="32"/>
          <w:szCs w:val="32"/>
          <w:lang w:val="en-US" w:eastAsia="zh-CN"/>
        </w:rPr>
        <w:t>01</w:t>
      </w:r>
    </w:p>
    <w:p w14:paraId="2B86063B">
      <w:pPr>
        <w:pStyle w:val="5"/>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textAlignment w:val="baseline"/>
        <w:rPr>
          <w:rFonts w:hint="eastAsia" w:ascii="Times New Roman" w:hAnsi="Times New Roman"/>
          <w:lang w:val="en-US" w:eastAsia="zh-CN"/>
        </w:rPr>
      </w:pPr>
    </w:p>
    <w:p w14:paraId="553B171F">
      <w:pPr>
        <w:keepNext w:val="0"/>
        <w:keepLines w:val="0"/>
        <w:pageBreakBefore w:val="0"/>
        <w:widowControl/>
        <w:kinsoku w:val="0"/>
        <w:wordWrap/>
        <w:overflowPunct/>
        <w:topLinePunct w:val="0"/>
        <w:autoSpaceDE w:val="0"/>
        <w:autoSpaceDN w:val="0"/>
        <w:bidi w:val="0"/>
        <w:adjustRightInd w:val="0"/>
        <w:snapToGrid w:val="0"/>
        <w:spacing w:line="580" w:lineRule="exact"/>
        <w:jc w:val="center"/>
        <w:textAlignment w:val="baseline"/>
        <w:outlineLvl w:val="0"/>
        <w:rPr>
          <w:rFonts w:hint="eastAsia" w:ascii="Times New Roman" w:hAnsi="Times New Roman" w:eastAsia="方正小标宋简体" w:cs="Times New Roman"/>
          <w:spacing w:val="16"/>
          <w:sz w:val="44"/>
          <w:szCs w:val="44"/>
          <w:lang w:val="en-US" w:eastAsia="zh-CN"/>
        </w:rPr>
      </w:pPr>
      <w:r>
        <w:rPr>
          <w:rFonts w:hint="eastAsia" w:ascii="Times New Roman" w:hAnsi="Times New Roman" w:eastAsia="方正小标宋简体" w:cs="Times New Roman"/>
          <w:spacing w:val="16"/>
          <w:sz w:val="44"/>
          <w:szCs w:val="44"/>
          <w:lang w:val="en-US" w:eastAsia="zh-CN"/>
        </w:rPr>
        <w:t>乳山市人</w:t>
      </w:r>
      <w:bookmarkStart w:id="1" w:name="_GoBack"/>
      <w:bookmarkEnd w:id="1"/>
      <w:r>
        <w:rPr>
          <w:rFonts w:hint="eastAsia" w:ascii="Times New Roman" w:hAnsi="Times New Roman" w:eastAsia="方正小标宋简体" w:cs="Times New Roman"/>
          <w:spacing w:val="16"/>
          <w:sz w:val="44"/>
          <w:szCs w:val="44"/>
          <w:lang w:val="en-US" w:eastAsia="zh-CN"/>
        </w:rPr>
        <w:t>民政府办公室</w:t>
      </w:r>
    </w:p>
    <w:p w14:paraId="60C2E25B">
      <w:pPr>
        <w:keepNext w:val="0"/>
        <w:keepLines w:val="0"/>
        <w:pageBreakBefore w:val="0"/>
        <w:widowControl/>
        <w:kinsoku w:val="0"/>
        <w:wordWrap/>
        <w:overflowPunct/>
        <w:topLinePunct w:val="0"/>
        <w:autoSpaceDE w:val="0"/>
        <w:autoSpaceDN w:val="0"/>
        <w:bidi w:val="0"/>
        <w:adjustRightInd w:val="0"/>
        <w:snapToGrid w:val="0"/>
        <w:spacing w:line="580" w:lineRule="exact"/>
        <w:jc w:val="center"/>
        <w:textAlignment w:val="baseline"/>
        <w:outlineLvl w:val="0"/>
        <w:rPr>
          <w:rFonts w:hint="eastAsia" w:ascii="Times New Roman" w:hAnsi="Times New Roman" w:eastAsia="方正小标宋简体" w:cs="Times New Roman"/>
          <w:spacing w:val="16"/>
          <w:sz w:val="44"/>
          <w:szCs w:val="44"/>
          <w:lang w:val="en-US" w:eastAsia="zh-CN"/>
        </w:rPr>
      </w:pPr>
      <w:r>
        <w:rPr>
          <w:rFonts w:hint="eastAsia" w:ascii="Times New Roman" w:hAnsi="Times New Roman" w:eastAsia="方正小标宋简体" w:cs="Times New Roman"/>
          <w:spacing w:val="16"/>
          <w:sz w:val="44"/>
          <w:szCs w:val="44"/>
          <w:lang w:val="en-US" w:eastAsia="zh-CN"/>
        </w:rPr>
        <w:t>关于印发乳山市噪声敏感建筑物集中区域</w:t>
      </w:r>
    </w:p>
    <w:p w14:paraId="492CC7B3">
      <w:pPr>
        <w:keepNext w:val="0"/>
        <w:keepLines w:val="0"/>
        <w:pageBreakBefore w:val="0"/>
        <w:widowControl/>
        <w:kinsoku w:val="0"/>
        <w:wordWrap/>
        <w:overflowPunct/>
        <w:topLinePunct w:val="0"/>
        <w:autoSpaceDE w:val="0"/>
        <w:autoSpaceDN w:val="0"/>
        <w:bidi w:val="0"/>
        <w:adjustRightInd w:val="0"/>
        <w:snapToGrid w:val="0"/>
        <w:spacing w:line="580" w:lineRule="exact"/>
        <w:jc w:val="center"/>
        <w:textAlignment w:val="baseline"/>
        <w:outlineLvl w:val="0"/>
        <w:rPr>
          <w:rFonts w:hint="default" w:ascii="Times New Roman" w:hAnsi="Times New Roman" w:eastAsia="方正小标宋简体" w:cs="Times New Roman"/>
          <w:spacing w:val="16"/>
          <w:sz w:val="44"/>
          <w:szCs w:val="44"/>
          <w:lang w:val="en-US" w:eastAsia="zh-CN"/>
        </w:rPr>
      </w:pPr>
      <w:r>
        <w:rPr>
          <w:rFonts w:hint="eastAsia" w:ascii="Times New Roman" w:hAnsi="Times New Roman" w:eastAsia="方正小标宋简体" w:cs="Times New Roman"/>
          <w:spacing w:val="16"/>
          <w:sz w:val="44"/>
          <w:szCs w:val="44"/>
          <w:lang w:val="en-US" w:eastAsia="zh-CN"/>
        </w:rPr>
        <w:t>划定方案（试行）的通知</w:t>
      </w:r>
    </w:p>
    <w:p w14:paraId="71B72EDB">
      <w:pPr>
        <w:widowControl w:val="0"/>
        <w:kinsoku/>
        <w:autoSpaceDE/>
        <w:autoSpaceDN/>
        <w:adjustRightInd w:val="0"/>
        <w:snapToGrid w:val="0"/>
        <w:spacing w:line="560" w:lineRule="exact"/>
        <w:jc w:val="center"/>
        <w:textAlignment w:val="auto"/>
        <w:rPr>
          <w:rFonts w:ascii="Times New Roman" w:hAnsi="Times New Roman" w:eastAsia="仿宋_GB2312" w:cs="Times New Roman"/>
          <w:snapToGrid/>
          <w:kern w:val="0"/>
          <w:sz w:val="32"/>
          <w:szCs w:val="32"/>
          <w:lang w:val="en-US" w:eastAsia="zh-CN" w:bidi="ar-SA"/>
        </w:rPr>
      </w:pPr>
      <w:r>
        <w:rPr>
          <w:rFonts w:hint="eastAsia" w:ascii="Times New Roman" w:hAnsi="Times New Roman" w:eastAsia="仿宋_GB2312" w:cs="Times New Roman"/>
          <w:snapToGrid/>
          <w:kern w:val="0"/>
          <w:sz w:val="32"/>
          <w:szCs w:val="32"/>
          <w:lang w:val="en-US" w:eastAsia="zh-CN" w:bidi="ar-SA"/>
        </w:rPr>
        <w:t>乳政办发〔</w:t>
      </w:r>
      <w:r>
        <w:rPr>
          <w:rFonts w:ascii="Times New Roman" w:hAnsi="Times New Roman" w:eastAsia="仿宋_GB2312" w:cs="Times New Roman"/>
          <w:snapToGrid/>
          <w:kern w:val="0"/>
          <w:sz w:val="32"/>
          <w:szCs w:val="32"/>
          <w:lang w:val="en-US" w:eastAsia="zh-CN" w:bidi="ar-SA"/>
        </w:rPr>
        <w:t>202</w:t>
      </w:r>
      <w:r>
        <w:rPr>
          <w:rFonts w:hint="eastAsia" w:ascii="Times New Roman" w:hAnsi="Times New Roman" w:eastAsia="仿宋_GB2312" w:cs="Times New Roman"/>
          <w:snapToGrid/>
          <w:kern w:val="0"/>
          <w:sz w:val="32"/>
          <w:szCs w:val="32"/>
          <w:lang w:val="en-US" w:eastAsia="zh-CN" w:bidi="ar-SA"/>
        </w:rPr>
        <w:t>6〕2号</w:t>
      </w:r>
    </w:p>
    <w:p w14:paraId="34199C13">
      <w:pPr>
        <w:keepNext w:val="0"/>
        <w:keepLines w:val="0"/>
        <w:pageBreakBefore w:val="0"/>
        <w:widowControl/>
        <w:kinsoku w:val="0"/>
        <w:wordWrap/>
        <w:overflowPunct/>
        <w:topLinePunct w:val="0"/>
        <w:autoSpaceDE w:val="0"/>
        <w:autoSpaceDN w:val="0"/>
        <w:bidi w:val="0"/>
        <w:adjustRightInd w:val="0"/>
        <w:snapToGrid w:val="0"/>
        <w:spacing w:line="580" w:lineRule="exact"/>
        <w:ind w:left="0" w:leftChars="0"/>
        <w:jc w:val="center"/>
        <w:textAlignment w:val="baseline"/>
        <w:outlineLvl w:val="0"/>
        <w:rPr>
          <w:rFonts w:hint="default" w:ascii="Times New Roman" w:hAnsi="Times New Roman" w:eastAsia="方正小标宋简体" w:cs="Times New Roman"/>
          <w:spacing w:val="16"/>
          <w:sz w:val="44"/>
          <w:szCs w:val="44"/>
          <w:lang w:val="en-US" w:eastAsia="zh-CN"/>
        </w:rPr>
      </w:pPr>
    </w:p>
    <w:p w14:paraId="0B72F32F">
      <w:pPr>
        <w:keepNext w:val="0"/>
        <w:keepLines w:val="0"/>
        <w:pageBreakBefore w:val="0"/>
        <w:widowControl/>
        <w:kinsoku w:val="0"/>
        <w:wordWrap/>
        <w:overflowPunct/>
        <w:topLinePunct w:val="0"/>
        <w:autoSpaceDE w:val="0"/>
        <w:autoSpaceDN w:val="0"/>
        <w:bidi w:val="0"/>
        <w:adjustRightInd w:val="0"/>
        <w:snapToGrid w:val="0"/>
        <w:spacing w:line="580" w:lineRule="exact"/>
        <w:ind w:left="0" w:leftChars="0"/>
        <w:jc w:val="both"/>
        <w:textAlignment w:val="baseline"/>
        <w:outlineLvl w:val="0"/>
        <w:rPr>
          <w:rFonts w:hint="eastAsia" w:ascii="Times New Roman" w:hAnsi="Times New Roman" w:eastAsia="仿宋_GB2312" w:cs="仿宋_GB2312"/>
          <w:spacing w:val="16"/>
          <w:sz w:val="32"/>
          <w:szCs w:val="32"/>
          <w:lang w:val="en-US" w:eastAsia="zh-CN"/>
        </w:rPr>
      </w:pPr>
      <w:r>
        <w:rPr>
          <w:rFonts w:hint="eastAsia" w:ascii="Times New Roman" w:hAnsi="Times New Roman" w:eastAsia="仿宋_GB2312" w:cs="仿宋_GB2312"/>
          <w:spacing w:val="16"/>
          <w:sz w:val="32"/>
          <w:szCs w:val="32"/>
          <w:lang w:val="en-US" w:eastAsia="zh-CN"/>
        </w:rPr>
        <w:t>各镇人民政府，市政府各部门、单位，滨海新区（银滩旅游度假区）、经济开发区、城区街道办事处、各市属国有企业：</w:t>
      </w:r>
    </w:p>
    <w:p w14:paraId="276E6565">
      <w:pPr>
        <w:keepNext w:val="0"/>
        <w:keepLines w:val="0"/>
        <w:pageBreakBefore w:val="0"/>
        <w:widowControl/>
        <w:kinsoku w:val="0"/>
        <w:wordWrap/>
        <w:overflowPunct/>
        <w:topLinePunct w:val="0"/>
        <w:autoSpaceDE w:val="0"/>
        <w:autoSpaceDN w:val="0"/>
        <w:bidi w:val="0"/>
        <w:adjustRightInd w:val="0"/>
        <w:snapToGrid w:val="0"/>
        <w:spacing w:line="580" w:lineRule="exact"/>
        <w:ind w:left="0" w:leftChars="0" w:firstLine="704" w:firstLineChars="200"/>
        <w:jc w:val="both"/>
        <w:textAlignment w:val="baseline"/>
        <w:outlineLvl w:val="0"/>
        <w:rPr>
          <w:rFonts w:hint="eastAsia" w:ascii="Times New Roman" w:hAnsi="Times New Roman" w:eastAsia="仿宋_GB2312" w:cs="仿宋_GB2312"/>
          <w:spacing w:val="16"/>
          <w:sz w:val="32"/>
          <w:szCs w:val="32"/>
          <w:lang w:val="en-US" w:eastAsia="zh-CN"/>
        </w:rPr>
      </w:pPr>
      <w:r>
        <w:rPr>
          <w:rFonts w:hint="eastAsia" w:ascii="Times New Roman" w:hAnsi="Times New Roman" w:eastAsia="仿宋_GB2312" w:cs="仿宋_GB2312"/>
          <w:spacing w:val="16"/>
          <w:sz w:val="32"/>
          <w:szCs w:val="32"/>
          <w:lang w:val="en-US" w:eastAsia="zh-CN"/>
        </w:rPr>
        <w:t>《乳山市噪声敏感建筑物集中区域划定方案（试行）》已经市政府同意，现印发给你们，请认真贯彻落实。</w:t>
      </w:r>
    </w:p>
    <w:p w14:paraId="24BF0E6A">
      <w:pPr>
        <w:pStyle w:val="5"/>
        <w:keepNext w:val="0"/>
        <w:keepLines w:val="0"/>
        <w:pageBreakBefore w:val="0"/>
        <w:widowControl/>
        <w:kinsoku w:val="0"/>
        <w:wordWrap/>
        <w:overflowPunct/>
        <w:topLinePunct w:val="0"/>
        <w:autoSpaceDE w:val="0"/>
        <w:autoSpaceDN w:val="0"/>
        <w:bidi w:val="0"/>
        <w:adjustRightInd w:val="0"/>
        <w:snapToGrid w:val="0"/>
        <w:spacing w:after="0" w:line="580" w:lineRule="exact"/>
        <w:ind w:left="0" w:leftChars="0"/>
        <w:textAlignment w:val="baseline"/>
        <w:rPr>
          <w:rFonts w:hint="eastAsia" w:ascii="Times New Roman" w:hAnsi="Times New Roman" w:eastAsia="仿宋_GB2312" w:cs="仿宋_GB2312"/>
          <w:spacing w:val="16"/>
          <w:sz w:val="32"/>
          <w:szCs w:val="32"/>
          <w:lang w:val="en-US" w:eastAsia="zh-CN"/>
        </w:rPr>
      </w:pPr>
    </w:p>
    <w:p w14:paraId="065B4E9F">
      <w:pPr>
        <w:rPr>
          <w:rFonts w:hint="eastAsia" w:ascii="Times New Roman" w:hAnsi="Times New Roman"/>
          <w:lang w:val="en-US" w:eastAsia="zh-CN"/>
        </w:rPr>
      </w:pPr>
    </w:p>
    <w:p w14:paraId="694E15DF">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乳山市人民政府</w:t>
      </w:r>
      <w:r>
        <w:rPr>
          <w:rFonts w:hint="eastAsia" w:ascii="Times New Roman" w:hAnsi="Times New Roman" w:eastAsia="仿宋_GB2312" w:cs="Times New Roman"/>
          <w:w w:val="100"/>
          <w:sz w:val="32"/>
          <w:szCs w:val="32"/>
          <w:lang w:eastAsia="zh-CN"/>
        </w:rPr>
        <w:t>办公室</w:t>
      </w:r>
      <w:r>
        <w:rPr>
          <w:rFonts w:hint="eastAsia" w:ascii="Times New Roman" w:hAnsi="Times New Roman" w:eastAsia="仿宋_GB2312" w:cs="Times New Roman"/>
          <w:w w:val="100"/>
          <w:sz w:val="32"/>
          <w:szCs w:val="32"/>
          <w:lang w:val="en-US" w:eastAsia="zh-CN"/>
        </w:rPr>
        <w:t xml:space="preserve">          </w:t>
      </w:r>
    </w:p>
    <w:p w14:paraId="53144D4E">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w w:val="50"/>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p>
    <w:p w14:paraId="746FBBCC">
      <w:pPr>
        <w:keepNext w:val="0"/>
        <w:keepLines w:val="0"/>
        <w:pageBreakBefore w:val="0"/>
        <w:widowControl w:val="0"/>
        <w:kinsoku/>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小标宋简体" w:cs="Times New Roman"/>
          <w:spacing w:val="16"/>
          <w:sz w:val="44"/>
          <w:szCs w:val="44"/>
          <w:lang w:val="en-US" w:eastAsia="zh-CN"/>
        </w:rPr>
      </w:pPr>
      <w:r>
        <w:rPr>
          <w:rFonts w:eastAsia="仿宋_GB2312"/>
          <w:sz w:val="32"/>
          <w:szCs w:val="32"/>
        </w:rPr>
        <w:t>（此件公开发布）</w:t>
      </w:r>
    </w:p>
    <w:p w14:paraId="6EB2BBEC">
      <w:pPr>
        <w:keepNext w:val="0"/>
        <w:keepLines w:val="0"/>
        <w:pageBreakBefore w:val="0"/>
        <w:wordWrap/>
        <w:topLinePunct w:val="0"/>
        <w:autoSpaceDE w:val="0"/>
        <w:autoSpaceDN w:val="0"/>
        <w:bidi w:val="0"/>
        <w:adjustRightInd w:val="0"/>
        <w:snapToGrid w:val="0"/>
        <w:spacing w:line="560" w:lineRule="exact"/>
        <w:jc w:val="center"/>
        <w:textAlignment w:val="baseline"/>
        <w:outlineLvl w:val="0"/>
        <w:rPr>
          <w:rFonts w:hint="default" w:ascii="Times New Roman" w:hAnsi="Times New Roman" w:eastAsia="方正小标宋简体" w:cs="Times New Roman"/>
          <w:spacing w:val="16"/>
          <w:sz w:val="44"/>
          <w:szCs w:val="44"/>
          <w:lang w:val="en-US" w:eastAsia="zh-CN"/>
        </w:rPr>
      </w:pPr>
    </w:p>
    <w:p w14:paraId="59DE6804">
      <w:pPr>
        <w:keepNext w:val="0"/>
        <w:keepLines w:val="0"/>
        <w:pageBreakBefore w:val="0"/>
        <w:wordWrap/>
        <w:topLinePunct w:val="0"/>
        <w:autoSpaceDE w:val="0"/>
        <w:autoSpaceDN w:val="0"/>
        <w:bidi w:val="0"/>
        <w:adjustRightInd w:val="0"/>
        <w:snapToGrid w:val="0"/>
        <w:spacing w:line="560" w:lineRule="exact"/>
        <w:jc w:val="center"/>
        <w:textAlignment w:val="baseline"/>
        <w:outlineLvl w:val="0"/>
        <w:rPr>
          <w:rFonts w:hint="default" w:ascii="Times New Roman" w:hAnsi="Times New Roman" w:eastAsia="方正小标宋简体" w:cs="Times New Roman"/>
          <w:spacing w:val="16"/>
          <w:sz w:val="44"/>
          <w:szCs w:val="44"/>
          <w:lang w:val="en-US" w:eastAsia="zh-CN"/>
        </w:rPr>
      </w:pPr>
    </w:p>
    <w:p w14:paraId="4EDA721C">
      <w:pPr>
        <w:keepNext w:val="0"/>
        <w:keepLines w:val="0"/>
        <w:pageBreakBefore w:val="0"/>
        <w:wordWrap/>
        <w:topLinePunct w:val="0"/>
        <w:autoSpaceDE w:val="0"/>
        <w:autoSpaceDN w:val="0"/>
        <w:bidi w:val="0"/>
        <w:adjustRightInd w:val="0"/>
        <w:snapToGrid w:val="0"/>
        <w:spacing w:line="560" w:lineRule="exact"/>
        <w:jc w:val="center"/>
        <w:textAlignment w:val="baseline"/>
        <w:outlineLvl w:val="0"/>
        <w:rPr>
          <w:rFonts w:hint="default" w:ascii="Times New Roman" w:hAnsi="Times New Roman" w:eastAsia="方正小标宋简体" w:cs="Times New Roman"/>
          <w:spacing w:val="16"/>
          <w:sz w:val="44"/>
          <w:szCs w:val="44"/>
          <w:lang w:val="en-US" w:eastAsia="zh-CN"/>
        </w:rPr>
      </w:pPr>
    </w:p>
    <w:p w14:paraId="64B93DA4">
      <w:pPr>
        <w:keepNext w:val="0"/>
        <w:keepLines w:val="0"/>
        <w:pageBreakBefore w:val="0"/>
        <w:wordWrap/>
        <w:topLinePunct w:val="0"/>
        <w:autoSpaceDE w:val="0"/>
        <w:autoSpaceDN w:val="0"/>
        <w:bidi w:val="0"/>
        <w:adjustRightInd w:val="0"/>
        <w:snapToGrid w:val="0"/>
        <w:spacing w:line="560" w:lineRule="exact"/>
        <w:jc w:val="center"/>
        <w:textAlignment w:val="baseline"/>
        <w:outlineLvl w:val="0"/>
        <w:rPr>
          <w:rFonts w:hint="default" w:ascii="Times New Roman" w:hAnsi="Times New Roman" w:eastAsia="方正小标宋简体" w:cs="Times New Roman"/>
          <w:spacing w:val="16"/>
          <w:sz w:val="44"/>
          <w:szCs w:val="44"/>
          <w:lang w:val="en-US" w:eastAsia="zh-CN"/>
        </w:rPr>
      </w:pPr>
    </w:p>
    <w:p w14:paraId="35628FE0">
      <w:pPr>
        <w:keepNext w:val="0"/>
        <w:keepLines w:val="0"/>
        <w:pageBreakBefore w:val="0"/>
        <w:wordWrap/>
        <w:topLinePunct w:val="0"/>
        <w:autoSpaceDE w:val="0"/>
        <w:autoSpaceDN w:val="0"/>
        <w:bidi w:val="0"/>
        <w:adjustRightInd w:val="0"/>
        <w:snapToGrid w:val="0"/>
        <w:spacing w:line="560" w:lineRule="exact"/>
        <w:jc w:val="center"/>
        <w:textAlignment w:val="baseline"/>
        <w:outlineLvl w:val="0"/>
        <w:rPr>
          <w:rFonts w:hint="default" w:ascii="Times New Roman" w:hAnsi="Times New Roman" w:eastAsia="方正小标宋简体" w:cs="Times New Roman"/>
          <w:spacing w:val="16"/>
          <w:sz w:val="44"/>
          <w:szCs w:val="44"/>
          <w:lang w:val="en-US" w:eastAsia="zh-CN"/>
        </w:rPr>
      </w:pPr>
    </w:p>
    <w:p w14:paraId="6D7DEF86">
      <w:pPr>
        <w:keepNext w:val="0"/>
        <w:keepLines w:val="0"/>
        <w:pageBreakBefore w:val="0"/>
        <w:wordWrap/>
        <w:topLinePunct w:val="0"/>
        <w:autoSpaceDE w:val="0"/>
        <w:autoSpaceDN w:val="0"/>
        <w:bidi w:val="0"/>
        <w:adjustRightInd w:val="0"/>
        <w:snapToGrid w:val="0"/>
        <w:spacing w:line="560" w:lineRule="exact"/>
        <w:jc w:val="center"/>
        <w:textAlignment w:val="baseline"/>
        <w:outlineLvl w:val="0"/>
        <w:rPr>
          <w:rFonts w:hint="default" w:ascii="Times New Roman" w:hAnsi="Times New Roman" w:eastAsia="方正小标宋简体" w:cs="Times New Roman"/>
          <w:spacing w:val="9"/>
          <w:sz w:val="44"/>
          <w:szCs w:val="44"/>
        </w:rPr>
      </w:pPr>
      <w:r>
        <w:rPr>
          <w:rFonts w:hint="default" w:ascii="Times New Roman" w:hAnsi="Times New Roman" w:eastAsia="方正小标宋简体" w:cs="Times New Roman"/>
          <w:spacing w:val="16"/>
          <w:sz w:val="44"/>
          <w:szCs w:val="44"/>
          <w:lang w:val="en-US" w:eastAsia="zh-CN"/>
        </w:rPr>
        <w:t>乳山</w:t>
      </w:r>
      <w:r>
        <w:rPr>
          <w:rFonts w:hint="default" w:ascii="Times New Roman" w:hAnsi="Times New Roman" w:eastAsia="方正小标宋简体" w:cs="Times New Roman"/>
          <w:spacing w:val="9"/>
          <w:sz w:val="44"/>
          <w:szCs w:val="44"/>
        </w:rPr>
        <w:t>市噪声敏感建筑物集中区域划定方案</w:t>
      </w:r>
    </w:p>
    <w:p w14:paraId="30DECB29">
      <w:pPr>
        <w:keepNext w:val="0"/>
        <w:keepLines w:val="0"/>
        <w:pageBreakBefore w:val="0"/>
        <w:wordWrap/>
        <w:topLinePunct w:val="0"/>
        <w:autoSpaceDE w:val="0"/>
        <w:autoSpaceDN w:val="0"/>
        <w:bidi w:val="0"/>
        <w:adjustRightInd w:val="0"/>
        <w:snapToGrid w:val="0"/>
        <w:spacing w:line="560" w:lineRule="exact"/>
        <w:jc w:val="center"/>
        <w:textAlignment w:val="baseline"/>
        <w:outlineLvl w:val="0"/>
        <w:rPr>
          <w:rFonts w:hint="default" w:ascii="Times New Roman" w:hAnsi="Times New Roman" w:eastAsia="方正小标宋简体" w:cs="Times New Roman"/>
          <w:spacing w:val="9"/>
          <w:sz w:val="44"/>
          <w:szCs w:val="44"/>
          <w:lang w:eastAsia="zh-CN"/>
        </w:rPr>
      </w:pPr>
      <w:r>
        <w:rPr>
          <w:rFonts w:hint="default" w:ascii="Times New Roman" w:hAnsi="Times New Roman" w:eastAsia="方正小标宋简体" w:cs="Times New Roman"/>
          <w:spacing w:val="9"/>
          <w:sz w:val="44"/>
          <w:szCs w:val="44"/>
          <w:lang w:eastAsia="zh-CN"/>
        </w:rPr>
        <w:t>（</w:t>
      </w:r>
      <w:r>
        <w:rPr>
          <w:rFonts w:hint="default" w:ascii="Times New Roman" w:hAnsi="Times New Roman" w:eastAsia="方正小标宋简体" w:cs="Times New Roman"/>
          <w:spacing w:val="9"/>
          <w:sz w:val="44"/>
          <w:szCs w:val="44"/>
        </w:rPr>
        <w:t>试行</w:t>
      </w:r>
      <w:r>
        <w:rPr>
          <w:rFonts w:hint="default" w:ascii="Times New Roman" w:hAnsi="Times New Roman" w:eastAsia="方正小标宋简体" w:cs="Times New Roman"/>
          <w:spacing w:val="9"/>
          <w:sz w:val="44"/>
          <w:szCs w:val="44"/>
          <w:lang w:eastAsia="zh-CN"/>
        </w:rPr>
        <w:t>）</w:t>
      </w:r>
    </w:p>
    <w:p w14:paraId="5AB34721">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default" w:ascii="Times New Roman" w:hAnsi="Times New Roman" w:eastAsia="仿宋_GB2312" w:cs="Times New Roman"/>
          <w:sz w:val="32"/>
          <w:szCs w:val="32"/>
        </w:rPr>
      </w:pPr>
    </w:p>
    <w:p w14:paraId="665A2F95">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8"/>
          <w:sz w:val="32"/>
          <w:szCs w:val="32"/>
        </w:rPr>
        <w:t>为进一步</w:t>
      </w:r>
      <w:r>
        <w:rPr>
          <w:rFonts w:hint="default" w:ascii="Times New Roman" w:hAnsi="Times New Roman" w:eastAsia="仿宋_GB2312" w:cs="Times New Roman"/>
          <w:spacing w:val="6"/>
          <w:sz w:val="32"/>
          <w:szCs w:val="32"/>
        </w:rPr>
        <w:t>提</w:t>
      </w:r>
      <w:r>
        <w:rPr>
          <w:rFonts w:hint="default" w:ascii="Times New Roman" w:hAnsi="Times New Roman" w:eastAsia="仿宋_GB2312" w:cs="Times New Roman"/>
          <w:spacing w:val="4"/>
          <w:sz w:val="32"/>
          <w:szCs w:val="32"/>
        </w:rPr>
        <w:t>升我市声环境质量，持续保障人民群众安静居住</w:t>
      </w:r>
      <w:r>
        <w:rPr>
          <w:rFonts w:hint="default" w:ascii="Times New Roman" w:hAnsi="Times New Roman" w:eastAsia="仿宋_GB2312" w:cs="Times New Roman"/>
          <w:spacing w:val="10"/>
          <w:sz w:val="32"/>
          <w:szCs w:val="32"/>
        </w:rPr>
        <w:t>环境</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5"/>
          <w:sz w:val="32"/>
          <w:szCs w:val="32"/>
        </w:rPr>
        <w:t>依据相关法律法规和《山东省生态环境厅关于推动开展噪</w:t>
      </w:r>
      <w:r>
        <w:rPr>
          <w:rFonts w:hint="default" w:ascii="Times New Roman" w:hAnsi="Times New Roman" w:eastAsia="仿宋_GB2312" w:cs="Times New Roman"/>
          <w:spacing w:val="20"/>
          <w:sz w:val="32"/>
          <w:szCs w:val="32"/>
        </w:rPr>
        <w:t>声</w:t>
      </w:r>
      <w:r>
        <w:rPr>
          <w:rFonts w:hint="default" w:ascii="Times New Roman" w:hAnsi="Times New Roman" w:eastAsia="仿宋_GB2312" w:cs="Times New Roman"/>
          <w:spacing w:val="10"/>
          <w:sz w:val="32"/>
          <w:szCs w:val="32"/>
        </w:rPr>
        <w:t>敏感建筑物集中区域划定和管理试点工作的通知》</w:t>
      </w:r>
      <w:r>
        <w:rPr>
          <w:rFonts w:hint="default"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鲁环便函</w:t>
      </w:r>
      <w:r>
        <w:rPr>
          <w:rFonts w:hint="default" w:ascii="Times New Roman" w:hAnsi="Times New Roman" w:eastAsia="仿宋_GB2312" w:cs="Times New Roman"/>
          <w:spacing w:val="3"/>
          <w:sz w:val="32"/>
          <w:szCs w:val="32"/>
        </w:rPr>
        <w:t>〔2025〕865号</w:t>
      </w:r>
      <w:r>
        <w:rPr>
          <w:rFonts w:hint="default" w:ascii="Times New Roman" w:hAnsi="Times New Roman" w:eastAsia="仿宋_GB2312" w:cs="Times New Roman"/>
          <w:spacing w:val="3"/>
          <w:sz w:val="32"/>
          <w:szCs w:val="32"/>
          <w:lang w:eastAsia="zh-CN"/>
        </w:rPr>
        <w:t>）、《威海市人民政府办公室关于印发威海市噪声敏感建筑物集中区域划定方案（试行）的通知》（威政办发〔2025〕12号）</w:t>
      </w:r>
      <w:r>
        <w:rPr>
          <w:rFonts w:hint="default" w:ascii="Times New Roman" w:hAnsi="Times New Roman" w:eastAsia="仿宋_GB2312" w:cs="Times New Roman"/>
          <w:spacing w:val="3"/>
          <w:sz w:val="32"/>
          <w:szCs w:val="32"/>
        </w:rPr>
        <w:t>等要求，结合我市实际，制定本方案。</w:t>
      </w:r>
    </w:p>
    <w:p w14:paraId="638D02DB">
      <w:pPr>
        <w:keepNext w:val="0"/>
        <w:keepLines w:val="0"/>
        <w:pageBreakBefore w:val="0"/>
        <w:widowControl w:val="0"/>
        <w:kinsoku/>
        <w:wordWrap/>
        <w:overflowPunct w:val="0"/>
        <w:topLinePunct/>
        <w:autoSpaceDE/>
        <w:autoSpaceDN/>
        <w:bidi w:val="0"/>
        <w:adjustRightInd w:val="0"/>
        <w:snapToGrid w:val="0"/>
        <w:spacing w:line="570" w:lineRule="exact"/>
        <w:ind w:left="0" w:right="0" w:firstLine="668" w:firstLineChars="200"/>
        <w:jc w:val="both"/>
        <w:textAlignment w:val="baseline"/>
        <w:rPr>
          <w:rFonts w:hint="default" w:ascii="Times New Roman" w:hAnsi="Times New Roman" w:eastAsia="黑体" w:cs="Times New Roman"/>
          <w:spacing w:val="7"/>
          <w:position w:val="4"/>
          <w:sz w:val="32"/>
          <w:szCs w:val="32"/>
        </w:rPr>
      </w:pPr>
      <w:r>
        <w:rPr>
          <w:rFonts w:hint="default" w:ascii="Times New Roman" w:hAnsi="Times New Roman" w:eastAsia="黑体" w:cs="Times New Roman"/>
          <w:spacing w:val="7"/>
          <w:position w:val="4"/>
          <w:sz w:val="32"/>
          <w:szCs w:val="32"/>
          <w:lang w:val="en-US" w:eastAsia="zh-CN"/>
        </w:rPr>
        <w:t>一、</w:t>
      </w:r>
      <w:r>
        <w:rPr>
          <w:rFonts w:hint="default" w:ascii="Times New Roman" w:hAnsi="Times New Roman" w:eastAsia="黑体" w:cs="Times New Roman"/>
          <w:spacing w:val="7"/>
          <w:position w:val="4"/>
          <w:sz w:val="32"/>
          <w:szCs w:val="32"/>
        </w:rPr>
        <w:t>术语和定义</w:t>
      </w:r>
    </w:p>
    <w:p w14:paraId="03443C9B">
      <w:pPr>
        <w:keepNext w:val="0"/>
        <w:keepLines w:val="0"/>
        <w:pageBreakBefore w:val="0"/>
        <w:widowControl w:val="0"/>
        <w:kinsoku/>
        <w:wordWrap/>
        <w:overflowPunct w:val="0"/>
        <w:topLinePunct/>
        <w:autoSpaceDE/>
        <w:autoSpaceDN/>
        <w:bidi w:val="0"/>
        <w:adjustRightInd w:val="0"/>
        <w:snapToGrid w:val="0"/>
        <w:spacing w:line="570" w:lineRule="exact"/>
        <w:ind w:left="0" w:leftChars="0" w:right="0" w:firstLine="636" w:firstLineChars="200"/>
        <w:jc w:val="both"/>
        <w:textAlignment w:val="baseline"/>
        <w:rPr>
          <w:rFonts w:hint="eastAsia" w:ascii="Times New Roman" w:hAnsi="Times New Roman" w:eastAsia="楷体_GB2312" w:cs="Times New Roman"/>
          <w:spacing w:val="-1"/>
          <w:sz w:val="32"/>
          <w:szCs w:val="32"/>
          <w:lang w:val="en-US" w:eastAsia="zh-CN"/>
        </w:rPr>
      </w:pP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lang w:val="en-US" w:eastAsia="zh-CN"/>
        </w:rPr>
        <w:t>一</w:t>
      </w: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rPr>
        <w:t>噪声敏感建筑物</w:t>
      </w:r>
      <w:r>
        <w:rPr>
          <w:rFonts w:hint="eastAsia" w:ascii="Times New Roman" w:hAnsi="Times New Roman" w:eastAsia="楷体_GB2312" w:cs="Times New Roman"/>
          <w:spacing w:val="-1"/>
          <w:sz w:val="32"/>
          <w:szCs w:val="32"/>
          <w:lang w:eastAsia="zh-CN"/>
        </w:rPr>
        <w:t>。</w:t>
      </w:r>
    </w:p>
    <w:p w14:paraId="1C447C20">
      <w:pPr>
        <w:keepNext w:val="0"/>
        <w:keepLines w:val="0"/>
        <w:pageBreakBefore w:val="0"/>
        <w:widowControl w:val="0"/>
        <w:kinsoku/>
        <w:wordWrap/>
        <w:overflowPunct w:val="0"/>
        <w:topLinePunct/>
        <w:autoSpaceDE/>
        <w:autoSpaceDN/>
        <w:bidi w:val="0"/>
        <w:adjustRightInd w:val="0"/>
        <w:snapToGrid w:val="0"/>
        <w:spacing w:line="570" w:lineRule="exact"/>
        <w:ind w:left="0" w:leftChars="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指用于居住、科学研究、医疗卫生、文化教育、机关团体办公、社会福利等需要保持安静的建筑物。</w:t>
      </w:r>
    </w:p>
    <w:p w14:paraId="7CD61098">
      <w:pPr>
        <w:keepNext w:val="0"/>
        <w:keepLines w:val="0"/>
        <w:pageBreakBefore w:val="0"/>
        <w:widowControl w:val="0"/>
        <w:kinsoku/>
        <w:wordWrap/>
        <w:overflowPunct w:val="0"/>
        <w:topLinePunct/>
        <w:autoSpaceDE/>
        <w:autoSpaceDN/>
        <w:bidi w:val="0"/>
        <w:adjustRightInd w:val="0"/>
        <w:snapToGrid w:val="0"/>
        <w:spacing w:line="570" w:lineRule="exact"/>
        <w:ind w:left="0" w:leftChars="0" w:right="0" w:firstLine="636" w:firstLineChars="200"/>
        <w:jc w:val="both"/>
        <w:textAlignment w:val="baseline"/>
        <w:rPr>
          <w:rFonts w:hint="default" w:ascii="Times New Roman" w:hAnsi="Times New Roman" w:eastAsia="楷体_GB2312" w:cs="Times New Roman"/>
          <w:spacing w:val="-1"/>
          <w:sz w:val="32"/>
          <w:szCs w:val="32"/>
          <w:lang w:eastAsia="zh-CN"/>
        </w:rPr>
      </w:pP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lang w:val="en-US" w:eastAsia="zh-CN"/>
        </w:rPr>
        <w:t>二</w:t>
      </w:r>
      <w:r>
        <w:rPr>
          <w:rFonts w:hint="default" w:ascii="Times New Roman" w:hAnsi="Times New Roman" w:eastAsia="楷体_GB2312" w:cs="Times New Roman"/>
          <w:spacing w:val="-1"/>
          <w:sz w:val="32"/>
          <w:szCs w:val="32"/>
          <w:lang w:eastAsia="zh-CN"/>
        </w:rPr>
        <w:t>）噪声敏感建筑物集中区域</w:t>
      </w:r>
      <w:r>
        <w:rPr>
          <w:rFonts w:hint="eastAsia" w:ascii="Times New Roman" w:hAnsi="Times New Roman" w:eastAsia="楷体_GB2312" w:cs="Times New Roman"/>
          <w:spacing w:val="-1"/>
          <w:sz w:val="32"/>
          <w:szCs w:val="32"/>
          <w:lang w:eastAsia="zh-CN"/>
        </w:rPr>
        <w:t>。</w:t>
      </w:r>
    </w:p>
    <w:p w14:paraId="2A0DF469">
      <w:pPr>
        <w:keepNext w:val="0"/>
        <w:keepLines w:val="0"/>
        <w:pageBreakBefore w:val="0"/>
        <w:widowControl w:val="0"/>
        <w:numPr>
          <w:ilvl w:val="0"/>
          <w:numId w:val="0"/>
        </w:numPr>
        <w:kinsoku/>
        <w:wordWrap/>
        <w:overflowPunct w:val="0"/>
        <w:topLinePunct/>
        <w:autoSpaceDE/>
        <w:autoSpaceDN/>
        <w:bidi w:val="0"/>
        <w:adjustRightInd w:val="0"/>
        <w:snapToGrid w:val="0"/>
        <w:spacing w:line="570" w:lineRule="exact"/>
        <w:ind w:left="0" w:leftChars="0" w:right="0" w:rightChars="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指用于居住、科学研究、医疗卫生、文化教育、机关团体办公、社会福利等建筑物为主的区域。</w:t>
      </w:r>
    </w:p>
    <w:p w14:paraId="7E44C391">
      <w:pPr>
        <w:keepNext w:val="0"/>
        <w:keepLines w:val="0"/>
        <w:pageBreakBefore w:val="0"/>
        <w:widowControl w:val="0"/>
        <w:kinsoku/>
        <w:wordWrap/>
        <w:overflowPunct w:val="0"/>
        <w:topLinePunct/>
        <w:autoSpaceDE/>
        <w:autoSpaceDN/>
        <w:bidi w:val="0"/>
        <w:adjustRightInd w:val="0"/>
        <w:snapToGrid w:val="0"/>
        <w:spacing w:line="570" w:lineRule="exact"/>
        <w:ind w:left="0" w:right="0" w:firstLine="668" w:firstLineChars="200"/>
        <w:jc w:val="both"/>
        <w:textAlignment w:val="baseline"/>
        <w:rPr>
          <w:rFonts w:hint="default" w:ascii="Times New Roman" w:hAnsi="Times New Roman" w:eastAsia="黑体" w:cs="Times New Roman"/>
          <w:spacing w:val="7"/>
          <w:position w:val="4"/>
          <w:sz w:val="32"/>
          <w:szCs w:val="32"/>
        </w:rPr>
      </w:pPr>
      <w:r>
        <w:rPr>
          <w:rFonts w:hint="default" w:ascii="Times New Roman" w:hAnsi="Times New Roman" w:eastAsia="黑体" w:cs="Times New Roman"/>
          <w:spacing w:val="7"/>
          <w:position w:val="4"/>
          <w:sz w:val="32"/>
          <w:szCs w:val="32"/>
          <w:lang w:val="en-US" w:eastAsia="zh-CN"/>
        </w:rPr>
        <w:t>二</w:t>
      </w:r>
      <w:r>
        <w:rPr>
          <w:rFonts w:hint="default" w:ascii="Times New Roman" w:hAnsi="Times New Roman" w:eastAsia="黑体" w:cs="Times New Roman"/>
          <w:spacing w:val="7"/>
          <w:position w:val="4"/>
          <w:sz w:val="32"/>
          <w:szCs w:val="32"/>
        </w:rPr>
        <w:t>、划定原则</w:t>
      </w:r>
    </w:p>
    <w:p w14:paraId="5B899C39">
      <w:pPr>
        <w:keepNext w:val="0"/>
        <w:keepLines w:val="0"/>
        <w:pageBreakBefore w:val="0"/>
        <w:widowControl w:val="0"/>
        <w:kinsoku/>
        <w:wordWrap/>
        <w:overflowPunct w:val="0"/>
        <w:topLinePunct/>
        <w:autoSpaceDE/>
        <w:autoSpaceDN/>
        <w:bidi w:val="0"/>
        <w:adjustRightInd w:val="0"/>
        <w:snapToGrid w:val="0"/>
        <w:spacing w:line="570" w:lineRule="exact"/>
        <w:ind w:left="0" w:right="0" w:firstLine="636"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lang w:val="en-US" w:eastAsia="zh-CN"/>
        </w:rPr>
        <w:t>一</w:t>
      </w:r>
      <w:r>
        <w:rPr>
          <w:rFonts w:hint="default" w:ascii="Times New Roman" w:hAnsi="Times New Roman" w:eastAsia="楷体_GB2312" w:cs="Times New Roman"/>
          <w:spacing w:val="-1"/>
          <w:sz w:val="32"/>
          <w:szCs w:val="32"/>
          <w:lang w:eastAsia="zh-CN"/>
        </w:rPr>
        <w:t>）现状优先。</w:t>
      </w:r>
      <w:r>
        <w:rPr>
          <w:rFonts w:hint="default" w:ascii="Times New Roman" w:hAnsi="Times New Roman" w:eastAsia="仿宋_GB2312" w:cs="Times New Roman"/>
          <w:spacing w:val="8"/>
          <w:sz w:val="32"/>
          <w:szCs w:val="32"/>
        </w:rPr>
        <w:t>以城市建设现状为基础进行划分，辅助结合规划。</w:t>
      </w:r>
    </w:p>
    <w:p w14:paraId="60F99D4C">
      <w:pPr>
        <w:keepNext w:val="0"/>
        <w:keepLines w:val="0"/>
        <w:pageBreakBefore w:val="0"/>
        <w:widowControl w:val="0"/>
        <w:kinsoku/>
        <w:wordWrap/>
        <w:overflowPunct w:val="0"/>
        <w:topLinePunct/>
        <w:autoSpaceDE/>
        <w:autoSpaceDN/>
        <w:bidi w:val="0"/>
        <w:adjustRightInd w:val="0"/>
        <w:snapToGrid w:val="0"/>
        <w:spacing w:line="570" w:lineRule="exact"/>
        <w:ind w:left="0" w:right="0" w:firstLine="636"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lang w:val="en-US" w:eastAsia="zh-CN"/>
        </w:rPr>
        <w:t>二</w:t>
      </w:r>
      <w:r>
        <w:rPr>
          <w:rFonts w:hint="default" w:ascii="Times New Roman" w:hAnsi="Times New Roman" w:eastAsia="楷体_GB2312" w:cs="Times New Roman"/>
          <w:spacing w:val="-1"/>
          <w:sz w:val="32"/>
          <w:szCs w:val="32"/>
          <w:lang w:eastAsia="zh-CN"/>
        </w:rPr>
        <w:t>）边界清晰。</w:t>
      </w:r>
      <w:r>
        <w:rPr>
          <w:rFonts w:hint="default" w:ascii="Times New Roman" w:hAnsi="Times New Roman" w:eastAsia="仿宋_GB2312" w:cs="Times New Roman"/>
          <w:spacing w:val="8"/>
          <w:sz w:val="32"/>
          <w:szCs w:val="32"/>
        </w:rPr>
        <w:t>充分利用建筑用地边界、交通干线</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河流</w:t>
      </w:r>
      <w:r>
        <w:rPr>
          <w:rFonts w:hint="default" w:ascii="Times New Roman" w:hAnsi="Times New Roman" w:eastAsia="仿宋_GB2312" w:cs="Times New Roman"/>
          <w:spacing w:val="8"/>
          <w:sz w:val="32"/>
          <w:szCs w:val="32"/>
        </w:rPr>
        <w:t>等，形成易于辨识、清晰明确的边界。</w:t>
      </w:r>
    </w:p>
    <w:p w14:paraId="385FD776">
      <w:pPr>
        <w:keepNext w:val="0"/>
        <w:keepLines w:val="0"/>
        <w:pageBreakBefore w:val="0"/>
        <w:widowControl w:val="0"/>
        <w:kinsoku/>
        <w:wordWrap/>
        <w:overflowPunct w:val="0"/>
        <w:topLinePunct/>
        <w:autoSpaceDE/>
        <w:autoSpaceDN/>
        <w:bidi w:val="0"/>
        <w:adjustRightInd w:val="0"/>
        <w:snapToGrid w:val="0"/>
        <w:spacing w:line="570" w:lineRule="exact"/>
        <w:ind w:left="0" w:right="0" w:firstLine="636"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lang w:val="en-US" w:eastAsia="zh-CN"/>
        </w:rPr>
        <w:t>三</w:t>
      </w:r>
      <w:r>
        <w:rPr>
          <w:rFonts w:hint="default" w:ascii="Times New Roman" w:hAnsi="Times New Roman" w:eastAsia="楷体_GB2312" w:cs="Times New Roman"/>
          <w:spacing w:val="-1"/>
          <w:sz w:val="32"/>
          <w:szCs w:val="32"/>
          <w:lang w:eastAsia="zh-CN"/>
        </w:rPr>
        <w:t>）集中连片。</w:t>
      </w:r>
      <w:r>
        <w:rPr>
          <w:rFonts w:hint="default" w:ascii="Times New Roman" w:hAnsi="Times New Roman" w:eastAsia="仿宋_GB2312" w:cs="Times New Roman"/>
          <w:spacing w:val="8"/>
          <w:sz w:val="32"/>
          <w:szCs w:val="32"/>
        </w:rPr>
        <w:t>单一区块内噪声敏感建筑物面积占比原则上不小于70</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，区块最小面积阈值为0.1km</w:t>
      </w:r>
      <w:r>
        <w:rPr>
          <w:rFonts w:hint="default" w:ascii="Times New Roman" w:hAnsi="Times New Roman" w:eastAsia="仿宋_GB2312" w:cs="Times New Roman"/>
          <w:spacing w:val="8"/>
          <w:sz w:val="32"/>
          <w:szCs w:val="32"/>
          <w:vertAlign w:val="superscript"/>
          <w:lang w:val="en-US" w:eastAsia="zh-CN"/>
        </w:rPr>
        <w:t>2</w:t>
      </w:r>
      <w:r>
        <w:rPr>
          <w:rFonts w:hint="default" w:ascii="Times New Roman" w:hAnsi="Times New Roman" w:eastAsia="仿宋_GB2312" w:cs="Times New Roman"/>
          <w:spacing w:val="8"/>
          <w:sz w:val="32"/>
          <w:szCs w:val="32"/>
        </w:rPr>
        <w:t>，避免零散划分。</w:t>
      </w:r>
    </w:p>
    <w:p w14:paraId="18569163">
      <w:pPr>
        <w:keepNext w:val="0"/>
        <w:keepLines w:val="0"/>
        <w:pageBreakBefore w:val="0"/>
        <w:widowControl w:val="0"/>
        <w:kinsoku/>
        <w:wordWrap/>
        <w:overflowPunct w:val="0"/>
        <w:topLinePunct/>
        <w:autoSpaceDE/>
        <w:autoSpaceDN/>
        <w:bidi w:val="0"/>
        <w:adjustRightInd w:val="0"/>
        <w:snapToGrid w:val="0"/>
        <w:spacing w:line="570" w:lineRule="exact"/>
        <w:ind w:left="0" w:right="0" w:firstLine="668" w:firstLineChars="200"/>
        <w:jc w:val="both"/>
        <w:textAlignment w:val="baseline"/>
        <w:rPr>
          <w:rFonts w:hint="default" w:ascii="Times New Roman" w:hAnsi="Times New Roman" w:eastAsia="黑体" w:cs="Times New Roman"/>
          <w:spacing w:val="7"/>
          <w:position w:val="4"/>
          <w:sz w:val="32"/>
          <w:szCs w:val="32"/>
          <w:lang w:val="en-US" w:eastAsia="zh-CN"/>
        </w:rPr>
      </w:pPr>
      <w:r>
        <w:rPr>
          <w:rFonts w:hint="default" w:ascii="Times New Roman" w:hAnsi="Times New Roman" w:eastAsia="黑体" w:cs="Times New Roman"/>
          <w:spacing w:val="7"/>
          <w:position w:val="4"/>
          <w:sz w:val="32"/>
          <w:szCs w:val="32"/>
          <w:lang w:val="en-US" w:eastAsia="zh-CN"/>
        </w:rPr>
        <w:t>三</w:t>
      </w:r>
      <w:r>
        <w:rPr>
          <w:rFonts w:hint="default" w:ascii="Times New Roman" w:hAnsi="Times New Roman" w:eastAsia="黑体" w:cs="Times New Roman"/>
          <w:spacing w:val="7"/>
          <w:position w:val="4"/>
          <w:sz w:val="32"/>
          <w:szCs w:val="32"/>
        </w:rPr>
        <w:t>、划定</w:t>
      </w:r>
      <w:r>
        <w:rPr>
          <w:rFonts w:hint="default" w:ascii="Times New Roman" w:hAnsi="Times New Roman" w:eastAsia="黑体" w:cs="Times New Roman"/>
          <w:spacing w:val="7"/>
          <w:position w:val="4"/>
          <w:sz w:val="32"/>
          <w:szCs w:val="32"/>
          <w:lang w:val="en-US" w:eastAsia="zh-CN"/>
        </w:rPr>
        <w:t>方法</w:t>
      </w:r>
    </w:p>
    <w:p w14:paraId="76846389">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一</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对1类声环境功能区范围内，噪声敏感建筑物</w:t>
      </w:r>
      <w:r>
        <w:rPr>
          <w:rFonts w:hint="default" w:ascii="Times New Roman" w:hAnsi="Times New Roman" w:eastAsia="仿宋_GB2312" w:cs="Times New Roman"/>
          <w:spacing w:val="8"/>
          <w:sz w:val="32"/>
          <w:szCs w:val="32"/>
          <w:lang w:val="en-US" w:eastAsia="zh-CN"/>
        </w:rPr>
        <w:t>集中的区域</w:t>
      </w:r>
      <w:r>
        <w:rPr>
          <w:rFonts w:hint="default" w:ascii="Times New Roman" w:hAnsi="Times New Roman" w:eastAsia="仿宋_GB2312" w:cs="Times New Roman"/>
          <w:spacing w:val="8"/>
          <w:sz w:val="32"/>
          <w:szCs w:val="32"/>
        </w:rPr>
        <w:t>划定为噪声敏感建筑物集中区域</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剔除集市贸易、公用设施</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空地</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公园、大片绿地</w:t>
      </w:r>
      <w:r>
        <w:rPr>
          <w:rFonts w:hint="default" w:ascii="Times New Roman" w:hAnsi="Times New Roman" w:eastAsia="仿宋_GB2312" w:cs="Times New Roman"/>
          <w:spacing w:val="8"/>
          <w:sz w:val="32"/>
          <w:szCs w:val="32"/>
        </w:rPr>
        <w:t>等非敏感建筑物。</w:t>
      </w:r>
    </w:p>
    <w:p w14:paraId="24609680">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二</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临街的商业综合体应剔尽剔，沿街商铺除外。</w:t>
      </w:r>
    </w:p>
    <w:p w14:paraId="121EA635">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三</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将非交通干线分隔的多个相邻区域合并为一个连片噪声敏感建筑物集中区域。其中，非交通干线可作为集中区域内部道路纳入面积统计。</w:t>
      </w:r>
    </w:p>
    <w:p w14:paraId="1159D49D">
      <w:pPr>
        <w:keepNext w:val="0"/>
        <w:keepLines w:val="0"/>
        <w:pageBreakBefore w:val="0"/>
        <w:widowControl w:val="0"/>
        <w:kinsoku/>
        <w:wordWrap/>
        <w:overflowPunct w:val="0"/>
        <w:topLinePunct/>
        <w:autoSpaceDE/>
        <w:autoSpaceDN/>
        <w:bidi w:val="0"/>
        <w:adjustRightInd w:val="0"/>
        <w:snapToGrid w:val="0"/>
        <w:spacing w:line="570" w:lineRule="exact"/>
        <w:ind w:left="0" w:right="0" w:firstLine="668" w:firstLineChars="200"/>
        <w:jc w:val="both"/>
        <w:textAlignment w:val="baseline"/>
        <w:rPr>
          <w:rFonts w:hint="default" w:ascii="Times New Roman" w:hAnsi="Times New Roman" w:eastAsia="黑体" w:cs="Times New Roman"/>
          <w:spacing w:val="7"/>
          <w:position w:val="4"/>
          <w:sz w:val="32"/>
          <w:szCs w:val="32"/>
          <w:lang w:val="en-US"/>
        </w:rPr>
      </w:pPr>
      <w:r>
        <w:rPr>
          <w:rFonts w:hint="default" w:ascii="Times New Roman" w:hAnsi="Times New Roman" w:eastAsia="黑体" w:cs="Times New Roman"/>
          <w:spacing w:val="7"/>
          <w:position w:val="4"/>
          <w:sz w:val="32"/>
          <w:szCs w:val="32"/>
          <w:lang w:val="en-US" w:eastAsia="zh-CN"/>
        </w:rPr>
        <w:t>四、划定结果</w:t>
      </w:r>
    </w:p>
    <w:p w14:paraId="4BC5BE92">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8"/>
          <w:sz w:val="32"/>
          <w:szCs w:val="32"/>
        </w:rPr>
        <w:t>本</w:t>
      </w:r>
      <w:r>
        <w:rPr>
          <w:rFonts w:hint="default" w:ascii="Times New Roman" w:hAnsi="Times New Roman" w:eastAsia="仿宋_GB2312" w:cs="Times New Roman"/>
          <w:spacing w:val="8"/>
          <w:sz w:val="32"/>
          <w:szCs w:val="32"/>
          <w:lang w:val="en-US" w:eastAsia="zh-CN"/>
        </w:rPr>
        <w:t>次</w:t>
      </w:r>
      <w:r>
        <w:rPr>
          <w:rFonts w:hint="default" w:ascii="Times New Roman" w:hAnsi="Times New Roman" w:eastAsia="仿宋_GB2312" w:cs="Times New Roman"/>
          <w:spacing w:val="8"/>
          <w:sz w:val="32"/>
          <w:szCs w:val="32"/>
        </w:rPr>
        <w:t>共划定</w:t>
      </w:r>
      <w:r>
        <w:rPr>
          <w:rFonts w:hint="default" w:ascii="Times New Roman" w:hAnsi="Times New Roman" w:eastAsia="仿宋_GB2312" w:cs="Times New Roman"/>
          <w:spacing w:val="8"/>
          <w:sz w:val="32"/>
          <w:szCs w:val="32"/>
          <w:lang w:val="en-US" w:eastAsia="zh-CN"/>
        </w:rPr>
        <w:t>31个区划单元</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highlight w:val="none"/>
        </w:rPr>
        <w:t>总面积</w:t>
      </w:r>
      <w:r>
        <w:rPr>
          <w:rFonts w:hint="default" w:ascii="Times New Roman" w:hAnsi="Times New Roman" w:eastAsia="仿宋_GB2312" w:cs="Times New Roman"/>
          <w:spacing w:val="8"/>
          <w:sz w:val="32"/>
          <w:szCs w:val="32"/>
          <w:highlight w:val="none"/>
          <w:lang w:val="en-US" w:eastAsia="zh-CN"/>
        </w:rPr>
        <w:t>9.65</w:t>
      </w:r>
      <w:r>
        <w:rPr>
          <w:rFonts w:hint="default" w:ascii="Times New Roman" w:hAnsi="Times New Roman" w:eastAsia="仿宋_GB2312" w:cs="Times New Roman"/>
          <w:spacing w:val="8"/>
          <w:sz w:val="32"/>
          <w:szCs w:val="32"/>
          <w:highlight w:val="none"/>
        </w:rPr>
        <w:t>km</w:t>
      </w:r>
      <w:r>
        <w:rPr>
          <w:rFonts w:hint="default" w:ascii="Times New Roman" w:hAnsi="Times New Roman" w:eastAsia="仿宋_GB2312" w:cs="Times New Roman"/>
          <w:spacing w:val="8"/>
          <w:sz w:val="32"/>
          <w:szCs w:val="32"/>
          <w:highlight w:val="none"/>
          <w:vertAlign w:val="superscript"/>
        </w:rPr>
        <w:t>2</w:t>
      </w:r>
      <w:r>
        <w:rPr>
          <w:rFonts w:hint="default" w:ascii="Times New Roman" w:hAnsi="Times New Roman" w:eastAsia="仿宋_GB2312" w:cs="Times New Roman"/>
          <w:spacing w:val="8"/>
          <w:sz w:val="32"/>
          <w:szCs w:val="32"/>
        </w:rPr>
        <w:t>。具体划定范围及示意图见附件1、2</w:t>
      </w:r>
      <w:r>
        <w:rPr>
          <w:rFonts w:hint="default" w:ascii="Times New Roman" w:hAnsi="Times New Roman" w:eastAsia="仿宋_GB2312" w:cs="Times New Roman"/>
          <w:spacing w:val="-1"/>
          <w:sz w:val="32"/>
          <w:szCs w:val="32"/>
        </w:rPr>
        <w:t>。</w:t>
      </w:r>
    </w:p>
    <w:p w14:paraId="3797AF45">
      <w:pPr>
        <w:keepNext w:val="0"/>
        <w:keepLines w:val="0"/>
        <w:pageBreakBefore w:val="0"/>
        <w:widowControl w:val="0"/>
        <w:kinsoku/>
        <w:wordWrap/>
        <w:overflowPunct w:val="0"/>
        <w:topLinePunct/>
        <w:autoSpaceDE/>
        <w:autoSpaceDN/>
        <w:bidi w:val="0"/>
        <w:adjustRightInd w:val="0"/>
        <w:snapToGrid w:val="0"/>
        <w:spacing w:line="570" w:lineRule="exact"/>
        <w:ind w:left="0" w:right="0" w:firstLine="668" w:firstLineChars="200"/>
        <w:jc w:val="both"/>
        <w:textAlignment w:val="baseline"/>
        <w:rPr>
          <w:rFonts w:hint="default" w:ascii="Times New Roman" w:hAnsi="Times New Roman" w:eastAsia="黑体" w:cs="Times New Roman"/>
          <w:spacing w:val="7"/>
          <w:position w:val="4"/>
          <w:sz w:val="32"/>
          <w:szCs w:val="32"/>
          <w:lang w:val="en-US" w:eastAsia="zh-CN"/>
        </w:rPr>
      </w:pPr>
      <w:r>
        <w:rPr>
          <w:rFonts w:hint="default" w:ascii="Times New Roman" w:hAnsi="Times New Roman" w:eastAsia="黑体" w:cs="Times New Roman"/>
          <w:spacing w:val="7"/>
          <w:position w:val="4"/>
          <w:sz w:val="32"/>
          <w:szCs w:val="32"/>
          <w:lang w:val="en-US" w:eastAsia="zh-CN"/>
        </w:rPr>
        <w:t>五、适用标准</w:t>
      </w:r>
    </w:p>
    <w:p w14:paraId="2309900E">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噪声敏感建筑物集中区域执行所处声环境功能区</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即1类</w:t>
      </w:r>
      <w:r>
        <w:rPr>
          <w:rFonts w:hint="default" w:ascii="Times New Roman" w:hAnsi="Times New Roman" w:eastAsia="仿宋_GB2312" w:cs="Times New Roman"/>
          <w:spacing w:val="8"/>
          <w:sz w:val="32"/>
          <w:szCs w:val="32"/>
        </w:rPr>
        <w:t>声环境功能区的环境质量要求，昼间</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6</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00</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22</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00</w:t>
      </w:r>
      <w:r>
        <w:rPr>
          <w:rFonts w:hint="default" w:ascii="Times New Roman" w:hAnsi="Times New Roman" w:eastAsia="仿宋_GB2312" w:cs="Times New Roman"/>
          <w:spacing w:val="8"/>
          <w:sz w:val="32"/>
          <w:szCs w:val="32"/>
          <w:lang w:eastAsia="zh-CN"/>
        </w:rPr>
        <w:t>）环境噪声限值</w:t>
      </w:r>
      <w:r>
        <w:rPr>
          <w:rFonts w:hint="default" w:ascii="Times New Roman" w:hAnsi="Times New Roman" w:eastAsia="仿宋_GB2312" w:cs="Times New Roman"/>
          <w:spacing w:val="8"/>
          <w:sz w:val="32"/>
          <w:szCs w:val="32"/>
          <w:lang w:val="en-US" w:eastAsia="zh-CN"/>
        </w:rPr>
        <w:t>不超过</w:t>
      </w:r>
      <w:r>
        <w:rPr>
          <w:rFonts w:hint="default" w:ascii="Times New Roman" w:hAnsi="Times New Roman" w:eastAsia="仿宋_GB2312" w:cs="Times New Roman"/>
          <w:spacing w:val="8"/>
          <w:sz w:val="32"/>
          <w:szCs w:val="32"/>
        </w:rPr>
        <w:t>55dB</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A</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夜间</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22</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00</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6</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00</w:t>
      </w:r>
      <w:r>
        <w:rPr>
          <w:rFonts w:hint="default" w:ascii="Times New Roman" w:hAnsi="Times New Roman" w:eastAsia="仿宋_GB2312" w:cs="Times New Roman"/>
          <w:spacing w:val="8"/>
          <w:sz w:val="32"/>
          <w:szCs w:val="32"/>
          <w:lang w:eastAsia="zh-CN"/>
        </w:rPr>
        <w:t>）环境噪声限值</w:t>
      </w:r>
      <w:r>
        <w:rPr>
          <w:rFonts w:hint="default" w:ascii="Times New Roman" w:hAnsi="Times New Roman" w:eastAsia="仿宋_GB2312" w:cs="Times New Roman"/>
          <w:spacing w:val="8"/>
          <w:sz w:val="32"/>
          <w:szCs w:val="32"/>
          <w:lang w:val="en-US" w:eastAsia="zh-CN"/>
        </w:rPr>
        <w:t>不超过</w:t>
      </w:r>
      <w:r>
        <w:rPr>
          <w:rFonts w:hint="default" w:ascii="Times New Roman" w:hAnsi="Times New Roman" w:eastAsia="仿宋_GB2312" w:cs="Times New Roman"/>
          <w:spacing w:val="8"/>
          <w:sz w:val="32"/>
          <w:szCs w:val="32"/>
        </w:rPr>
        <w:t>45dB</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A</w:t>
      </w:r>
      <w:r>
        <w:rPr>
          <w:rFonts w:hint="default" w:ascii="Times New Roman" w:hAnsi="Times New Roman" w:eastAsia="仿宋_GB2312" w:cs="Times New Roman"/>
          <w:spacing w:val="8"/>
          <w:sz w:val="32"/>
          <w:szCs w:val="32"/>
          <w:lang w:eastAsia="zh-CN"/>
        </w:rPr>
        <w:t>）。</w:t>
      </w:r>
    </w:p>
    <w:p w14:paraId="1B1F91EC">
      <w:pPr>
        <w:keepNext w:val="0"/>
        <w:keepLines w:val="0"/>
        <w:pageBreakBefore w:val="0"/>
        <w:widowControl w:val="0"/>
        <w:kinsoku/>
        <w:wordWrap/>
        <w:overflowPunct w:val="0"/>
        <w:topLinePunct/>
        <w:autoSpaceDE/>
        <w:autoSpaceDN/>
        <w:bidi w:val="0"/>
        <w:adjustRightInd w:val="0"/>
        <w:snapToGrid w:val="0"/>
        <w:spacing w:line="570" w:lineRule="exact"/>
        <w:ind w:left="0" w:right="0" w:firstLine="668" w:firstLineChars="200"/>
        <w:jc w:val="both"/>
        <w:textAlignment w:val="baseline"/>
        <w:rPr>
          <w:rFonts w:hint="default" w:ascii="Times New Roman" w:hAnsi="Times New Roman" w:eastAsia="黑体" w:cs="Times New Roman"/>
          <w:spacing w:val="7"/>
          <w:position w:val="4"/>
          <w:sz w:val="32"/>
          <w:szCs w:val="32"/>
          <w:lang w:val="en-US" w:eastAsia="zh-CN"/>
        </w:rPr>
      </w:pPr>
      <w:r>
        <w:rPr>
          <w:rFonts w:hint="default" w:ascii="Times New Roman" w:hAnsi="Times New Roman" w:eastAsia="黑体" w:cs="Times New Roman"/>
          <w:spacing w:val="7"/>
          <w:position w:val="4"/>
          <w:sz w:val="32"/>
          <w:szCs w:val="32"/>
          <w:lang w:val="en-US" w:eastAsia="zh-CN"/>
        </w:rPr>
        <w:t>六、管理要求</w:t>
      </w:r>
    </w:p>
    <w:p w14:paraId="47A53DED">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（一）禁止新建排放噪声的工业企业，改建、扩建工业企业的，应当采取有效措施防止工业噪声污染。</w:t>
      </w:r>
    </w:p>
    <w:p w14:paraId="45756935">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二</w:t>
      </w:r>
      <w:r>
        <w:rPr>
          <w:rFonts w:hint="default" w:ascii="Times New Roman" w:hAnsi="Times New Roman" w:eastAsia="仿宋_GB2312" w:cs="Times New Roman"/>
          <w:spacing w:val="8"/>
          <w:sz w:val="32"/>
          <w:szCs w:val="32"/>
        </w:rPr>
        <w:t>）施工作业应当优先使用低噪声施工工艺和设备。</w:t>
      </w:r>
    </w:p>
    <w:p w14:paraId="5E948EB1">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三</w:t>
      </w:r>
      <w:r>
        <w:rPr>
          <w:rFonts w:hint="default" w:ascii="Times New Roman" w:hAnsi="Times New Roman" w:eastAsia="仿宋_GB2312" w:cs="Times New Roman"/>
          <w:spacing w:val="8"/>
          <w:sz w:val="32"/>
          <w:szCs w:val="32"/>
        </w:rPr>
        <w:t>）施工作业时，建设单位应当按照国家规定，设置噪声自动监测系统，与监督管理部门联网，保存原始监测记录。</w:t>
      </w:r>
    </w:p>
    <w:p w14:paraId="2AA25D1E">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四</w:t>
      </w:r>
      <w:r>
        <w:rPr>
          <w:rFonts w:hint="default" w:ascii="Times New Roman" w:hAnsi="Times New Roman" w:eastAsia="仿宋_GB2312" w:cs="Times New Roman"/>
          <w:spacing w:val="8"/>
          <w:sz w:val="32"/>
          <w:szCs w:val="32"/>
        </w:rPr>
        <w:t>）禁止夜间进行产生噪声的施工作业，但</w:t>
      </w:r>
      <w:r>
        <w:rPr>
          <w:rFonts w:hint="default" w:ascii="Times New Roman" w:hAnsi="Times New Roman" w:eastAsia="仿宋_GB2312" w:cs="Times New Roman"/>
          <w:spacing w:val="8"/>
          <w:sz w:val="32"/>
          <w:szCs w:val="32"/>
          <w:lang w:val="en-US" w:eastAsia="zh-CN"/>
        </w:rPr>
        <w:t>是</w:t>
      </w:r>
      <w:r>
        <w:rPr>
          <w:rFonts w:hint="default" w:ascii="Times New Roman" w:hAnsi="Times New Roman" w:eastAsia="仿宋_GB2312" w:cs="Times New Roman"/>
          <w:spacing w:val="8"/>
          <w:sz w:val="32"/>
          <w:szCs w:val="32"/>
        </w:rPr>
        <w:t>抢修、抢险施工作业，因生产工艺要求或者其他特殊需要必须连续施工作业的除外</w:t>
      </w:r>
      <w:r>
        <w:rPr>
          <w:rFonts w:hint="default" w:ascii="Times New Roman" w:hAnsi="Times New Roman" w:eastAsia="仿宋_GB2312" w:cs="Times New Roman"/>
          <w:spacing w:val="8"/>
          <w:sz w:val="32"/>
          <w:szCs w:val="32"/>
          <w:lang w:eastAsia="zh-CN"/>
        </w:rPr>
        <w:t>。</w:t>
      </w:r>
    </w:p>
    <w:p w14:paraId="2B89DDB5">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五</w:t>
      </w:r>
      <w:r>
        <w:rPr>
          <w:rFonts w:hint="default" w:ascii="Times New Roman" w:hAnsi="Times New Roman" w:eastAsia="仿宋_GB2312" w:cs="Times New Roman"/>
          <w:spacing w:val="8"/>
          <w:sz w:val="32"/>
          <w:szCs w:val="32"/>
        </w:rPr>
        <w:t>）新建公路、铁路线路选线设计，应当尽量避</w:t>
      </w:r>
      <w:r>
        <w:rPr>
          <w:rFonts w:hint="default" w:ascii="Times New Roman" w:hAnsi="Times New Roman" w:eastAsia="仿宋_GB2312" w:cs="Times New Roman"/>
          <w:spacing w:val="8"/>
          <w:sz w:val="32"/>
          <w:szCs w:val="32"/>
          <w:lang w:val="en-US" w:eastAsia="zh-CN"/>
        </w:rPr>
        <w:t>让</w:t>
      </w:r>
      <w:r>
        <w:rPr>
          <w:rFonts w:hint="default" w:ascii="Times New Roman" w:hAnsi="Times New Roman" w:eastAsia="仿宋_GB2312" w:cs="Times New Roman"/>
          <w:spacing w:val="8"/>
          <w:sz w:val="32"/>
          <w:szCs w:val="32"/>
        </w:rPr>
        <w:t>噪声敏感建筑物集中区域。新建民用机场选址与噪声敏感建筑物集中区域的距离应当符合标准</w:t>
      </w:r>
      <w:r>
        <w:rPr>
          <w:rFonts w:hint="default" w:ascii="Times New Roman" w:hAnsi="Times New Roman" w:eastAsia="仿宋_GB2312" w:cs="Times New Roman"/>
          <w:spacing w:val="8"/>
          <w:sz w:val="32"/>
          <w:szCs w:val="32"/>
          <w:lang w:val="en-US" w:eastAsia="zh-CN"/>
        </w:rPr>
        <w:t>的</w:t>
      </w:r>
      <w:r>
        <w:rPr>
          <w:rFonts w:hint="default" w:ascii="Times New Roman" w:hAnsi="Times New Roman" w:eastAsia="仿宋_GB2312" w:cs="Times New Roman"/>
          <w:spacing w:val="8"/>
          <w:sz w:val="32"/>
          <w:szCs w:val="32"/>
        </w:rPr>
        <w:t>要求。</w:t>
      </w:r>
    </w:p>
    <w:p w14:paraId="1D19513D">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lang w:val="en-US" w:eastAsia="zh-CN"/>
        </w:rPr>
      </w:pP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六</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新建、改建、扩建经过噪声敏感建筑物集中区域的高速公路、城市高架、铁路和城市轨道交通线路等的，建设单位应当在可能造成噪声污染的重点路段设置声屏障或者采取其他减少振动、降低噪声的措施，符合相关交通基础设施工程技术规范和标准的要求。</w:t>
      </w:r>
    </w:p>
    <w:p w14:paraId="65DC83E0">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七</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禁止使用高音广播喇叭，但</w:t>
      </w:r>
      <w:r>
        <w:rPr>
          <w:rFonts w:hint="default" w:ascii="Times New Roman" w:hAnsi="Times New Roman" w:eastAsia="仿宋_GB2312" w:cs="Times New Roman"/>
          <w:spacing w:val="8"/>
          <w:sz w:val="32"/>
          <w:szCs w:val="32"/>
          <w:lang w:val="en-US" w:eastAsia="zh-CN"/>
        </w:rPr>
        <w:t>是</w:t>
      </w:r>
      <w:r>
        <w:rPr>
          <w:rFonts w:hint="default" w:ascii="Times New Roman" w:hAnsi="Times New Roman" w:eastAsia="仿宋_GB2312" w:cs="Times New Roman"/>
          <w:spacing w:val="8"/>
          <w:sz w:val="32"/>
          <w:szCs w:val="32"/>
        </w:rPr>
        <w:t>紧急情况以及地方人民政府规定的特殊情形除外。</w:t>
      </w:r>
    </w:p>
    <w:p w14:paraId="005F12C1">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八</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对社会生活噪声扰民行为，基层群众性自治组织、业主委员会、物业服务人应当及时劝阻、调解；劝阻、调解无效的，可以向负有社会生活噪声污染防治监督管理职责的部门或者地方人民政府指定的部门报告或者投诉，接到报告或者投诉的部门应当依法处理。</w:t>
      </w:r>
    </w:p>
    <w:p w14:paraId="5565649F">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九</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法律、法规其他规定。</w:t>
      </w:r>
    </w:p>
    <w:p w14:paraId="1BD62751">
      <w:pPr>
        <w:keepNext w:val="0"/>
        <w:keepLines w:val="0"/>
        <w:pageBreakBefore w:val="0"/>
        <w:widowControl w:val="0"/>
        <w:kinsoku/>
        <w:wordWrap/>
        <w:overflowPunct w:val="0"/>
        <w:topLinePunct/>
        <w:autoSpaceDE/>
        <w:autoSpaceDN/>
        <w:bidi w:val="0"/>
        <w:adjustRightInd w:val="0"/>
        <w:snapToGrid w:val="0"/>
        <w:spacing w:line="570" w:lineRule="exact"/>
        <w:ind w:left="0" w:right="0" w:firstLine="668" w:firstLineChars="200"/>
        <w:jc w:val="both"/>
        <w:textAlignment w:val="baseline"/>
        <w:rPr>
          <w:rFonts w:hint="default" w:ascii="Times New Roman" w:hAnsi="Times New Roman" w:eastAsia="黑体" w:cs="Times New Roman"/>
          <w:spacing w:val="7"/>
          <w:position w:val="4"/>
          <w:sz w:val="32"/>
          <w:szCs w:val="32"/>
          <w:lang w:val="en-US" w:eastAsia="zh-CN"/>
        </w:rPr>
      </w:pPr>
      <w:r>
        <w:rPr>
          <w:rFonts w:hint="default" w:ascii="Times New Roman" w:hAnsi="Times New Roman" w:eastAsia="黑体" w:cs="Times New Roman"/>
          <w:spacing w:val="7"/>
          <w:position w:val="4"/>
          <w:sz w:val="32"/>
          <w:szCs w:val="32"/>
          <w:lang w:val="en-US" w:eastAsia="zh-CN"/>
        </w:rPr>
        <w:t>七、其他</w:t>
      </w:r>
    </w:p>
    <w:p w14:paraId="34C85C4B">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一</w:t>
      </w:r>
      <w:r>
        <w:rPr>
          <w:rFonts w:hint="default" w:ascii="Times New Roman" w:hAnsi="Times New Roman" w:eastAsia="仿宋_GB2312" w:cs="Times New Roman"/>
          <w:spacing w:val="8"/>
          <w:sz w:val="32"/>
          <w:szCs w:val="32"/>
          <w:lang w:eastAsia="zh-CN"/>
        </w:rPr>
        <w:t>）本方案实施后，根据噪声管理要求进行动态调整。</w:t>
      </w:r>
    </w:p>
    <w:p w14:paraId="627472EF">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二</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highlight w:val="none"/>
          <w:lang w:eastAsia="zh-CN"/>
        </w:rPr>
        <w:t>本方案自2026年</w:t>
      </w:r>
      <w:r>
        <w:rPr>
          <w:rFonts w:hint="eastAsia" w:ascii="Times New Roman" w:hAnsi="Times New Roman" w:eastAsia="仿宋_GB2312" w:cs="Times New Roman"/>
          <w:spacing w:val="8"/>
          <w:sz w:val="32"/>
          <w:szCs w:val="32"/>
          <w:highlight w:val="none"/>
          <w:lang w:val="en-US" w:eastAsia="zh-CN"/>
        </w:rPr>
        <w:t>10</w:t>
      </w:r>
      <w:r>
        <w:rPr>
          <w:rFonts w:hint="default" w:ascii="Times New Roman" w:hAnsi="Times New Roman" w:eastAsia="仿宋_GB2312" w:cs="Times New Roman"/>
          <w:spacing w:val="8"/>
          <w:sz w:val="32"/>
          <w:szCs w:val="32"/>
          <w:highlight w:val="none"/>
          <w:lang w:eastAsia="zh-CN"/>
        </w:rPr>
        <w:t>月</w:t>
      </w:r>
      <w:r>
        <w:rPr>
          <w:rFonts w:hint="eastAsia" w:ascii="Times New Roman" w:hAnsi="Times New Roman" w:eastAsia="仿宋_GB2312" w:cs="Times New Roman"/>
          <w:spacing w:val="8"/>
          <w:sz w:val="32"/>
          <w:szCs w:val="32"/>
          <w:highlight w:val="none"/>
          <w:lang w:val="en-US" w:eastAsia="zh-CN"/>
        </w:rPr>
        <w:t>1</w:t>
      </w:r>
      <w:r>
        <w:rPr>
          <w:rFonts w:hint="default" w:ascii="Times New Roman" w:hAnsi="Times New Roman" w:eastAsia="仿宋_GB2312" w:cs="Times New Roman"/>
          <w:spacing w:val="8"/>
          <w:sz w:val="32"/>
          <w:szCs w:val="32"/>
          <w:highlight w:val="none"/>
          <w:lang w:eastAsia="zh-CN"/>
        </w:rPr>
        <w:t>日施行，有效期至</w:t>
      </w:r>
      <w:r>
        <w:rPr>
          <w:rFonts w:hint="default" w:ascii="Times New Roman" w:hAnsi="Times New Roman" w:eastAsia="仿宋_GB2312" w:cs="Times New Roman"/>
          <w:spacing w:val="8"/>
          <w:sz w:val="32"/>
          <w:szCs w:val="32"/>
          <w:highlight w:val="none"/>
          <w:lang w:val="en-US" w:eastAsia="zh-CN"/>
        </w:rPr>
        <w:t>2029</w:t>
      </w:r>
      <w:r>
        <w:rPr>
          <w:rFonts w:hint="default" w:ascii="Times New Roman" w:hAnsi="Times New Roman" w:eastAsia="仿宋_GB2312" w:cs="Times New Roman"/>
          <w:spacing w:val="8"/>
          <w:sz w:val="32"/>
          <w:szCs w:val="32"/>
          <w:highlight w:val="none"/>
          <w:lang w:eastAsia="zh-CN"/>
        </w:rPr>
        <w:t>年</w:t>
      </w:r>
      <w:r>
        <w:rPr>
          <w:rFonts w:hint="eastAsia" w:ascii="Times New Roman" w:hAnsi="Times New Roman" w:eastAsia="仿宋_GB2312" w:cs="Times New Roman"/>
          <w:spacing w:val="8"/>
          <w:sz w:val="32"/>
          <w:szCs w:val="32"/>
          <w:highlight w:val="none"/>
          <w:lang w:val="en-US" w:eastAsia="zh-CN"/>
        </w:rPr>
        <w:t>9</w:t>
      </w:r>
      <w:r>
        <w:rPr>
          <w:rFonts w:hint="default" w:ascii="Times New Roman" w:hAnsi="Times New Roman" w:eastAsia="仿宋_GB2312" w:cs="Times New Roman"/>
          <w:spacing w:val="8"/>
          <w:sz w:val="32"/>
          <w:szCs w:val="32"/>
          <w:highlight w:val="none"/>
          <w:lang w:eastAsia="zh-CN"/>
        </w:rPr>
        <w:t>月</w:t>
      </w:r>
      <w:r>
        <w:rPr>
          <w:rFonts w:hint="eastAsia" w:ascii="Times New Roman" w:hAnsi="Times New Roman" w:eastAsia="仿宋_GB2312" w:cs="Times New Roman"/>
          <w:spacing w:val="8"/>
          <w:sz w:val="32"/>
          <w:szCs w:val="32"/>
          <w:highlight w:val="none"/>
          <w:lang w:val="en-US" w:eastAsia="zh-CN"/>
        </w:rPr>
        <w:t>30</w:t>
      </w:r>
      <w:r>
        <w:rPr>
          <w:rFonts w:hint="default" w:ascii="Times New Roman" w:hAnsi="Times New Roman" w:eastAsia="仿宋_GB2312" w:cs="Times New Roman"/>
          <w:spacing w:val="8"/>
          <w:sz w:val="32"/>
          <w:szCs w:val="32"/>
          <w:highlight w:val="none"/>
          <w:lang w:eastAsia="zh-CN"/>
        </w:rPr>
        <w:t>日</w:t>
      </w:r>
      <w:r>
        <w:rPr>
          <w:rFonts w:hint="default" w:ascii="Times New Roman" w:hAnsi="Times New Roman" w:eastAsia="仿宋_GB2312" w:cs="Times New Roman"/>
          <w:spacing w:val="8"/>
          <w:sz w:val="32"/>
          <w:szCs w:val="32"/>
          <w:lang w:eastAsia="zh-CN"/>
        </w:rPr>
        <w:t>。</w:t>
      </w:r>
    </w:p>
    <w:p w14:paraId="371C4AAC">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lang w:eastAsia="zh-CN"/>
        </w:rPr>
      </w:pPr>
    </w:p>
    <w:p w14:paraId="650A533B">
      <w:pPr>
        <w:keepNext w:val="0"/>
        <w:keepLines w:val="0"/>
        <w:pageBreakBefore w:val="0"/>
        <w:widowControl w:val="0"/>
        <w:kinsoku/>
        <w:wordWrap/>
        <w:overflowPunct w:val="0"/>
        <w:topLinePunct/>
        <w:autoSpaceDE/>
        <w:autoSpaceDN/>
        <w:bidi w:val="0"/>
        <w:adjustRightInd w:val="0"/>
        <w:snapToGrid w:val="0"/>
        <w:spacing w:line="570" w:lineRule="exact"/>
        <w:ind w:left="0" w:right="0" w:firstLine="672" w:firstLineChars="200"/>
        <w:jc w:val="both"/>
        <w:textAlignment w:val="baseline"/>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lang w:eastAsia="zh-CN"/>
        </w:rPr>
        <w:t>附件：1.</w:t>
      </w:r>
      <w:r>
        <w:rPr>
          <w:rFonts w:hint="default" w:ascii="Times New Roman" w:hAnsi="Times New Roman" w:eastAsia="仿宋_GB2312" w:cs="Times New Roman"/>
          <w:spacing w:val="8"/>
          <w:sz w:val="32"/>
          <w:szCs w:val="32"/>
          <w:lang w:val="en-US" w:eastAsia="zh-CN"/>
        </w:rPr>
        <w:t>乳山</w:t>
      </w:r>
      <w:r>
        <w:rPr>
          <w:rFonts w:hint="default" w:ascii="Times New Roman" w:hAnsi="Times New Roman" w:eastAsia="仿宋_GB2312" w:cs="Times New Roman"/>
          <w:spacing w:val="8"/>
          <w:sz w:val="32"/>
          <w:szCs w:val="32"/>
          <w:lang w:eastAsia="zh-CN"/>
        </w:rPr>
        <w:t>市噪声敏感建筑物集中区域划定范围</w:t>
      </w:r>
    </w:p>
    <w:p w14:paraId="22C0BECE">
      <w:pPr>
        <w:keepNext w:val="0"/>
        <w:keepLines w:val="0"/>
        <w:pageBreakBefore w:val="0"/>
        <w:widowControl w:val="0"/>
        <w:kinsoku/>
        <w:wordWrap/>
        <w:overflowPunct w:val="0"/>
        <w:topLinePunct/>
        <w:autoSpaceDE/>
        <w:autoSpaceDN/>
        <w:bidi w:val="0"/>
        <w:adjustRightInd w:val="0"/>
        <w:snapToGrid w:val="0"/>
        <w:spacing w:line="570" w:lineRule="exact"/>
        <w:ind w:left="0" w:right="0" w:firstLine="1680" w:firstLineChars="500"/>
        <w:jc w:val="both"/>
        <w:textAlignment w:val="baseline"/>
        <w:rPr>
          <w:rFonts w:hint="default" w:ascii="Times New Roman" w:hAnsi="Times New Roman" w:eastAsia="仿宋_GB2312" w:cs="Times New Roman"/>
          <w:spacing w:val="8"/>
          <w:sz w:val="32"/>
          <w:szCs w:val="32"/>
          <w:lang w:eastAsia="zh-CN"/>
        </w:rPr>
        <w:sectPr>
          <w:footerReference r:id="rId5" w:type="default"/>
          <w:pgSz w:w="11906" w:h="16839"/>
          <w:pgMar w:top="2098" w:right="1531" w:bottom="1984" w:left="1531" w:header="850" w:footer="1531" w:gutter="0"/>
          <w:pgNumType w:fmt="decimal"/>
          <w:cols w:space="0" w:num="1"/>
          <w:rtlGutter w:val="0"/>
          <w:docGrid w:linePitch="0" w:charSpace="0"/>
        </w:sectPr>
      </w:pPr>
      <w:r>
        <w:rPr>
          <w:rFonts w:hint="default" w:ascii="Times New Roman" w:hAnsi="Times New Roman" w:eastAsia="仿宋_GB2312" w:cs="Times New Roman"/>
          <w:spacing w:val="8"/>
          <w:sz w:val="32"/>
          <w:szCs w:val="32"/>
          <w:lang w:eastAsia="zh-CN"/>
        </w:rPr>
        <w:t>2.</w:t>
      </w:r>
      <w:r>
        <w:rPr>
          <w:rFonts w:hint="default" w:ascii="Times New Roman" w:hAnsi="Times New Roman" w:eastAsia="仿宋_GB2312" w:cs="Times New Roman"/>
          <w:spacing w:val="8"/>
          <w:sz w:val="32"/>
          <w:szCs w:val="32"/>
          <w:lang w:val="en-US" w:eastAsia="zh-CN"/>
        </w:rPr>
        <w:t>乳山</w:t>
      </w:r>
      <w:r>
        <w:rPr>
          <w:rFonts w:hint="default" w:ascii="Times New Roman" w:hAnsi="Times New Roman" w:eastAsia="仿宋_GB2312" w:cs="Times New Roman"/>
          <w:spacing w:val="8"/>
          <w:sz w:val="32"/>
          <w:szCs w:val="32"/>
          <w:lang w:eastAsia="zh-CN"/>
        </w:rPr>
        <w:t>市噪声敏感建筑物集中区域</w:t>
      </w:r>
      <w:r>
        <w:rPr>
          <w:rFonts w:hint="default" w:ascii="Times New Roman" w:hAnsi="Times New Roman" w:eastAsia="仿宋_GB2312" w:cs="Times New Roman"/>
          <w:spacing w:val="8"/>
          <w:sz w:val="32"/>
          <w:szCs w:val="32"/>
          <w:lang w:val="en-US" w:eastAsia="zh-CN"/>
        </w:rPr>
        <w:t>划定</w:t>
      </w:r>
      <w:r>
        <w:rPr>
          <w:rFonts w:hint="default" w:ascii="Times New Roman" w:hAnsi="Times New Roman" w:eastAsia="仿宋_GB2312" w:cs="Times New Roman"/>
          <w:spacing w:val="8"/>
          <w:sz w:val="32"/>
          <w:szCs w:val="32"/>
          <w:lang w:eastAsia="zh-CN"/>
        </w:rPr>
        <w:t>示意图</w:t>
      </w:r>
    </w:p>
    <w:p w14:paraId="3A34D7B4">
      <w:pPr>
        <w:spacing w:before="101" w:line="230" w:lineRule="auto"/>
        <w:ind w:left="146"/>
        <w:rPr>
          <w:rFonts w:hint="eastAsia" w:ascii="Times New Roman" w:hAnsi="Times New Roman" w:eastAsia="黑体" w:cs="黑体"/>
          <w:sz w:val="32"/>
          <w:szCs w:val="32"/>
        </w:rPr>
      </w:pPr>
      <w:r>
        <w:rPr>
          <w:rFonts w:hint="eastAsia" w:ascii="Times New Roman" w:hAnsi="Times New Roman" w:eastAsia="黑体" w:cs="黑体"/>
          <w:spacing w:val="-12"/>
          <w:sz w:val="32"/>
          <w:szCs w:val="32"/>
        </w:rPr>
        <w:t>附件1</w:t>
      </w:r>
    </w:p>
    <w:p w14:paraId="163666A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黑体" w:cs="Times New Roman"/>
          <w:spacing w:val="16"/>
          <w:sz w:val="30"/>
          <w:szCs w:val="30"/>
          <w:lang w:val="en-US" w:eastAsia="zh-CN"/>
        </w:rPr>
      </w:pPr>
    </w:p>
    <w:p w14:paraId="07771487">
      <w:pPr>
        <w:keepNext w:val="0"/>
        <w:keepLines w:val="0"/>
        <w:pageBreakBefore w:val="0"/>
        <w:widowControl/>
        <w:kinsoku w:val="0"/>
        <w:wordWrap/>
        <w:overflowPunct/>
        <w:topLinePunct w:val="0"/>
        <w:autoSpaceDE w:val="0"/>
        <w:autoSpaceDN w:val="0"/>
        <w:bidi w:val="0"/>
        <w:adjustRightInd w:val="0"/>
        <w:snapToGrid w:val="0"/>
        <w:spacing w:after="0" w:afterLines="100"/>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乳山</w:t>
      </w:r>
      <w:r>
        <w:rPr>
          <w:rFonts w:hint="default" w:ascii="Times New Roman" w:hAnsi="Times New Roman" w:eastAsia="方正小标宋简体" w:cs="Times New Roman"/>
          <w:sz w:val="44"/>
          <w:szCs w:val="44"/>
        </w:rPr>
        <w:t>市</w:t>
      </w:r>
      <w:bookmarkStart w:id="0" w:name="OLE_LINK1"/>
      <w:r>
        <w:rPr>
          <w:rFonts w:hint="default" w:ascii="Times New Roman" w:hAnsi="Times New Roman" w:eastAsia="方正小标宋简体" w:cs="Times New Roman"/>
          <w:sz w:val="44"/>
          <w:szCs w:val="44"/>
        </w:rPr>
        <w:t>噪声敏感建筑物集中区域</w:t>
      </w:r>
      <w:bookmarkEnd w:id="0"/>
      <w:r>
        <w:rPr>
          <w:rFonts w:hint="default" w:ascii="Times New Roman" w:hAnsi="Times New Roman" w:eastAsia="方正小标宋简体" w:cs="Times New Roman"/>
          <w:sz w:val="44"/>
          <w:szCs w:val="44"/>
        </w:rPr>
        <w:t>划定范围</w:t>
      </w:r>
    </w:p>
    <w:tbl>
      <w:tblPr>
        <w:tblStyle w:val="9"/>
        <w:tblW w:w="50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32"/>
        <w:gridCol w:w="6026"/>
        <w:gridCol w:w="1618"/>
      </w:tblGrid>
      <w:tr w14:paraId="159D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20" w:hRule="exact"/>
          <w:jc w:val="center"/>
        </w:trPr>
        <w:tc>
          <w:tcPr>
            <w:tcW w:w="742" w:type="pct"/>
            <w:tcMar>
              <w:top w:w="0" w:type="dxa"/>
              <w:left w:w="57" w:type="dxa"/>
              <w:bottom w:w="0" w:type="dxa"/>
              <w:right w:w="57" w:type="dxa"/>
            </w:tcMar>
            <w:vAlign w:val="center"/>
          </w:tcPr>
          <w:p w14:paraId="2813F96F">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区划</w:t>
            </w:r>
          </w:p>
          <w:p w14:paraId="3128815F">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黑体" w:cs="Times New Roman"/>
                <w:sz w:val="32"/>
                <w:szCs w:val="32"/>
              </w:rPr>
            </w:pPr>
            <w:r>
              <w:rPr>
                <w:rFonts w:hint="default" w:ascii="Times New Roman" w:hAnsi="Times New Roman" w:eastAsia="黑体" w:cs="Times New Roman"/>
                <w:spacing w:val="4"/>
                <w:sz w:val="32"/>
                <w:szCs w:val="32"/>
              </w:rPr>
              <w:t>单元</w:t>
            </w:r>
          </w:p>
        </w:tc>
        <w:tc>
          <w:tcPr>
            <w:tcW w:w="3356" w:type="pct"/>
            <w:tcMar>
              <w:top w:w="0" w:type="dxa"/>
              <w:left w:w="57" w:type="dxa"/>
              <w:bottom w:w="0" w:type="dxa"/>
              <w:right w:w="57" w:type="dxa"/>
            </w:tcMar>
            <w:vAlign w:val="center"/>
          </w:tcPr>
          <w:p w14:paraId="454A658A">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黑体" w:cs="Times New Roman"/>
                <w:sz w:val="32"/>
                <w:szCs w:val="32"/>
              </w:rPr>
            </w:pPr>
            <w:r>
              <w:rPr>
                <w:rFonts w:hint="default" w:ascii="Times New Roman" w:hAnsi="Times New Roman" w:eastAsia="黑体" w:cs="Times New Roman"/>
                <w:spacing w:val="4"/>
                <w:sz w:val="32"/>
                <w:szCs w:val="32"/>
              </w:rPr>
              <w:t>区域范围</w:t>
            </w:r>
          </w:p>
        </w:tc>
        <w:tc>
          <w:tcPr>
            <w:tcW w:w="901" w:type="pct"/>
            <w:tcMar>
              <w:top w:w="0" w:type="dxa"/>
              <w:left w:w="57" w:type="dxa"/>
              <w:bottom w:w="0" w:type="dxa"/>
              <w:right w:w="57" w:type="dxa"/>
            </w:tcMar>
            <w:vAlign w:val="center"/>
          </w:tcPr>
          <w:p w14:paraId="572DDFF0">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32"/>
                <w:szCs w:val="32"/>
                <w:lang w:val="en-US" w:eastAsia="zh-CN"/>
              </w:rPr>
            </w:pPr>
            <w:r>
              <w:rPr>
                <w:rFonts w:hint="default" w:ascii="Times New Roman" w:hAnsi="Times New Roman" w:eastAsia="黑体" w:cs="Times New Roman"/>
                <w:spacing w:val="8"/>
                <w:position w:val="2"/>
                <w:sz w:val="32"/>
                <w:szCs w:val="32"/>
              </w:rPr>
              <w:t>面</w:t>
            </w:r>
            <w:r>
              <w:rPr>
                <w:rFonts w:hint="default" w:ascii="Times New Roman" w:hAnsi="Times New Roman" w:eastAsia="黑体" w:cs="Times New Roman"/>
                <w:spacing w:val="5"/>
                <w:position w:val="2"/>
                <w:sz w:val="32"/>
                <w:szCs w:val="32"/>
              </w:rPr>
              <w:t>积/</w:t>
            </w:r>
            <w:r>
              <w:rPr>
                <w:rFonts w:hint="default" w:ascii="Times New Roman" w:hAnsi="Times New Roman" w:eastAsia="Times New Roman" w:cs="Times New Roman"/>
                <w:position w:val="2"/>
                <w:sz w:val="32"/>
                <w:szCs w:val="32"/>
              </w:rPr>
              <w:t>km</w:t>
            </w:r>
            <w:r>
              <w:rPr>
                <w:rFonts w:hint="default" w:ascii="Times New Roman" w:hAnsi="Times New Roman" w:eastAsia="宋体" w:cs="Times New Roman"/>
                <w:position w:val="2"/>
                <w:sz w:val="32"/>
                <w:szCs w:val="32"/>
                <w:vertAlign w:val="superscript"/>
                <w:lang w:val="en-US" w:eastAsia="zh-CN"/>
              </w:rPr>
              <w:t>2</w:t>
            </w:r>
          </w:p>
        </w:tc>
      </w:tr>
      <w:tr w14:paraId="23E4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742" w:type="pct"/>
            <w:tcMar>
              <w:top w:w="0" w:type="dxa"/>
              <w:left w:w="57" w:type="dxa"/>
              <w:bottom w:w="0" w:type="dxa"/>
              <w:right w:w="57" w:type="dxa"/>
            </w:tcMar>
            <w:vAlign w:val="center"/>
          </w:tcPr>
          <w:p w14:paraId="4EF8A3B0">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p>
        </w:tc>
        <w:tc>
          <w:tcPr>
            <w:tcW w:w="3356" w:type="pct"/>
            <w:tcMar>
              <w:top w:w="0" w:type="dxa"/>
              <w:left w:w="57" w:type="dxa"/>
              <w:bottom w:w="0" w:type="dxa"/>
              <w:right w:w="57" w:type="dxa"/>
            </w:tcMar>
            <w:vAlign w:val="center"/>
          </w:tcPr>
          <w:p w14:paraId="7A2F6225">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香格里拉二区范围内</w:t>
            </w:r>
          </w:p>
        </w:tc>
        <w:tc>
          <w:tcPr>
            <w:tcW w:w="901" w:type="pct"/>
            <w:tcMar>
              <w:top w:w="0" w:type="dxa"/>
              <w:left w:w="57" w:type="dxa"/>
              <w:bottom w:w="0" w:type="dxa"/>
              <w:right w:w="57" w:type="dxa"/>
            </w:tcMar>
            <w:vAlign w:val="center"/>
          </w:tcPr>
          <w:p w14:paraId="3B5360BE">
            <w:pPr>
              <w:keepNext w:val="0"/>
              <w:keepLines w:val="0"/>
              <w:widowControl/>
              <w:suppressLineNumbers w:val="0"/>
              <w:jc w:val="center"/>
              <w:textAlignment w:val="center"/>
              <w:rPr>
                <w:rFonts w:hint="default" w:ascii="Times New Roman" w:hAnsi="Times New Roman" w:eastAsia="仿宋_GB2312" w:cs="Times New Roman"/>
                <w:sz w:val="32"/>
                <w:szCs w:val="32"/>
                <w:lang w:val="en-US"/>
              </w:rPr>
            </w:pPr>
            <w:r>
              <w:rPr>
                <w:rFonts w:hint="default" w:ascii="Times New Roman" w:hAnsi="Times New Roman" w:eastAsia="仿宋_GB2312" w:cs="Times New Roman"/>
                <w:i w:val="0"/>
                <w:iCs w:val="0"/>
                <w:snapToGrid w:val="0"/>
                <w:color w:val="000000"/>
                <w:kern w:val="0"/>
                <w:sz w:val="32"/>
                <w:szCs w:val="32"/>
                <w:u w:val="none"/>
                <w:lang w:val="en-US" w:eastAsia="zh-CN" w:bidi="ar"/>
              </w:rPr>
              <w:t>0.11</w:t>
            </w:r>
          </w:p>
        </w:tc>
      </w:tr>
      <w:tr w14:paraId="5B4D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2" w:hRule="atLeast"/>
          <w:jc w:val="center"/>
        </w:trPr>
        <w:tc>
          <w:tcPr>
            <w:tcW w:w="742" w:type="pct"/>
            <w:tcMar>
              <w:top w:w="0" w:type="dxa"/>
              <w:left w:w="57" w:type="dxa"/>
              <w:bottom w:w="0" w:type="dxa"/>
              <w:right w:w="57" w:type="dxa"/>
            </w:tcMar>
            <w:vAlign w:val="center"/>
          </w:tcPr>
          <w:p w14:paraId="430F29C5">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p>
        </w:tc>
        <w:tc>
          <w:tcPr>
            <w:tcW w:w="3356" w:type="pct"/>
            <w:tcMar>
              <w:top w:w="0" w:type="dxa"/>
              <w:left w:w="57" w:type="dxa"/>
              <w:bottom w:w="0" w:type="dxa"/>
              <w:right w:w="57" w:type="dxa"/>
            </w:tcMar>
            <w:vAlign w:val="center"/>
          </w:tcPr>
          <w:p w14:paraId="026CA86E">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紫锦花园东区西边界</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紫锦花园东区北边界</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紫锦祥园西边界</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紫锦祥园北边界</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紫锦嘉园北边界—紫锦嘉园东边界—乳山幼师附属幼儿园东边界—乳山幼师附属幼儿园南边界—紫锦嘉园东边界—紫锦嘉园南边界—紫锦祥园南边界—紫锦花园东区南边界</w:t>
            </w:r>
          </w:p>
        </w:tc>
        <w:tc>
          <w:tcPr>
            <w:tcW w:w="901" w:type="pct"/>
            <w:tcMar>
              <w:top w:w="0" w:type="dxa"/>
              <w:left w:w="57" w:type="dxa"/>
              <w:bottom w:w="0" w:type="dxa"/>
              <w:right w:w="57" w:type="dxa"/>
            </w:tcMar>
            <w:vAlign w:val="center"/>
          </w:tcPr>
          <w:p w14:paraId="1233E484">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0.23</w:t>
            </w:r>
          </w:p>
        </w:tc>
      </w:tr>
      <w:tr w14:paraId="2920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742" w:type="pct"/>
            <w:tcMar>
              <w:top w:w="0" w:type="dxa"/>
              <w:left w:w="57" w:type="dxa"/>
              <w:bottom w:w="0" w:type="dxa"/>
              <w:right w:w="57" w:type="dxa"/>
            </w:tcMar>
            <w:vAlign w:val="center"/>
          </w:tcPr>
          <w:p w14:paraId="2EFEC495">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p>
        </w:tc>
        <w:tc>
          <w:tcPr>
            <w:tcW w:w="3356" w:type="pct"/>
            <w:tcMar>
              <w:top w:w="0" w:type="dxa"/>
              <w:left w:w="57" w:type="dxa"/>
              <w:bottom w:w="0" w:type="dxa"/>
              <w:right w:w="57" w:type="dxa"/>
            </w:tcMar>
            <w:vAlign w:val="center"/>
          </w:tcPr>
          <w:p w14:paraId="4A62B850">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浦东路—新华街—珠海路—滨河东街</w:t>
            </w:r>
          </w:p>
        </w:tc>
        <w:tc>
          <w:tcPr>
            <w:tcW w:w="901" w:type="pct"/>
            <w:tcMar>
              <w:top w:w="0" w:type="dxa"/>
              <w:left w:w="57" w:type="dxa"/>
              <w:bottom w:w="0" w:type="dxa"/>
              <w:right w:w="57" w:type="dxa"/>
            </w:tcMar>
            <w:vAlign w:val="center"/>
          </w:tcPr>
          <w:p w14:paraId="74735A49">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0.30</w:t>
            </w:r>
          </w:p>
        </w:tc>
      </w:tr>
      <w:tr w14:paraId="39F5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6" w:hRule="atLeast"/>
          <w:jc w:val="center"/>
        </w:trPr>
        <w:tc>
          <w:tcPr>
            <w:tcW w:w="742" w:type="pct"/>
            <w:tcMar>
              <w:top w:w="0" w:type="dxa"/>
              <w:left w:w="57" w:type="dxa"/>
              <w:bottom w:w="0" w:type="dxa"/>
              <w:right w:w="57" w:type="dxa"/>
            </w:tcMar>
            <w:vAlign w:val="center"/>
          </w:tcPr>
          <w:p w14:paraId="70DE6B9D">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p>
        </w:tc>
        <w:tc>
          <w:tcPr>
            <w:tcW w:w="3356" w:type="pct"/>
            <w:tcMar>
              <w:top w:w="0" w:type="dxa"/>
              <w:left w:w="57" w:type="dxa"/>
              <w:bottom w:w="0" w:type="dxa"/>
              <w:right w:w="57" w:type="dxa"/>
            </w:tcMar>
            <w:vAlign w:val="center"/>
          </w:tcPr>
          <w:p w14:paraId="6D02520F">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深圳路—兴东小区北边界—晨读东巷—胜利街—浦东路—新华街</w:t>
            </w:r>
          </w:p>
        </w:tc>
        <w:tc>
          <w:tcPr>
            <w:tcW w:w="901" w:type="pct"/>
            <w:tcMar>
              <w:top w:w="0" w:type="dxa"/>
              <w:left w:w="57" w:type="dxa"/>
              <w:bottom w:w="0" w:type="dxa"/>
              <w:right w:w="57" w:type="dxa"/>
            </w:tcMar>
            <w:vAlign w:val="center"/>
          </w:tcPr>
          <w:p w14:paraId="5353D9DC">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0.79</w:t>
            </w:r>
          </w:p>
        </w:tc>
      </w:tr>
      <w:tr w14:paraId="46C3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0" w:hRule="atLeast"/>
          <w:jc w:val="center"/>
        </w:trPr>
        <w:tc>
          <w:tcPr>
            <w:tcW w:w="742" w:type="pct"/>
            <w:tcMar>
              <w:top w:w="0" w:type="dxa"/>
              <w:left w:w="57" w:type="dxa"/>
              <w:bottom w:w="0" w:type="dxa"/>
              <w:right w:w="57" w:type="dxa"/>
            </w:tcMar>
            <w:vAlign w:val="center"/>
          </w:tcPr>
          <w:p w14:paraId="1AC3D56B">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p>
        </w:tc>
        <w:tc>
          <w:tcPr>
            <w:tcW w:w="3356" w:type="pct"/>
            <w:tcMar>
              <w:top w:w="0" w:type="dxa"/>
              <w:left w:w="57" w:type="dxa"/>
              <w:bottom w:w="0" w:type="dxa"/>
              <w:right w:w="57" w:type="dxa"/>
            </w:tcMar>
            <w:vAlign w:val="center"/>
          </w:tcPr>
          <w:p w14:paraId="0AAEEDA3">
            <w:pPr>
              <w:keepNext w:val="0"/>
              <w:keepLines w:val="0"/>
              <w:widowControl/>
              <w:suppressLineNumbers w:val="0"/>
              <w:jc w:val="both"/>
              <w:textAlignment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i w:val="0"/>
                <w:iCs w:val="0"/>
                <w:snapToGrid w:val="0"/>
                <w:color w:val="000000"/>
                <w:kern w:val="0"/>
                <w:sz w:val="32"/>
                <w:szCs w:val="32"/>
                <w:u w:val="none"/>
                <w:lang w:val="en-US" w:eastAsia="zh-CN" w:bidi="ar"/>
              </w:rPr>
              <w:t>怡园小区西边界—怡园小区北边界—怡园西路—光明街小学西边界—光明街小学北边界—光明街小学东边界—怡园中学东边界—光明街</w:t>
            </w:r>
          </w:p>
        </w:tc>
        <w:tc>
          <w:tcPr>
            <w:tcW w:w="901" w:type="pct"/>
            <w:tcMar>
              <w:top w:w="0" w:type="dxa"/>
              <w:left w:w="57" w:type="dxa"/>
              <w:bottom w:w="0" w:type="dxa"/>
              <w:right w:w="57" w:type="dxa"/>
            </w:tcMar>
            <w:vAlign w:val="center"/>
          </w:tcPr>
          <w:p w14:paraId="1BFA76EE">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0.18</w:t>
            </w:r>
          </w:p>
        </w:tc>
      </w:tr>
      <w:tr w14:paraId="19D8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742" w:type="pct"/>
            <w:tcMar>
              <w:top w:w="0" w:type="dxa"/>
              <w:left w:w="57" w:type="dxa"/>
              <w:bottom w:w="0" w:type="dxa"/>
              <w:right w:w="57" w:type="dxa"/>
            </w:tcMar>
            <w:vAlign w:val="center"/>
          </w:tcPr>
          <w:p w14:paraId="6AB7C07D">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p>
        </w:tc>
        <w:tc>
          <w:tcPr>
            <w:tcW w:w="3356" w:type="pct"/>
            <w:tcMar>
              <w:top w:w="0" w:type="dxa"/>
              <w:left w:w="57" w:type="dxa"/>
              <w:bottom w:w="0" w:type="dxa"/>
              <w:right w:w="57" w:type="dxa"/>
            </w:tcMar>
            <w:vAlign w:val="center"/>
          </w:tcPr>
          <w:p w14:paraId="1C12B07B">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威海机械工程高级技工学校范围内</w:t>
            </w:r>
          </w:p>
        </w:tc>
        <w:tc>
          <w:tcPr>
            <w:tcW w:w="901" w:type="pct"/>
            <w:tcMar>
              <w:top w:w="0" w:type="dxa"/>
              <w:left w:w="57" w:type="dxa"/>
              <w:bottom w:w="0" w:type="dxa"/>
              <w:right w:w="57" w:type="dxa"/>
            </w:tcMar>
            <w:vAlign w:val="center"/>
          </w:tcPr>
          <w:p w14:paraId="5AC2B16B">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0.20</w:t>
            </w:r>
          </w:p>
        </w:tc>
      </w:tr>
      <w:tr w14:paraId="342C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1" w:hRule="atLeast"/>
          <w:jc w:val="center"/>
        </w:trPr>
        <w:tc>
          <w:tcPr>
            <w:tcW w:w="742" w:type="pct"/>
            <w:tcMar>
              <w:top w:w="0" w:type="dxa"/>
              <w:left w:w="57" w:type="dxa"/>
              <w:bottom w:w="0" w:type="dxa"/>
              <w:right w:w="57" w:type="dxa"/>
            </w:tcMar>
            <w:vAlign w:val="center"/>
          </w:tcPr>
          <w:p w14:paraId="1ABF7AEF">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p>
        </w:tc>
        <w:tc>
          <w:tcPr>
            <w:tcW w:w="3356" w:type="pct"/>
            <w:tcMar>
              <w:top w:w="0" w:type="dxa"/>
              <w:left w:w="57" w:type="dxa"/>
              <w:bottom w:w="0" w:type="dxa"/>
              <w:right w:w="57" w:type="dxa"/>
            </w:tcMar>
            <w:vAlign w:val="center"/>
          </w:tcPr>
          <w:p w14:paraId="582358C7">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笙歌小区西边界—笙歌学府家园二期南边界—笙歌学府家园二期西边界—笙歌学府家园二期北边界—笙歌小区北边界—金苹果小区北边界—金苹果小区东边界—金苹果小区南边界—笙歌小区南边界</w:t>
            </w:r>
          </w:p>
        </w:tc>
        <w:tc>
          <w:tcPr>
            <w:tcW w:w="901" w:type="pct"/>
            <w:tcMar>
              <w:top w:w="0" w:type="dxa"/>
              <w:left w:w="57" w:type="dxa"/>
              <w:bottom w:w="0" w:type="dxa"/>
              <w:right w:w="57" w:type="dxa"/>
            </w:tcMar>
            <w:vAlign w:val="center"/>
          </w:tcPr>
          <w:p w14:paraId="481CA571">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0.14</w:t>
            </w:r>
          </w:p>
        </w:tc>
      </w:tr>
      <w:tr w14:paraId="3C54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5" w:hRule="atLeast"/>
          <w:jc w:val="center"/>
        </w:trPr>
        <w:tc>
          <w:tcPr>
            <w:tcW w:w="742" w:type="pct"/>
            <w:tcMar>
              <w:top w:w="0" w:type="dxa"/>
              <w:left w:w="57" w:type="dxa"/>
              <w:bottom w:w="0" w:type="dxa"/>
              <w:right w:w="57" w:type="dxa"/>
            </w:tcMar>
            <w:vAlign w:val="center"/>
          </w:tcPr>
          <w:p w14:paraId="5599224D">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p>
        </w:tc>
        <w:tc>
          <w:tcPr>
            <w:tcW w:w="3356" w:type="pct"/>
            <w:tcMar>
              <w:top w:w="0" w:type="dxa"/>
              <w:left w:w="57" w:type="dxa"/>
              <w:bottom w:w="0" w:type="dxa"/>
              <w:right w:w="57" w:type="dxa"/>
            </w:tcMar>
            <w:vAlign w:val="center"/>
          </w:tcPr>
          <w:p w14:paraId="7C88D0B2">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春风巷—乳山市特殊教育学校南边界—乳山市特殊教育学校西边界—海峰街—乳山二中东边界—前进街</w:t>
            </w:r>
          </w:p>
        </w:tc>
        <w:tc>
          <w:tcPr>
            <w:tcW w:w="901" w:type="pct"/>
            <w:tcMar>
              <w:top w:w="0" w:type="dxa"/>
              <w:left w:w="57" w:type="dxa"/>
              <w:bottom w:w="0" w:type="dxa"/>
              <w:right w:w="57" w:type="dxa"/>
            </w:tcMar>
            <w:vAlign w:val="center"/>
          </w:tcPr>
          <w:p w14:paraId="62CBD887">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0.20</w:t>
            </w:r>
          </w:p>
        </w:tc>
      </w:tr>
      <w:tr w14:paraId="3D8A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5CB65F40">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p>
        </w:tc>
        <w:tc>
          <w:tcPr>
            <w:tcW w:w="3356" w:type="pct"/>
            <w:tcMar>
              <w:top w:w="0" w:type="dxa"/>
              <w:left w:w="57" w:type="dxa"/>
              <w:bottom w:w="0" w:type="dxa"/>
              <w:right w:w="57" w:type="dxa"/>
            </w:tcMar>
            <w:vAlign w:val="center"/>
          </w:tcPr>
          <w:p w14:paraId="70490308">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幸福花园小区西边界—幸福巷—幸福中巷—乳山实验中学北边界—乳山实验中学东边界—富兴苑小区北边界—富兴苑小区东边界—富兴苑小区南边界—幸福花园小区南边界</w:t>
            </w:r>
          </w:p>
        </w:tc>
        <w:tc>
          <w:tcPr>
            <w:tcW w:w="901" w:type="pct"/>
            <w:tcMar>
              <w:top w:w="0" w:type="dxa"/>
              <w:left w:w="57" w:type="dxa"/>
              <w:bottom w:w="0" w:type="dxa"/>
              <w:right w:w="57" w:type="dxa"/>
            </w:tcMar>
            <w:vAlign w:val="center"/>
          </w:tcPr>
          <w:p w14:paraId="14E1A75A">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0.33</w:t>
            </w:r>
          </w:p>
        </w:tc>
      </w:tr>
      <w:tr w14:paraId="0872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4B7BBC32">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w:t>
            </w:r>
          </w:p>
        </w:tc>
        <w:tc>
          <w:tcPr>
            <w:tcW w:w="3356" w:type="pct"/>
            <w:tcMar>
              <w:top w:w="0" w:type="dxa"/>
              <w:left w:w="57" w:type="dxa"/>
              <w:bottom w:w="0" w:type="dxa"/>
              <w:right w:w="57" w:type="dxa"/>
            </w:tcMar>
            <w:vAlign w:val="center"/>
          </w:tcPr>
          <w:p w14:paraId="7ED81015">
            <w:pPr>
              <w:keepNext w:val="0"/>
              <w:keepLines w:val="0"/>
              <w:widowControl/>
              <w:suppressLineNumbers w:val="0"/>
              <w:jc w:val="both"/>
              <w:textAlignment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i w:val="0"/>
                <w:iCs w:val="0"/>
                <w:snapToGrid w:val="0"/>
                <w:color w:val="000000"/>
                <w:kern w:val="0"/>
                <w:sz w:val="32"/>
                <w:szCs w:val="32"/>
                <w:u w:val="none"/>
                <w:lang w:val="en-US" w:eastAsia="zh-CN" w:bidi="ar"/>
              </w:rPr>
              <w:t>世纪大道—祥和小区北边界—祥和小区东边界</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祥和小区南边界</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祥和小区东边界</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泰山路</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府东路</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胜利街</w:t>
            </w:r>
          </w:p>
        </w:tc>
        <w:tc>
          <w:tcPr>
            <w:tcW w:w="901" w:type="pct"/>
            <w:tcMar>
              <w:top w:w="0" w:type="dxa"/>
              <w:left w:w="57" w:type="dxa"/>
              <w:bottom w:w="0" w:type="dxa"/>
              <w:right w:w="57" w:type="dxa"/>
            </w:tcMar>
            <w:vAlign w:val="center"/>
          </w:tcPr>
          <w:p w14:paraId="3EF97665">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0.31</w:t>
            </w:r>
          </w:p>
        </w:tc>
      </w:tr>
      <w:tr w14:paraId="7298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09AE7CE1">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w:t>
            </w:r>
          </w:p>
        </w:tc>
        <w:tc>
          <w:tcPr>
            <w:tcW w:w="3356" w:type="pct"/>
            <w:tcMar>
              <w:top w:w="0" w:type="dxa"/>
              <w:left w:w="57" w:type="dxa"/>
              <w:bottom w:w="0" w:type="dxa"/>
              <w:right w:w="57" w:type="dxa"/>
            </w:tcMar>
            <w:vAlign w:val="center"/>
          </w:tcPr>
          <w:p w14:paraId="2E177C7B">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府前路</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乳山市发展和改革局北边界</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府前路学校北边界</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乳山市民政局北边界</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乳山市第二实验小学北边界</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国安路</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商业街</w:t>
            </w:r>
          </w:p>
        </w:tc>
        <w:tc>
          <w:tcPr>
            <w:tcW w:w="901" w:type="pct"/>
            <w:tcMar>
              <w:top w:w="0" w:type="dxa"/>
              <w:left w:w="57" w:type="dxa"/>
              <w:bottom w:w="0" w:type="dxa"/>
              <w:right w:w="57" w:type="dxa"/>
            </w:tcMar>
            <w:vAlign w:val="center"/>
          </w:tcPr>
          <w:p w14:paraId="4E9F2860">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0.10</w:t>
            </w:r>
          </w:p>
        </w:tc>
      </w:tr>
      <w:tr w14:paraId="5723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1C769621">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w:t>
            </w:r>
          </w:p>
        </w:tc>
        <w:tc>
          <w:tcPr>
            <w:tcW w:w="3356" w:type="pct"/>
            <w:tcMar>
              <w:top w:w="0" w:type="dxa"/>
              <w:left w:w="57" w:type="dxa"/>
              <w:bottom w:w="0" w:type="dxa"/>
              <w:right w:w="57" w:type="dxa"/>
            </w:tcMar>
            <w:vAlign w:val="center"/>
          </w:tcPr>
          <w:p w14:paraId="14C6A7B4">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海之缘花苑、银泰海景花园、檀香丽湾小区范围内</w:t>
            </w:r>
          </w:p>
        </w:tc>
        <w:tc>
          <w:tcPr>
            <w:tcW w:w="901" w:type="pct"/>
            <w:tcMar>
              <w:top w:w="0" w:type="dxa"/>
              <w:left w:w="57" w:type="dxa"/>
              <w:bottom w:w="0" w:type="dxa"/>
              <w:right w:w="57" w:type="dxa"/>
            </w:tcMar>
            <w:vAlign w:val="center"/>
          </w:tcPr>
          <w:p w14:paraId="30041834">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0.65</w:t>
            </w:r>
          </w:p>
        </w:tc>
      </w:tr>
      <w:tr w14:paraId="5B26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741BADE6">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w:t>
            </w:r>
          </w:p>
        </w:tc>
        <w:tc>
          <w:tcPr>
            <w:tcW w:w="3356" w:type="pct"/>
            <w:tcMar>
              <w:top w:w="0" w:type="dxa"/>
              <w:left w:w="57" w:type="dxa"/>
              <w:bottom w:w="0" w:type="dxa"/>
              <w:right w:w="57" w:type="dxa"/>
            </w:tcMar>
            <w:vAlign w:val="center"/>
          </w:tcPr>
          <w:p w14:paraId="4E2CBE88">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银金大道</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学院东路</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长江路</w:t>
            </w:r>
            <w:r>
              <w:rPr>
                <w:rFonts w:hint="eastAsia" w:ascii="Times New Roman" w:hAnsi="Times New Roman" w:eastAsia="仿宋_GB2312" w:cs="Times New Roman"/>
                <w:i w:val="0"/>
                <w:iCs w:val="0"/>
                <w:snapToGrid w:val="0"/>
                <w:color w:val="000000"/>
                <w:kern w:val="0"/>
                <w:sz w:val="32"/>
                <w:szCs w:val="32"/>
                <w:u w:val="none"/>
                <w:lang w:val="en-US" w:eastAsia="zh-CN" w:bidi="ar"/>
              </w:rPr>
              <w:t>—</w:t>
            </w:r>
            <w:r>
              <w:rPr>
                <w:rFonts w:hint="default" w:ascii="Times New Roman" w:hAnsi="Times New Roman" w:eastAsia="仿宋_GB2312" w:cs="Times New Roman"/>
                <w:i w:val="0"/>
                <w:iCs w:val="0"/>
                <w:snapToGrid w:val="0"/>
                <w:color w:val="000000"/>
                <w:kern w:val="0"/>
                <w:sz w:val="32"/>
                <w:szCs w:val="32"/>
                <w:u w:val="none"/>
                <w:lang w:val="en-US" w:eastAsia="zh-CN" w:bidi="ar"/>
              </w:rPr>
              <w:t>学院西路</w:t>
            </w:r>
          </w:p>
        </w:tc>
        <w:tc>
          <w:tcPr>
            <w:tcW w:w="901" w:type="pct"/>
            <w:tcMar>
              <w:top w:w="0" w:type="dxa"/>
              <w:left w:w="57" w:type="dxa"/>
              <w:bottom w:w="0" w:type="dxa"/>
              <w:right w:w="57" w:type="dxa"/>
            </w:tcMar>
            <w:vAlign w:val="center"/>
          </w:tcPr>
          <w:p w14:paraId="061394BE">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1.03</w:t>
            </w:r>
          </w:p>
        </w:tc>
      </w:tr>
      <w:tr w14:paraId="65DA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34D3683F">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14</w:t>
            </w:r>
          </w:p>
        </w:tc>
        <w:tc>
          <w:tcPr>
            <w:tcW w:w="3356" w:type="pct"/>
            <w:tcMar>
              <w:top w:w="0" w:type="dxa"/>
              <w:left w:w="57" w:type="dxa"/>
              <w:bottom w:w="0" w:type="dxa"/>
              <w:right w:w="57" w:type="dxa"/>
            </w:tcMar>
            <w:vAlign w:val="center"/>
          </w:tcPr>
          <w:p w14:paraId="5607314D">
            <w:pPr>
              <w:keepNext w:val="0"/>
              <w:keepLines w:val="0"/>
              <w:widowControl/>
              <w:suppressLineNumbers w:val="0"/>
              <w:jc w:val="both"/>
              <w:textAlignment w:val="center"/>
              <w:rPr>
                <w:rFonts w:hint="default" w:ascii="Times New Roman" w:hAnsi="Times New Roman" w:eastAsia="仿宋_GB2312" w:cs="Times New Roman"/>
                <w:sz w:val="32"/>
                <w:szCs w:val="32"/>
                <w:highlight w:val="none"/>
                <w:lang w:val="en-US"/>
              </w:rPr>
            </w:pPr>
            <w:r>
              <w:rPr>
                <w:rFonts w:hint="default" w:ascii="Times New Roman" w:hAnsi="Times New Roman" w:eastAsia="仿宋_GB2312" w:cs="Times New Roman"/>
                <w:i w:val="0"/>
                <w:iCs w:val="0"/>
                <w:snapToGrid w:val="0"/>
                <w:color w:val="000000"/>
                <w:kern w:val="0"/>
                <w:sz w:val="32"/>
                <w:szCs w:val="32"/>
                <w:u w:val="none"/>
                <w:lang w:val="en-US" w:eastAsia="zh-CN" w:bidi="ar"/>
              </w:rPr>
              <w:t>山水嘉苑、山海天建筑群、山译阅海苑、山东外事职业大学西校区建筑群范围内</w:t>
            </w:r>
          </w:p>
        </w:tc>
        <w:tc>
          <w:tcPr>
            <w:tcW w:w="901" w:type="pct"/>
            <w:tcMar>
              <w:top w:w="0" w:type="dxa"/>
              <w:left w:w="57" w:type="dxa"/>
              <w:bottom w:w="0" w:type="dxa"/>
              <w:right w:w="57" w:type="dxa"/>
            </w:tcMar>
            <w:vAlign w:val="center"/>
          </w:tcPr>
          <w:p w14:paraId="58E7DD4C">
            <w:pPr>
              <w:keepNext w:val="0"/>
              <w:keepLines w:val="0"/>
              <w:widowControl/>
              <w:suppressLineNumbers w:val="0"/>
              <w:jc w:val="center"/>
              <w:textAlignment w:val="center"/>
              <w:rPr>
                <w:rFonts w:hint="default" w:ascii="Times New Roman" w:hAnsi="Times New Roman" w:eastAsia="仿宋_GB2312" w:cs="Times New Roman"/>
                <w:sz w:val="32"/>
                <w:szCs w:val="32"/>
                <w:highlight w:val="none"/>
                <w:lang w:val="en-US"/>
              </w:rPr>
            </w:pPr>
            <w:r>
              <w:rPr>
                <w:rFonts w:hint="default" w:ascii="Times New Roman" w:hAnsi="Times New Roman" w:eastAsia="仿宋_GB2312" w:cs="Times New Roman"/>
                <w:i w:val="0"/>
                <w:iCs w:val="0"/>
                <w:snapToGrid w:val="0"/>
                <w:color w:val="000000"/>
                <w:kern w:val="0"/>
                <w:sz w:val="32"/>
                <w:szCs w:val="32"/>
                <w:u w:val="none"/>
                <w:lang w:val="en-US" w:eastAsia="zh-CN" w:bidi="ar"/>
              </w:rPr>
              <w:t>0.51</w:t>
            </w:r>
          </w:p>
        </w:tc>
      </w:tr>
      <w:tr w14:paraId="723E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234888CE">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15</w:t>
            </w:r>
          </w:p>
        </w:tc>
        <w:tc>
          <w:tcPr>
            <w:tcW w:w="3356" w:type="pct"/>
            <w:tcMar>
              <w:top w:w="0" w:type="dxa"/>
              <w:left w:w="57" w:type="dxa"/>
              <w:bottom w:w="0" w:type="dxa"/>
              <w:right w:w="57" w:type="dxa"/>
            </w:tcMar>
            <w:vAlign w:val="center"/>
          </w:tcPr>
          <w:p w14:paraId="47E5C44B">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碧海苑小区、碧海苑社区、香港平远国际城小区范围内</w:t>
            </w:r>
          </w:p>
        </w:tc>
        <w:tc>
          <w:tcPr>
            <w:tcW w:w="901" w:type="pct"/>
            <w:tcMar>
              <w:top w:w="0" w:type="dxa"/>
              <w:left w:w="57" w:type="dxa"/>
              <w:bottom w:w="0" w:type="dxa"/>
              <w:right w:w="57" w:type="dxa"/>
            </w:tcMar>
            <w:vAlign w:val="center"/>
          </w:tcPr>
          <w:p w14:paraId="6D326DA8">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0.42</w:t>
            </w:r>
          </w:p>
        </w:tc>
      </w:tr>
      <w:tr w14:paraId="2F93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2D5F7D8A">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16</w:t>
            </w:r>
          </w:p>
        </w:tc>
        <w:tc>
          <w:tcPr>
            <w:tcW w:w="3356" w:type="pct"/>
            <w:tcMar>
              <w:top w:w="0" w:type="dxa"/>
              <w:left w:w="57" w:type="dxa"/>
              <w:bottom w:w="0" w:type="dxa"/>
              <w:right w:w="57" w:type="dxa"/>
            </w:tcMar>
            <w:vAlign w:val="center"/>
          </w:tcPr>
          <w:p w14:paraId="75449012">
            <w:pPr>
              <w:keepNext w:val="0"/>
              <w:keepLines w:val="0"/>
              <w:widowControl/>
              <w:suppressLineNumbers w:val="0"/>
              <w:jc w:val="both"/>
              <w:textAlignment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i w:val="0"/>
                <w:iCs w:val="0"/>
                <w:snapToGrid w:val="0"/>
                <w:color w:val="000000"/>
                <w:kern w:val="0"/>
                <w:sz w:val="32"/>
                <w:szCs w:val="32"/>
                <w:u w:val="none"/>
                <w:lang w:val="en-US" w:eastAsia="zh-CN" w:bidi="ar"/>
              </w:rPr>
              <w:t>祥隆花园、山水花都、银滩之心观海苑、银滩之心度假俱乐部小区范围内</w:t>
            </w:r>
          </w:p>
        </w:tc>
        <w:tc>
          <w:tcPr>
            <w:tcW w:w="901" w:type="pct"/>
            <w:tcMar>
              <w:top w:w="0" w:type="dxa"/>
              <w:left w:w="57" w:type="dxa"/>
              <w:bottom w:w="0" w:type="dxa"/>
              <w:right w:w="57" w:type="dxa"/>
            </w:tcMar>
            <w:vAlign w:val="center"/>
          </w:tcPr>
          <w:p w14:paraId="4FCE3ABF">
            <w:pPr>
              <w:keepNext w:val="0"/>
              <w:keepLines w:val="0"/>
              <w:widowControl/>
              <w:suppressLineNumbers w:val="0"/>
              <w:jc w:val="center"/>
              <w:textAlignment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i w:val="0"/>
                <w:iCs w:val="0"/>
                <w:snapToGrid w:val="0"/>
                <w:color w:val="000000"/>
                <w:kern w:val="0"/>
                <w:sz w:val="32"/>
                <w:szCs w:val="32"/>
                <w:u w:val="none"/>
                <w:lang w:val="en-US" w:eastAsia="zh-CN" w:bidi="ar"/>
              </w:rPr>
              <w:t>0.50</w:t>
            </w:r>
          </w:p>
        </w:tc>
      </w:tr>
      <w:tr w14:paraId="4271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7DB9121F">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w:t>
            </w:r>
          </w:p>
        </w:tc>
        <w:tc>
          <w:tcPr>
            <w:tcW w:w="3356" w:type="pct"/>
            <w:tcMar>
              <w:top w:w="0" w:type="dxa"/>
              <w:left w:w="57" w:type="dxa"/>
              <w:bottom w:w="0" w:type="dxa"/>
              <w:right w:w="57" w:type="dxa"/>
            </w:tcMar>
            <w:vAlign w:val="center"/>
          </w:tcPr>
          <w:p w14:paraId="6C145236">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淮河路6号、香格里湾、香格里湾二区小区范围内</w:t>
            </w:r>
          </w:p>
        </w:tc>
        <w:tc>
          <w:tcPr>
            <w:tcW w:w="901" w:type="pct"/>
            <w:tcMar>
              <w:top w:w="0" w:type="dxa"/>
              <w:left w:w="57" w:type="dxa"/>
              <w:bottom w:w="0" w:type="dxa"/>
              <w:right w:w="57" w:type="dxa"/>
            </w:tcMar>
            <w:vAlign w:val="center"/>
          </w:tcPr>
          <w:p w14:paraId="2CEF5E13">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0.12</w:t>
            </w:r>
          </w:p>
        </w:tc>
      </w:tr>
      <w:tr w14:paraId="1830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5CDBBCD9">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18</w:t>
            </w:r>
          </w:p>
        </w:tc>
        <w:tc>
          <w:tcPr>
            <w:tcW w:w="3356" w:type="pct"/>
            <w:tcMar>
              <w:top w:w="0" w:type="dxa"/>
              <w:left w:w="57" w:type="dxa"/>
              <w:bottom w:w="0" w:type="dxa"/>
              <w:right w:w="57" w:type="dxa"/>
            </w:tcMar>
            <w:vAlign w:val="center"/>
          </w:tcPr>
          <w:p w14:paraId="13D1C96F">
            <w:pPr>
              <w:keepNext w:val="0"/>
              <w:keepLines w:val="0"/>
              <w:widowControl/>
              <w:suppressLineNumbers w:val="0"/>
              <w:jc w:val="both"/>
              <w:textAlignment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i w:val="0"/>
                <w:iCs w:val="0"/>
                <w:snapToGrid w:val="0"/>
                <w:color w:val="000000"/>
                <w:kern w:val="0"/>
                <w:sz w:val="32"/>
                <w:szCs w:val="32"/>
                <w:u w:val="none"/>
                <w:lang w:val="en-US" w:eastAsia="zh-CN" w:bidi="ar"/>
              </w:rPr>
              <w:t>假日海景海之梦花苑、宏泰阳光花园、临海宜家、淮河路壹号小区范围内</w:t>
            </w:r>
          </w:p>
        </w:tc>
        <w:tc>
          <w:tcPr>
            <w:tcW w:w="901" w:type="pct"/>
            <w:tcMar>
              <w:top w:w="0" w:type="dxa"/>
              <w:left w:w="57" w:type="dxa"/>
              <w:bottom w:w="0" w:type="dxa"/>
              <w:right w:w="57" w:type="dxa"/>
            </w:tcMar>
            <w:vAlign w:val="center"/>
          </w:tcPr>
          <w:p w14:paraId="75379022">
            <w:pPr>
              <w:keepNext w:val="0"/>
              <w:keepLines w:val="0"/>
              <w:widowControl/>
              <w:suppressLineNumbers w:val="0"/>
              <w:jc w:val="center"/>
              <w:textAlignment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i w:val="0"/>
                <w:iCs w:val="0"/>
                <w:snapToGrid w:val="0"/>
                <w:color w:val="000000"/>
                <w:kern w:val="0"/>
                <w:sz w:val="32"/>
                <w:szCs w:val="32"/>
                <w:u w:val="none"/>
                <w:lang w:val="en-US" w:eastAsia="zh-CN" w:bidi="ar"/>
              </w:rPr>
              <w:t>0.33</w:t>
            </w:r>
          </w:p>
        </w:tc>
      </w:tr>
      <w:tr w14:paraId="774E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0A61A6FD">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19</w:t>
            </w:r>
          </w:p>
        </w:tc>
        <w:tc>
          <w:tcPr>
            <w:tcW w:w="3356" w:type="pct"/>
            <w:tcMar>
              <w:top w:w="0" w:type="dxa"/>
              <w:left w:w="57" w:type="dxa"/>
              <w:bottom w:w="0" w:type="dxa"/>
              <w:right w:w="57" w:type="dxa"/>
            </w:tcMar>
            <w:vAlign w:val="center"/>
          </w:tcPr>
          <w:p w14:paraId="57DD1231">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福海苑小区范围内</w:t>
            </w:r>
          </w:p>
        </w:tc>
        <w:tc>
          <w:tcPr>
            <w:tcW w:w="901" w:type="pct"/>
            <w:tcMar>
              <w:top w:w="0" w:type="dxa"/>
              <w:left w:w="57" w:type="dxa"/>
              <w:bottom w:w="0" w:type="dxa"/>
              <w:right w:w="57" w:type="dxa"/>
            </w:tcMar>
            <w:vAlign w:val="center"/>
          </w:tcPr>
          <w:p w14:paraId="08ABE788">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0.29</w:t>
            </w:r>
          </w:p>
        </w:tc>
      </w:tr>
      <w:tr w14:paraId="5461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05196FE9">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w:t>
            </w:r>
          </w:p>
        </w:tc>
        <w:tc>
          <w:tcPr>
            <w:tcW w:w="3356" w:type="pct"/>
            <w:tcMar>
              <w:top w:w="0" w:type="dxa"/>
              <w:left w:w="57" w:type="dxa"/>
              <w:bottom w:w="0" w:type="dxa"/>
              <w:right w:w="57" w:type="dxa"/>
            </w:tcMar>
            <w:vAlign w:val="center"/>
          </w:tcPr>
          <w:p w14:paraId="04B8AD51">
            <w:pPr>
              <w:keepNext w:val="0"/>
              <w:keepLines w:val="0"/>
              <w:widowControl/>
              <w:suppressLineNumbers w:val="0"/>
              <w:jc w:val="both"/>
              <w:textAlignment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i w:val="0"/>
                <w:iCs w:val="0"/>
                <w:snapToGrid w:val="0"/>
                <w:color w:val="000000"/>
                <w:kern w:val="0"/>
                <w:sz w:val="32"/>
                <w:szCs w:val="32"/>
                <w:u w:val="none"/>
                <w:lang w:val="en-US" w:eastAsia="zh-CN" w:bidi="ar"/>
              </w:rPr>
              <w:t>银河海景御花园小区范围内</w:t>
            </w:r>
          </w:p>
        </w:tc>
        <w:tc>
          <w:tcPr>
            <w:tcW w:w="901" w:type="pct"/>
            <w:tcMar>
              <w:top w:w="0" w:type="dxa"/>
              <w:left w:w="57" w:type="dxa"/>
              <w:bottom w:w="0" w:type="dxa"/>
              <w:right w:w="57" w:type="dxa"/>
            </w:tcMar>
            <w:vAlign w:val="center"/>
          </w:tcPr>
          <w:p w14:paraId="28DA48B6">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0.15</w:t>
            </w:r>
          </w:p>
        </w:tc>
      </w:tr>
      <w:tr w14:paraId="2090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0BCCE5D9">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21</w:t>
            </w:r>
          </w:p>
        </w:tc>
        <w:tc>
          <w:tcPr>
            <w:tcW w:w="3356" w:type="pct"/>
            <w:tcMar>
              <w:top w:w="0" w:type="dxa"/>
              <w:left w:w="57" w:type="dxa"/>
              <w:bottom w:w="0" w:type="dxa"/>
              <w:right w:w="57" w:type="dxa"/>
            </w:tcMar>
            <w:vAlign w:val="center"/>
          </w:tcPr>
          <w:p w14:paraId="57704D17">
            <w:pPr>
              <w:keepNext w:val="0"/>
              <w:keepLines w:val="0"/>
              <w:widowControl/>
              <w:suppressLineNumbers w:val="0"/>
              <w:jc w:val="both"/>
              <w:textAlignment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i w:val="0"/>
                <w:iCs w:val="0"/>
                <w:snapToGrid w:val="0"/>
                <w:color w:val="000000"/>
                <w:kern w:val="0"/>
                <w:sz w:val="32"/>
                <w:szCs w:val="32"/>
                <w:u w:val="none"/>
                <w:lang w:val="en-US" w:eastAsia="zh-CN" w:bidi="ar"/>
              </w:rPr>
              <w:t>将军滨海花园、滨海如意花园、明珠海苑小区范围内</w:t>
            </w:r>
          </w:p>
        </w:tc>
        <w:tc>
          <w:tcPr>
            <w:tcW w:w="901" w:type="pct"/>
            <w:tcMar>
              <w:top w:w="0" w:type="dxa"/>
              <w:left w:w="57" w:type="dxa"/>
              <w:bottom w:w="0" w:type="dxa"/>
              <w:right w:w="57" w:type="dxa"/>
            </w:tcMar>
            <w:vAlign w:val="center"/>
          </w:tcPr>
          <w:p w14:paraId="51B80B63">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0.29</w:t>
            </w:r>
          </w:p>
        </w:tc>
      </w:tr>
      <w:tr w14:paraId="5D92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30692CCA">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22</w:t>
            </w:r>
          </w:p>
        </w:tc>
        <w:tc>
          <w:tcPr>
            <w:tcW w:w="3356" w:type="pct"/>
            <w:tcMar>
              <w:top w:w="0" w:type="dxa"/>
              <w:left w:w="57" w:type="dxa"/>
              <w:bottom w:w="0" w:type="dxa"/>
              <w:right w:w="57" w:type="dxa"/>
            </w:tcMar>
            <w:vAlign w:val="center"/>
          </w:tcPr>
          <w:p w14:paraId="5FFC88A6">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海韵阳光花园小区范围内</w:t>
            </w:r>
          </w:p>
        </w:tc>
        <w:tc>
          <w:tcPr>
            <w:tcW w:w="901" w:type="pct"/>
            <w:tcMar>
              <w:top w:w="0" w:type="dxa"/>
              <w:left w:w="57" w:type="dxa"/>
              <w:bottom w:w="0" w:type="dxa"/>
              <w:right w:w="57" w:type="dxa"/>
            </w:tcMar>
            <w:vAlign w:val="center"/>
          </w:tcPr>
          <w:p w14:paraId="3EA71CA8">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0.22</w:t>
            </w:r>
          </w:p>
        </w:tc>
      </w:tr>
      <w:tr w14:paraId="0A11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1269746B">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23</w:t>
            </w:r>
          </w:p>
        </w:tc>
        <w:tc>
          <w:tcPr>
            <w:tcW w:w="3356" w:type="pct"/>
            <w:tcMar>
              <w:top w:w="0" w:type="dxa"/>
              <w:left w:w="57" w:type="dxa"/>
              <w:bottom w:w="0" w:type="dxa"/>
              <w:right w:w="57" w:type="dxa"/>
            </w:tcMar>
            <w:vAlign w:val="center"/>
          </w:tcPr>
          <w:p w14:paraId="2CFDF387">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富海花园、海翔花园、水岸人家、益天花园、御宫花园小区范围内</w:t>
            </w:r>
          </w:p>
        </w:tc>
        <w:tc>
          <w:tcPr>
            <w:tcW w:w="901" w:type="pct"/>
            <w:tcMar>
              <w:top w:w="0" w:type="dxa"/>
              <w:left w:w="57" w:type="dxa"/>
              <w:bottom w:w="0" w:type="dxa"/>
              <w:right w:w="57" w:type="dxa"/>
            </w:tcMar>
            <w:vAlign w:val="center"/>
          </w:tcPr>
          <w:p w14:paraId="37A58757">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0.31</w:t>
            </w:r>
          </w:p>
        </w:tc>
      </w:tr>
      <w:tr w14:paraId="10FF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64ECBBA9">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24</w:t>
            </w:r>
          </w:p>
        </w:tc>
        <w:tc>
          <w:tcPr>
            <w:tcW w:w="3356" w:type="pct"/>
            <w:tcMar>
              <w:top w:w="0" w:type="dxa"/>
              <w:left w:w="57" w:type="dxa"/>
              <w:bottom w:w="0" w:type="dxa"/>
              <w:right w:w="57" w:type="dxa"/>
            </w:tcMar>
            <w:vAlign w:val="center"/>
          </w:tcPr>
          <w:p w14:paraId="6CAF4845">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乳山市委党校、融基天海人和小区范围内</w:t>
            </w:r>
          </w:p>
        </w:tc>
        <w:tc>
          <w:tcPr>
            <w:tcW w:w="901" w:type="pct"/>
            <w:tcMar>
              <w:top w:w="0" w:type="dxa"/>
              <w:left w:w="57" w:type="dxa"/>
              <w:bottom w:w="0" w:type="dxa"/>
              <w:right w:w="57" w:type="dxa"/>
            </w:tcMar>
            <w:vAlign w:val="center"/>
          </w:tcPr>
          <w:p w14:paraId="290CF404">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0.15</w:t>
            </w:r>
          </w:p>
        </w:tc>
      </w:tr>
      <w:tr w14:paraId="5F8F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15211DE6">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25</w:t>
            </w:r>
          </w:p>
        </w:tc>
        <w:tc>
          <w:tcPr>
            <w:tcW w:w="3356" w:type="pct"/>
            <w:tcMar>
              <w:top w:w="0" w:type="dxa"/>
              <w:left w:w="57" w:type="dxa"/>
              <w:bottom w:w="0" w:type="dxa"/>
              <w:right w:w="57" w:type="dxa"/>
            </w:tcMar>
            <w:vAlign w:val="center"/>
          </w:tcPr>
          <w:p w14:paraId="79DD8A4D">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海都花苑小区范围内</w:t>
            </w:r>
          </w:p>
        </w:tc>
        <w:tc>
          <w:tcPr>
            <w:tcW w:w="901" w:type="pct"/>
            <w:tcMar>
              <w:top w:w="0" w:type="dxa"/>
              <w:left w:w="57" w:type="dxa"/>
              <w:bottom w:w="0" w:type="dxa"/>
              <w:right w:w="57" w:type="dxa"/>
            </w:tcMar>
            <w:vAlign w:val="center"/>
          </w:tcPr>
          <w:p w14:paraId="056DA448">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0.17</w:t>
            </w:r>
          </w:p>
        </w:tc>
      </w:tr>
      <w:tr w14:paraId="752F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0C601C80">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26</w:t>
            </w:r>
          </w:p>
        </w:tc>
        <w:tc>
          <w:tcPr>
            <w:tcW w:w="3356" w:type="pct"/>
            <w:tcMar>
              <w:top w:w="0" w:type="dxa"/>
              <w:left w:w="57" w:type="dxa"/>
              <w:bottom w:w="0" w:type="dxa"/>
              <w:right w:w="57" w:type="dxa"/>
            </w:tcMar>
            <w:vAlign w:val="center"/>
          </w:tcPr>
          <w:p w14:paraId="0E9CE77C">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万豪庭海苑、金长城花园范围内</w:t>
            </w:r>
          </w:p>
        </w:tc>
        <w:tc>
          <w:tcPr>
            <w:tcW w:w="901" w:type="pct"/>
            <w:tcMar>
              <w:top w:w="0" w:type="dxa"/>
              <w:left w:w="57" w:type="dxa"/>
              <w:bottom w:w="0" w:type="dxa"/>
              <w:right w:w="57" w:type="dxa"/>
            </w:tcMar>
            <w:vAlign w:val="center"/>
          </w:tcPr>
          <w:p w14:paraId="242BB30B">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0.32</w:t>
            </w:r>
          </w:p>
        </w:tc>
      </w:tr>
      <w:tr w14:paraId="20D2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6B9A66BD">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27</w:t>
            </w:r>
          </w:p>
        </w:tc>
        <w:tc>
          <w:tcPr>
            <w:tcW w:w="3356" w:type="pct"/>
            <w:tcMar>
              <w:top w:w="0" w:type="dxa"/>
              <w:left w:w="57" w:type="dxa"/>
              <w:bottom w:w="0" w:type="dxa"/>
              <w:right w:w="57" w:type="dxa"/>
            </w:tcMar>
            <w:vAlign w:val="center"/>
          </w:tcPr>
          <w:p w14:paraId="5C40ED8B">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中房蔚蓝海岸小区范围内</w:t>
            </w:r>
          </w:p>
        </w:tc>
        <w:tc>
          <w:tcPr>
            <w:tcW w:w="901" w:type="pct"/>
            <w:tcMar>
              <w:top w:w="0" w:type="dxa"/>
              <w:left w:w="57" w:type="dxa"/>
              <w:bottom w:w="0" w:type="dxa"/>
              <w:right w:w="57" w:type="dxa"/>
            </w:tcMar>
            <w:vAlign w:val="center"/>
          </w:tcPr>
          <w:p w14:paraId="2697870D">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0.17</w:t>
            </w:r>
          </w:p>
        </w:tc>
      </w:tr>
      <w:tr w14:paraId="3620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pct"/>
            <w:tcMar>
              <w:top w:w="0" w:type="dxa"/>
              <w:left w:w="57" w:type="dxa"/>
              <w:bottom w:w="0" w:type="dxa"/>
              <w:right w:w="57" w:type="dxa"/>
            </w:tcMar>
            <w:vAlign w:val="center"/>
          </w:tcPr>
          <w:p w14:paraId="6CC91054">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28</w:t>
            </w:r>
          </w:p>
        </w:tc>
        <w:tc>
          <w:tcPr>
            <w:tcW w:w="3356" w:type="pct"/>
            <w:tcMar>
              <w:top w:w="0" w:type="dxa"/>
              <w:left w:w="57" w:type="dxa"/>
              <w:bottom w:w="0" w:type="dxa"/>
              <w:right w:w="57" w:type="dxa"/>
            </w:tcMar>
            <w:vAlign w:val="center"/>
          </w:tcPr>
          <w:p w14:paraId="16C5EE56">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大庆景园、恒兴碧海康居、阳光海岸花园、益海花园、银滩富绅小区、天安海景园小区范围内</w:t>
            </w:r>
          </w:p>
        </w:tc>
        <w:tc>
          <w:tcPr>
            <w:tcW w:w="901" w:type="pct"/>
            <w:tcMar>
              <w:top w:w="0" w:type="dxa"/>
              <w:left w:w="57" w:type="dxa"/>
              <w:bottom w:w="0" w:type="dxa"/>
              <w:right w:w="57" w:type="dxa"/>
            </w:tcMar>
            <w:vAlign w:val="center"/>
          </w:tcPr>
          <w:p w14:paraId="03EA4C99">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0.44</w:t>
            </w:r>
          </w:p>
        </w:tc>
      </w:tr>
      <w:tr w14:paraId="6471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9" w:hRule="atLeast"/>
          <w:jc w:val="center"/>
        </w:trPr>
        <w:tc>
          <w:tcPr>
            <w:tcW w:w="742" w:type="pct"/>
            <w:tcMar>
              <w:top w:w="0" w:type="dxa"/>
              <w:left w:w="57" w:type="dxa"/>
              <w:bottom w:w="0" w:type="dxa"/>
              <w:right w:w="57" w:type="dxa"/>
            </w:tcMar>
            <w:vAlign w:val="center"/>
          </w:tcPr>
          <w:p w14:paraId="3FFDF098">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29</w:t>
            </w:r>
          </w:p>
        </w:tc>
        <w:tc>
          <w:tcPr>
            <w:tcW w:w="3356" w:type="pct"/>
            <w:tcMar>
              <w:top w:w="0" w:type="dxa"/>
              <w:left w:w="57" w:type="dxa"/>
              <w:bottom w:w="0" w:type="dxa"/>
              <w:right w:w="57" w:type="dxa"/>
            </w:tcMar>
            <w:vAlign w:val="center"/>
          </w:tcPr>
          <w:p w14:paraId="620C933C">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爱情海景东区、安吉碧海祥园小区范围内</w:t>
            </w:r>
          </w:p>
        </w:tc>
        <w:tc>
          <w:tcPr>
            <w:tcW w:w="901" w:type="pct"/>
            <w:tcMar>
              <w:top w:w="0" w:type="dxa"/>
              <w:left w:w="57" w:type="dxa"/>
              <w:bottom w:w="0" w:type="dxa"/>
              <w:right w:w="57" w:type="dxa"/>
            </w:tcMar>
            <w:vAlign w:val="center"/>
          </w:tcPr>
          <w:p w14:paraId="496A46FC">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0.19</w:t>
            </w:r>
          </w:p>
        </w:tc>
      </w:tr>
      <w:tr w14:paraId="5E9D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742" w:type="pct"/>
            <w:tcMar>
              <w:top w:w="0" w:type="dxa"/>
              <w:left w:w="57" w:type="dxa"/>
              <w:bottom w:w="0" w:type="dxa"/>
              <w:right w:w="57" w:type="dxa"/>
            </w:tcMar>
            <w:vAlign w:val="center"/>
          </w:tcPr>
          <w:p w14:paraId="4F2901E9">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30</w:t>
            </w:r>
          </w:p>
        </w:tc>
        <w:tc>
          <w:tcPr>
            <w:tcW w:w="3356" w:type="pct"/>
            <w:tcMar>
              <w:top w:w="0" w:type="dxa"/>
              <w:left w:w="57" w:type="dxa"/>
              <w:bottom w:w="0" w:type="dxa"/>
              <w:right w:w="57" w:type="dxa"/>
            </w:tcMar>
            <w:vAlign w:val="center"/>
          </w:tcPr>
          <w:p w14:paraId="799BE93D">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湖畔人家花园小区范围内</w:t>
            </w:r>
          </w:p>
        </w:tc>
        <w:tc>
          <w:tcPr>
            <w:tcW w:w="901" w:type="pct"/>
            <w:tcMar>
              <w:top w:w="0" w:type="dxa"/>
              <w:left w:w="57" w:type="dxa"/>
              <w:bottom w:w="0" w:type="dxa"/>
              <w:right w:w="57" w:type="dxa"/>
            </w:tcMar>
            <w:vAlign w:val="center"/>
          </w:tcPr>
          <w:p w14:paraId="1E0038AD">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0.35</w:t>
            </w:r>
          </w:p>
        </w:tc>
      </w:tr>
      <w:tr w14:paraId="5E07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742" w:type="pct"/>
            <w:tcMar>
              <w:top w:w="0" w:type="dxa"/>
              <w:left w:w="57" w:type="dxa"/>
              <w:bottom w:w="0" w:type="dxa"/>
              <w:right w:w="57" w:type="dxa"/>
            </w:tcMar>
            <w:vAlign w:val="center"/>
          </w:tcPr>
          <w:p w14:paraId="551453D9">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31</w:t>
            </w:r>
          </w:p>
        </w:tc>
        <w:tc>
          <w:tcPr>
            <w:tcW w:w="3356" w:type="pct"/>
            <w:tcMar>
              <w:top w:w="0" w:type="dxa"/>
              <w:left w:w="57" w:type="dxa"/>
              <w:bottom w:w="0" w:type="dxa"/>
              <w:right w:w="57" w:type="dxa"/>
            </w:tcMar>
            <w:vAlign w:val="center"/>
          </w:tcPr>
          <w:p w14:paraId="361257D8">
            <w:pPr>
              <w:keepNext w:val="0"/>
              <w:keepLines w:val="0"/>
              <w:widowControl/>
              <w:suppressLineNumbers w:val="0"/>
              <w:jc w:val="both"/>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颐和山水人家、海韵社区、览山亲水居小区范围内</w:t>
            </w:r>
          </w:p>
        </w:tc>
        <w:tc>
          <w:tcPr>
            <w:tcW w:w="901" w:type="pct"/>
            <w:tcMar>
              <w:top w:w="0" w:type="dxa"/>
              <w:left w:w="57" w:type="dxa"/>
              <w:bottom w:w="0" w:type="dxa"/>
              <w:right w:w="57" w:type="dxa"/>
            </w:tcMar>
            <w:vAlign w:val="center"/>
          </w:tcPr>
          <w:p w14:paraId="5DC98E02">
            <w:pPr>
              <w:keepNext w:val="0"/>
              <w:keepLines w:val="0"/>
              <w:widowControl/>
              <w:suppressLineNumbers w:val="0"/>
              <w:jc w:val="center"/>
              <w:textAlignment w:val="center"/>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snapToGrid w:val="0"/>
                <w:color w:val="000000"/>
                <w:kern w:val="0"/>
                <w:sz w:val="32"/>
                <w:szCs w:val="32"/>
                <w:u w:val="none"/>
                <w:lang w:val="en-US" w:eastAsia="zh-CN" w:bidi="ar"/>
              </w:rPr>
              <w:t>0.15</w:t>
            </w:r>
          </w:p>
        </w:tc>
      </w:tr>
    </w:tbl>
    <w:p w14:paraId="4B1A8E62">
      <w:pPr>
        <w:rPr>
          <w:rFonts w:hint="default" w:ascii="Times New Roman" w:hAnsi="Times New Roman" w:cs="Times New Roman"/>
          <w:sz w:val="32"/>
          <w:szCs w:val="32"/>
        </w:rPr>
      </w:pPr>
    </w:p>
    <w:p w14:paraId="6FBE8319">
      <w:pPr>
        <w:rPr>
          <w:rFonts w:hint="default" w:ascii="Times New Roman" w:hAnsi="Times New Roman" w:cs="Times New Roman"/>
          <w:sz w:val="21"/>
        </w:rPr>
      </w:pPr>
    </w:p>
    <w:p w14:paraId="2B08FAF8">
      <w:pPr>
        <w:rPr>
          <w:rFonts w:hint="default" w:ascii="Times New Roman" w:hAnsi="Times New Roman" w:cs="Times New Roman"/>
          <w:sz w:val="21"/>
        </w:rPr>
      </w:pPr>
    </w:p>
    <w:p w14:paraId="4A6116E1">
      <w:pPr>
        <w:rPr>
          <w:rFonts w:hint="default" w:ascii="Times New Roman" w:hAnsi="Times New Roman" w:cs="Times New Roman"/>
          <w:sz w:val="21"/>
        </w:rPr>
      </w:pPr>
    </w:p>
    <w:p w14:paraId="0FE4C792">
      <w:pPr>
        <w:rPr>
          <w:rFonts w:hint="default" w:ascii="Times New Roman" w:hAnsi="Times New Roman" w:cs="Times New Roman"/>
          <w:sz w:val="21"/>
        </w:rPr>
      </w:pPr>
    </w:p>
    <w:p w14:paraId="5AF66820">
      <w:pPr>
        <w:spacing w:before="101" w:line="230" w:lineRule="auto"/>
        <w:rPr>
          <w:rFonts w:hint="default" w:ascii="Times New Roman" w:hAnsi="Times New Roman" w:eastAsia="仿宋_GB2312" w:cs="Times New Roman"/>
          <w:sz w:val="32"/>
          <w:szCs w:val="32"/>
          <w:lang w:val="en-US" w:eastAsia="zh-CN"/>
        </w:rPr>
      </w:pPr>
      <w:r>
        <w:rPr>
          <w:rFonts w:hint="eastAsia" w:ascii="黑体" w:hAnsi="黑体" w:eastAsia="黑体" w:cs="黑体"/>
          <w:spacing w:val="-12"/>
          <w:sz w:val="32"/>
          <w:szCs w:val="32"/>
        </w:rPr>
        <w:t>附件</w:t>
      </w:r>
      <w:r>
        <w:rPr>
          <w:rFonts w:hint="default" w:ascii="Times New Roman" w:hAnsi="Times New Roman" w:eastAsia="仿宋_GB2312" w:cs="Times New Roman"/>
          <w:spacing w:val="-12"/>
          <w:sz w:val="32"/>
          <w:szCs w:val="32"/>
          <w:lang w:val="en-US" w:eastAsia="zh-CN"/>
        </w:rPr>
        <w:t>2</w:t>
      </w:r>
    </w:p>
    <w:p w14:paraId="75903F76">
      <w:pPr>
        <w:jc w:val="center"/>
        <w:rPr>
          <w:rFonts w:hint="default" w:ascii="Times New Roman" w:hAnsi="Times New Roman" w:eastAsia="方正小标宋简体" w:cs="Times New Roman"/>
          <w:sz w:val="44"/>
          <w:szCs w:val="44"/>
        </w:rPr>
      </w:pPr>
    </w:p>
    <w:p w14:paraId="52468FEA">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乳山市噪声敏感建筑物集中区域划定</w:t>
      </w:r>
    </w:p>
    <w:p w14:paraId="0F8290B1">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示意图</w:t>
      </w:r>
    </w:p>
    <w:p w14:paraId="403720C0">
      <w:pPr>
        <w:rPr>
          <w:rFonts w:hint="default" w:ascii="Times New Roman" w:hAnsi="Times New Roman" w:eastAsia="仿宋_GB2312" w:cs="Times New Roman"/>
          <w:b/>
          <w:bCs/>
          <w:sz w:val="32"/>
          <w:szCs w:val="32"/>
        </w:rPr>
      </w:pPr>
    </w:p>
    <w:p w14:paraId="543CEE28">
      <w:pPr>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乳山市区</w:t>
      </w:r>
      <w:r>
        <w:rPr>
          <w:rFonts w:hint="default" w:ascii="Times New Roman" w:hAnsi="Times New Roman" w:eastAsia="仿宋_GB2312" w:cs="Times New Roman"/>
          <w:sz w:val="32"/>
          <w:szCs w:val="32"/>
          <w:lang w:eastAsia="zh-CN"/>
        </w:rPr>
        <w:t>：</w:t>
      </w:r>
    </w:p>
    <w:p w14:paraId="342A59A8">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drawing>
          <wp:inline distT="0" distB="0" distL="114300" distR="114300">
            <wp:extent cx="5330190" cy="5558155"/>
            <wp:effectExtent l="0" t="0" r="3810" b="4445"/>
            <wp:docPr id="3" name="图片 3" descr="_cgi-bin_mmwebwx-bin_webwxgetmsgimg__&amp;MsgID=4926674055841930595&amp;skey=@crypt_6616f429_e263fe9f71fa7cb5591e8cf18bc9f1bb&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_cgi-bin_mmwebwx-bin_webwxgetmsgimg__&amp;MsgID=4926674055841930595&amp;skey=@crypt_6616f429_e263fe9f71fa7cb5591e8cf18bc9f1bb&amp;mmweb_appid=wx_webfilehelper"/>
                    <pic:cNvPicPr>
                      <a:picLocks noChangeAspect="1"/>
                    </pic:cNvPicPr>
                  </pic:nvPicPr>
                  <pic:blipFill>
                    <a:blip r:embed="rId9"/>
                    <a:stretch>
                      <a:fillRect/>
                    </a:stretch>
                  </pic:blipFill>
                  <pic:spPr>
                    <a:xfrm>
                      <a:off x="0" y="0"/>
                      <a:ext cx="5330190" cy="5558155"/>
                    </a:xfrm>
                    <a:prstGeom prst="rect">
                      <a:avLst/>
                    </a:prstGeom>
                  </pic:spPr>
                </pic:pic>
              </a:graphicData>
            </a:graphic>
          </wp:inline>
        </w:drawing>
      </w:r>
    </w:p>
    <w:p w14:paraId="128ED2AE">
      <w:pPr>
        <w:jc w:val="center"/>
        <w:rPr>
          <w:rFonts w:hint="default" w:ascii="Times New Roman" w:hAnsi="Times New Roman" w:eastAsia="方正小标宋简体" w:cs="Times New Roman"/>
          <w:sz w:val="44"/>
          <w:szCs w:val="44"/>
          <w:lang w:eastAsia="zh-CN"/>
        </w:rPr>
      </w:pPr>
    </w:p>
    <w:p w14:paraId="53D9D81E">
      <w:pPr>
        <w:pStyle w:val="5"/>
        <w:rPr>
          <w:rFonts w:hint="default"/>
          <w:lang w:eastAsia="zh-CN"/>
        </w:rPr>
      </w:pPr>
    </w:p>
    <w:p w14:paraId="216D2FD4">
      <w:pP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滨海新区</w:t>
      </w:r>
      <w:r>
        <w:rPr>
          <w:rFonts w:hint="default" w:ascii="Times New Roman" w:hAnsi="Times New Roman" w:eastAsia="仿宋_GB2312" w:cs="Times New Roman"/>
          <w:sz w:val="32"/>
          <w:szCs w:val="32"/>
          <w:lang w:eastAsia="zh-CN"/>
        </w:rPr>
        <w:t>：</w:t>
      </w:r>
    </w:p>
    <w:p w14:paraId="72795E35">
      <w:pPr>
        <w:pStyle w:val="5"/>
        <w:ind w:left="0" w:leftChars="0" w:firstLine="0" w:firstLineChars="0"/>
        <w:jc w:val="center"/>
        <w:rPr>
          <w:rFonts w:hint="default" w:ascii="Times New Roman" w:hAnsi="Times New Roman"/>
          <w:lang w:eastAsia="zh-CN"/>
        </w:rPr>
      </w:pPr>
      <w:r>
        <w:rPr>
          <w:rFonts w:hint="default" w:ascii="Times New Roman" w:hAnsi="Times New Roman"/>
          <w:lang w:eastAsia="zh-CN"/>
        </w:rPr>
        <w:drawing>
          <wp:inline distT="0" distB="0" distL="114300" distR="114300">
            <wp:extent cx="5227320" cy="6243320"/>
            <wp:effectExtent l="0" t="0" r="11430" b="5080"/>
            <wp:docPr id="7" name="图片 7" descr="_cgi-bin_mmwebwx-bin_webwxgetmsgimg__&amp;MsgID=5922506617131773788&amp;skey=@crypt_6616f429_e263fe9f71fa7cb5591e8cf18bc9f1bb&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_cgi-bin_mmwebwx-bin_webwxgetmsgimg__&amp;MsgID=5922506617131773788&amp;skey=@crypt_6616f429_e263fe9f71fa7cb5591e8cf18bc9f1bb&amp;mmweb_appid=wx_webfilehelper"/>
                    <pic:cNvPicPr>
                      <a:picLocks noChangeAspect="1"/>
                    </pic:cNvPicPr>
                  </pic:nvPicPr>
                  <pic:blipFill>
                    <a:blip r:embed="rId10"/>
                    <a:stretch>
                      <a:fillRect/>
                    </a:stretch>
                  </pic:blipFill>
                  <pic:spPr>
                    <a:xfrm>
                      <a:off x="0" y="0"/>
                      <a:ext cx="5227320" cy="6243320"/>
                    </a:xfrm>
                    <a:prstGeom prst="rect">
                      <a:avLst/>
                    </a:prstGeom>
                  </pic:spPr>
                </pic:pic>
              </a:graphicData>
            </a:graphic>
          </wp:inline>
        </w:drawing>
      </w:r>
    </w:p>
    <w:p w14:paraId="130C2D48">
      <w:pPr>
        <w:keepNext w:val="0"/>
        <w:keepLines w:val="0"/>
        <w:pageBreakBefore w:val="0"/>
        <w:widowControl w:val="0"/>
        <w:kinsoku/>
        <w:wordWrap/>
        <w:overflowPunct/>
        <w:topLinePunct w:val="0"/>
        <w:autoSpaceDE/>
        <w:autoSpaceDN/>
        <w:bidi w:val="0"/>
        <w:adjustRightInd w:val="0"/>
        <w:snapToGrid w:val="0"/>
        <w:spacing w:line="580" w:lineRule="exact"/>
        <w:ind w:left="0" w:leftChars="0" w:right="24" w:rightChars="0" w:firstLine="0" w:firstLineChars="0"/>
        <w:jc w:val="center"/>
        <w:textAlignment w:val="auto"/>
        <w:rPr>
          <w:rFonts w:hint="eastAsia" w:ascii="仿宋_GB2312" w:hAnsi="仿宋_GB2312" w:eastAsia="仿宋_GB2312" w:cs="仿宋_GB2312"/>
          <w:snapToGrid/>
          <w:color w:val="auto"/>
          <w:kern w:val="2"/>
          <w:sz w:val="28"/>
          <w:szCs w:val="28"/>
          <w:lang w:val="en-US" w:eastAsia="zh-CN" w:bidi="ar-SA"/>
        </w:rPr>
      </w:pPr>
    </w:p>
    <w:p w14:paraId="348F4318"/>
    <w:sectPr>
      <w:headerReference r:id="rId6" w:type="default"/>
      <w:footerReference r:id="rId7" w:type="default"/>
      <w:pgSz w:w="11906" w:h="16839"/>
      <w:pgMar w:top="2098" w:right="1531" w:bottom="1984" w:left="1531" w:header="0" w:footer="1531"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F1F5E">
    <w:pPr>
      <w:spacing w:before="1" w:line="187" w:lineRule="auto"/>
      <w:ind w:left="206"/>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2EB63">
                          <w:pPr>
                            <w:pStyle w:val="4"/>
                            <w:keepNext w:val="0"/>
                            <w:keepLines w:val="0"/>
                            <w:pageBreakBefore w:val="0"/>
                            <w:widowControl/>
                            <w:kinsoku w:val="0"/>
                            <w:wordWrap/>
                            <w:overflowPunct/>
                            <w:topLinePunct w:val="0"/>
                            <w:autoSpaceDE w:val="0"/>
                            <w:autoSpaceDN w:val="0"/>
                            <w:bidi w:val="0"/>
                            <w:adjustRightInd w:val="0"/>
                            <w:snapToGrid w:val="0"/>
                            <w:ind w:left="315" w:leftChars="150" w:right="315" w:rightChars="150"/>
                            <w:textAlignment w:val="baseline"/>
                            <w:rPr>
                              <w:rFonts w:hint="eastAsia" w:eastAsia="宋体"/>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A2EB63">
                    <w:pPr>
                      <w:pStyle w:val="4"/>
                      <w:keepNext w:val="0"/>
                      <w:keepLines w:val="0"/>
                      <w:pageBreakBefore w:val="0"/>
                      <w:widowControl/>
                      <w:kinsoku w:val="0"/>
                      <w:wordWrap/>
                      <w:overflowPunct/>
                      <w:topLinePunct w:val="0"/>
                      <w:autoSpaceDE w:val="0"/>
                      <w:autoSpaceDN w:val="0"/>
                      <w:bidi w:val="0"/>
                      <w:adjustRightInd w:val="0"/>
                      <w:snapToGrid w:val="0"/>
                      <w:ind w:left="315" w:leftChars="150" w:right="315" w:rightChars="150"/>
                      <w:textAlignment w:val="baseline"/>
                      <w:rPr>
                        <w:rFonts w:hint="eastAsia" w:eastAsia="宋体"/>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64382">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D7A37">
                          <w:pPr>
                            <w:pStyle w:val="4"/>
                            <w:keepNext w:val="0"/>
                            <w:keepLines w:val="0"/>
                            <w:pageBreakBefore w:val="0"/>
                            <w:widowControl/>
                            <w:kinsoku w:val="0"/>
                            <w:wordWrap/>
                            <w:overflowPunct/>
                            <w:topLinePunct w:val="0"/>
                            <w:autoSpaceDE w:val="0"/>
                            <w:autoSpaceDN w:val="0"/>
                            <w:bidi w:val="0"/>
                            <w:adjustRightInd w:val="0"/>
                            <w:snapToGrid w:val="0"/>
                            <w:ind w:left="315" w:leftChars="150" w:right="315" w:rightChars="150"/>
                            <w:textAlignment w:val="baseline"/>
                            <w:rPr>
                              <w:rFonts w:hint="eastAsia" w:eastAsia="宋体"/>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AED7A37">
                    <w:pPr>
                      <w:pStyle w:val="4"/>
                      <w:keepNext w:val="0"/>
                      <w:keepLines w:val="0"/>
                      <w:pageBreakBefore w:val="0"/>
                      <w:widowControl/>
                      <w:kinsoku w:val="0"/>
                      <w:wordWrap/>
                      <w:overflowPunct/>
                      <w:topLinePunct w:val="0"/>
                      <w:autoSpaceDE w:val="0"/>
                      <w:autoSpaceDN w:val="0"/>
                      <w:bidi w:val="0"/>
                      <w:adjustRightInd w:val="0"/>
                      <w:snapToGrid w:val="0"/>
                      <w:ind w:left="315" w:leftChars="150" w:right="315" w:rightChars="150"/>
                      <w:textAlignment w:val="baseline"/>
                      <w:rPr>
                        <w:rFonts w:hint="eastAsia" w:eastAsia="宋体"/>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BA2ED">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044521"/>
    <w:rsid w:val="36044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rPr>
      <w:rFonts w:ascii="等线" w:hAnsi="等线" w:eastAsia="等线"/>
    </w:rPr>
  </w:style>
  <w:style w:type="paragraph" w:styleId="3">
    <w:name w:val="Body Text Indent"/>
    <w:basedOn w:val="1"/>
    <w:next w:val="2"/>
    <w:qFormat/>
    <w:uiPriority w:val="0"/>
    <w:pPr>
      <w:spacing w:after="120"/>
      <w:ind w:left="420" w:leftChars="200"/>
    </w:pPr>
    <w:rPr>
      <w:rFonts w:hint="eastAsia"/>
    </w:r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2"/>
    <w:basedOn w:val="3"/>
    <w:next w:val="1"/>
    <w:qFormat/>
    <w:uiPriority w:val="0"/>
    <w:pPr>
      <w:ind w:firstLine="420" w:firstLineChars="200"/>
    </w:pPr>
  </w:style>
  <w:style w:type="table" w:styleId="7">
    <w:name w:val="Table Grid"/>
    <w:basedOn w:val="6"/>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2026-09-02T08:36:00Z</dcterms:created>
  <dc:creator>Administrator</dc:creator>
  <cp:lastModifiedBy>Administrator</cp:lastModifiedBy>
  <dcterms:modified xsi:type="dcterms:W3CDTF">2026-09-02T08:37:43Z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541A0C828207413094B5B50246025FEF_11</vt:lpwstr>
  </property>
  <property fmtid="{D5CDD505-2E9C-101B-9397-08002B2CF9AE}" pid="4" name="KSOTemplateDocerSaveRecord">
    <vt:lpwstr>eyJoZGlkIjoiMGFiZDRkYjYxYWVhMWE0MThhYzJlYzhiOGJhMzViZTAiLCJ1c2VySWQiOiIzNDQzOTMzNDMifQ==</vt:lpwstr>
  </property>
</Properties>
</file>