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8490A">
      <w:pPr>
        <w:pStyle w:val="9"/>
        <w:keepNext w:val="0"/>
        <w:keepLines w:val="0"/>
        <w:pageBreakBefore w:val="0"/>
        <w:widowControl w:val="0"/>
        <w:kinsoku/>
        <w:wordWrap/>
        <w:overflowPunct/>
        <w:topLinePunct w:val="0"/>
        <w:autoSpaceDE/>
        <w:autoSpaceDN/>
        <w:bidi w:val="0"/>
        <w:adjustRightInd/>
        <w:snapToGrid/>
        <w:spacing w:after="0" w:line="570" w:lineRule="exact"/>
        <w:ind w:left="0" w:leftChars="0" w:firstLine="0" w:firstLineChars="0"/>
        <w:jc w:val="center"/>
        <w:textAlignment w:val="auto"/>
        <w:rPr>
          <w:rFonts w:hint="default" w:ascii="Times New Roman" w:hAnsi="Times New Roman" w:eastAsia="方正小标宋简体" w:cs="Times New Roman"/>
          <w:color w:val="000000"/>
          <w:sz w:val="44"/>
          <w:szCs w:val="44"/>
          <w:lang w:eastAsia="zh-CN"/>
        </w:rPr>
      </w:pPr>
      <w:r>
        <w:rPr>
          <w:rFonts w:hint="default" w:ascii="Times New Roman" w:hAnsi="Times New Roman" w:eastAsia="方正小标宋简体" w:cs="Times New Roman"/>
          <w:color w:val="000000"/>
          <w:sz w:val="44"/>
          <w:lang w:eastAsia="zh-CN"/>
        </w:rPr>
        <w:t>乳山</w:t>
      </w:r>
      <w:r>
        <w:rPr>
          <w:rFonts w:hint="default" w:ascii="Times New Roman" w:hAnsi="Times New Roman" w:eastAsia="方正小标宋简体" w:cs="Times New Roman"/>
          <w:color w:val="000000"/>
          <w:sz w:val="44"/>
          <w:szCs w:val="44"/>
          <w:lang w:eastAsia="zh-CN"/>
        </w:rPr>
        <w:t>市人民政府</w:t>
      </w:r>
    </w:p>
    <w:p w14:paraId="175DBD20">
      <w:pPr>
        <w:keepNext w:val="0"/>
        <w:keepLines w:val="0"/>
        <w:pageBreakBefore w:val="0"/>
        <w:widowControl w:val="0"/>
        <w:suppressLineNumbers w:val="0"/>
        <w:kinsoku/>
        <w:wordWrap/>
        <w:overflowPunct/>
        <w:topLinePunct w:val="0"/>
        <w:autoSpaceDE/>
        <w:autoSpaceDN/>
        <w:bidi w:val="0"/>
        <w:adjustRightInd/>
        <w:snapToGrid/>
        <w:spacing w:line="570" w:lineRule="exact"/>
        <w:jc w:val="center"/>
        <w:textAlignment w:val="auto"/>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关于调整乳山土地级别及基准地价的通知</w:t>
      </w:r>
    </w:p>
    <w:p w14:paraId="225F9806">
      <w:pPr>
        <w:pStyle w:val="3"/>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color w:val="000000"/>
          <w:kern w:val="2"/>
          <w:sz w:val="32"/>
          <w:szCs w:val="24"/>
          <w:lang w:val="en-US" w:eastAsia="zh-CN" w:bidi="ar"/>
        </w:rPr>
      </w:pPr>
      <w:bookmarkStart w:id="0" w:name="_GoBack"/>
      <w:r>
        <w:rPr>
          <w:rFonts w:hint="default" w:ascii="Times New Roman" w:hAnsi="Times New Roman" w:eastAsia="仿宋_GB2312" w:cs="Times New Roman"/>
          <w:color w:val="000000"/>
          <w:kern w:val="2"/>
          <w:sz w:val="32"/>
          <w:szCs w:val="24"/>
          <w:lang w:val="en-US" w:eastAsia="zh-CN" w:bidi="ar"/>
        </w:rPr>
        <w:t>乳政发〔2025〕1号</w:t>
      </w:r>
    </w:p>
    <w:bookmarkEnd w:id="0"/>
    <w:p w14:paraId="7057EB20">
      <w:pPr>
        <w:pStyle w:val="3"/>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Times New Roman" w:hAnsi="Times New Roman" w:eastAsia="仿宋_GB2312" w:cs="Times New Roman"/>
          <w:color w:val="000000"/>
          <w:kern w:val="2"/>
          <w:sz w:val="32"/>
          <w:szCs w:val="24"/>
          <w:lang w:val="en-US" w:eastAsia="zh-CN" w:bidi="ar"/>
        </w:rPr>
      </w:pPr>
    </w:p>
    <w:p w14:paraId="51DCCB7B">
      <w:pPr>
        <w:keepNext w:val="0"/>
        <w:keepLines w:val="0"/>
        <w:pageBreakBefore w:val="0"/>
        <w:widowControl w:val="0"/>
        <w:suppressLineNumbers w:val="0"/>
        <w:kinsoku/>
        <w:wordWrap/>
        <w:overflowPunct/>
        <w:topLinePunct w:val="0"/>
        <w:autoSpaceDE/>
        <w:autoSpaceDN/>
        <w:bidi w:val="0"/>
        <w:adjustRightInd/>
        <w:snapToGrid/>
        <w:spacing w:line="570" w:lineRule="exact"/>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lang w:val="en-US" w:eastAsia="zh-CN" w:bidi="ar"/>
        </w:rPr>
        <w:t>各镇人民政府，市政府各部门、单位，滨海新区（银滩旅游度假区）、经济开发区、城区街道办事处，各市属国有企业：</w:t>
      </w:r>
    </w:p>
    <w:p w14:paraId="68BACE13">
      <w:pPr>
        <w:keepNext w:val="0"/>
        <w:keepLines w:val="0"/>
        <w:pageBreakBefore w:val="0"/>
        <w:widowControl w:val="0"/>
        <w:suppressLineNumbers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kern w:val="0"/>
          <w:sz w:val="32"/>
          <w:szCs w:val="32"/>
          <w:lang w:val="en-US" w:eastAsia="zh-CN" w:bidi="ar"/>
        </w:rPr>
        <w:t>为进一步加强对我市土地价格的宏观调控和管理，促进土地市场健康有序发展，根据上级有关规定，结合我市实际，市政府决定对我市土地级别及基准地价进行调整。调整范围包括乳山市辖区内所有土地，基准地价更新基准日为2023年1月1日。土地使用年期设定为国家法定最高出让年期，即商服用地40年、居住用地70年、工矿用地50年、公共管理与公共服务用地50年。本次调</w:t>
      </w:r>
      <w:r>
        <w:rPr>
          <w:rFonts w:hint="default" w:ascii="Times New Roman" w:hAnsi="Times New Roman" w:eastAsia="仿宋_GB2312" w:cs="Times New Roman"/>
          <w:color w:val="000000"/>
          <w:kern w:val="0"/>
          <w:sz w:val="32"/>
          <w:szCs w:val="32"/>
          <w:highlight w:val="none"/>
          <w:lang w:val="en-US" w:eastAsia="zh-CN" w:bidi="ar"/>
        </w:rPr>
        <w:t>整的基准地价是不同级别的商服、居住、工矿、公共管理与公共服务四类用地价格，其他用地价格可参照相关或相近用途类别确定。</w:t>
      </w:r>
    </w:p>
    <w:p w14:paraId="4CEAAED3">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000000"/>
          <w:kern w:val="0"/>
          <w:sz w:val="32"/>
          <w:szCs w:val="32"/>
          <w:highlight w:val="none"/>
          <w:lang w:val="en-US" w:eastAsia="zh-CN" w:bidi="ar"/>
        </w:rPr>
      </w:pPr>
      <w:r>
        <w:rPr>
          <w:rFonts w:hint="default" w:ascii="Times New Roman" w:hAnsi="Times New Roman" w:eastAsia="仿宋_GB2312" w:cs="Times New Roman"/>
          <w:color w:val="000000"/>
          <w:kern w:val="0"/>
          <w:sz w:val="32"/>
          <w:szCs w:val="32"/>
          <w:highlight w:val="none"/>
          <w:lang w:val="en-US" w:eastAsia="zh-CN" w:bidi="ar"/>
        </w:rPr>
        <w:t>本通知自2025年1月1日起执行，原《乳山市人民政府关于调整乳山土地级别及基准地价的通知》（乳政发〔2021〕1号）规定的土地级别及基准地价标准同时废止。</w:t>
      </w:r>
    </w:p>
    <w:p w14:paraId="1E51BD6A">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both"/>
        <w:textAlignment w:val="auto"/>
        <w:rPr>
          <w:rFonts w:hint="default" w:ascii="Times New Roman" w:hAnsi="Times New Roman" w:eastAsia="仿宋_GB2312" w:cs="Times New Roman"/>
          <w:color w:val="000000"/>
          <w:kern w:val="0"/>
          <w:sz w:val="32"/>
          <w:szCs w:val="32"/>
          <w:highlight w:val="none"/>
          <w:lang w:val="en-US" w:eastAsia="zh-CN" w:bidi="ar"/>
        </w:rPr>
      </w:pPr>
    </w:p>
    <w:p w14:paraId="7CD976AC">
      <w:pPr>
        <w:keepNext w:val="0"/>
        <w:keepLines w:val="0"/>
        <w:pageBreakBefore w:val="0"/>
        <w:widowControl/>
        <w:suppressLineNumbers w:val="0"/>
        <w:kinsoku/>
        <w:wordWrap/>
        <w:overflowPunct/>
        <w:topLinePunct w:val="0"/>
        <w:autoSpaceDE/>
        <w:autoSpaceDN/>
        <w:bidi w:val="0"/>
        <w:adjustRightInd/>
        <w:snapToGrid/>
        <w:spacing w:line="570" w:lineRule="exact"/>
        <w:ind w:firstLine="640" w:firstLineChars="200"/>
        <w:jc w:val="left"/>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kern w:val="0"/>
          <w:sz w:val="32"/>
          <w:szCs w:val="32"/>
          <w:highlight w:val="none"/>
          <w:lang w:val="en-US" w:eastAsia="zh-CN" w:bidi="ar"/>
        </w:rPr>
        <w:t>附件：1.乳山市基准地价表</w:t>
      </w:r>
    </w:p>
    <w:p w14:paraId="287C68C8">
      <w:pPr>
        <w:keepNext w:val="0"/>
        <w:keepLines w:val="0"/>
        <w:pageBreakBefore w:val="0"/>
        <w:widowControl/>
        <w:suppressLineNumbers w:val="0"/>
        <w:kinsoku/>
        <w:wordWrap/>
        <w:overflowPunct/>
        <w:topLinePunct w:val="0"/>
        <w:autoSpaceDE/>
        <w:autoSpaceDN/>
        <w:bidi w:val="0"/>
        <w:adjustRightInd/>
        <w:snapToGrid/>
        <w:spacing w:line="570" w:lineRule="exact"/>
        <w:ind w:firstLine="1600" w:firstLineChars="500"/>
        <w:jc w:val="left"/>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kern w:val="0"/>
          <w:sz w:val="32"/>
          <w:szCs w:val="32"/>
          <w:highlight w:val="none"/>
          <w:lang w:val="en-US" w:eastAsia="zh-CN" w:bidi="ar"/>
        </w:rPr>
        <w:t>2.乳山市土地级别范围表</w:t>
      </w:r>
    </w:p>
    <w:p w14:paraId="48CCDC77">
      <w:pPr>
        <w:keepNext w:val="0"/>
        <w:keepLines w:val="0"/>
        <w:pageBreakBefore w:val="0"/>
        <w:widowControl/>
        <w:suppressLineNumbers w:val="0"/>
        <w:kinsoku/>
        <w:wordWrap/>
        <w:overflowPunct/>
        <w:topLinePunct w:val="0"/>
        <w:autoSpaceDE/>
        <w:autoSpaceDN/>
        <w:bidi w:val="0"/>
        <w:adjustRightInd/>
        <w:snapToGrid/>
        <w:spacing w:line="570" w:lineRule="exact"/>
        <w:ind w:firstLine="1600" w:firstLineChars="500"/>
        <w:jc w:val="left"/>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color w:val="000000"/>
          <w:kern w:val="0"/>
          <w:sz w:val="32"/>
          <w:szCs w:val="32"/>
          <w:highlight w:val="none"/>
          <w:lang w:val="en-US" w:eastAsia="zh-CN" w:bidi="ar"/>
        </w:rPr>
        <w:t>3.乳山市基准地价用途修正系数表</w:t>
      </w:r>
    </w:p>
    <w:p w14:paraId="2A52112A">
      <w:pPr>
        <w:pStyle w:val="3"/>
        <w:keepNext w:val="0"/>
        <w:keepLines w:val="0"/>
        <w:pageBreakBefore w:val="0"/>
        <w:kinsoku/>
        <w:wordWrap/>
        <w:overflowPunct/>
        <w:topLinePunct w:val="0"/>
        <w:autoSpaceDE/>
        <w:autoSpaceDN/>
        <w:bidi w:val="0"/>
        <w:adjustRightInd/>
        <w:snapToGrid/>
        <w:spacing w:after="0" w:line="570" w:lineRule="exact"/>
        <w:textAlignment w:val="auto"/>
        <w:rPr>
          <w:rFonts w:hint="default" w:ascii="Times New Roman" w:hAnsi="Times New Roman" w:cs="Times New Roman"/>
          <w:lang w:val="en-US" w:eastAsia="zh-CN"/>
        </w:rPr>
      </w:pPr>
    </w:p>
    <w:p w14:paraId="3083E706">
      <w:pPr>
        <w:keepNext w:val="0"/>
        <w:keepLines w:val="0"/>
        <w:pageBreakBefore w:val="0"/>
        <w:kinsoku/>
        <w:wordWrap/>
        <w:overflowPunct/>
        <w:topLinePunct w:val="0"/>
        <w:autoSpaceDE/>
        <w:autoSpaceDN/>
        <w:bidi w:val="0"/>
        <w:adjustRightInd/>
        <w:snapToGrid/>
        <w:spacing w:line="570" w:lineRule="exact"/>
        <w:textAlignment w:val="auto"/>
        <w:rPr>
          <w:rFonts w:hint="default" w:ascii="Times New Roman" w:hAnsi="Times New Roman" w:cs="Times New Roman"/>
          <w:lang w:val="en-US" w:eastAsia="zh-CN"/>
        </w:rPr>
      </w:pPr>
    </w:p>
    <w:p w14:paraId="42F74976">
      <w:pPr>
        <w:keepNext w:val="0"/>
        <w:keepLines w:val="0"/>
        <w:pageBreakBefore w:val="0"/>
        <w:widowControl w:val="0"/>
        <w:kinsoku/>
        <w:wordWrap w:val="0"/>
        <w:overflowPunct/>
        <w:topLinePunct w:val="0"/>
        <w:autoSpaceDE/>
        <w:autoSpaceDN/>
        <w:bidi w:val="0"/>
        <w:adjustRightInd w:val="0"/>
        <w:snapToGrid w:val="0"/>
        <w:spacing w:line="560" w:lineRule="exac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乳山市人民政府</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w w:val="90"/>
          <w:sz w:val="32"/>
          <w:szCs w:val="32"/>
          <w:lang w:val="en-US" w:eastAsia="zh-CN"/>
        </w:rPr>
        <w:t xml:space="preserve">      </w:t>
      </w:r>
    </w:p>
    <w:p w14:paraId="121B5DE3">
      <w:pPr>
        <w:keepNext w:val="0"/>
        <w:keepLines w:val="0"/>
        <w:pageBreakBefore w:val="0"/>
        <w:widowControl w:val="0"/>
        <w:kinsoku/>
        <w:wordWrap w:val="0"/>
        <w:overflowPunct/>
        <w:topLinePunct w:val="0"/>
        <w:autoSpaceDE/>
        <w:autoSpaceDN/>
        <w:bidi w:val="0"/>
        <w:adjustRightInd w:val="0"/>
        <w:snapToGrid w:val="0"/>
        <w:spacing w:line="560" w:lineRule="atLeast"/>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val="en-US" w:eastAsia="zh-CN"/>
        </w:rPr>
        <w:t>月</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日</w:t>
      </w:r>
      <w:r>
        <w:rPr>
          <w:rFonts w:hint="eastAsia" w:ascii="Times New Roman" w:hAnsi="Times New Roman" w:eastAsia="仿宋_GB2312" w:cs="Times New Roman"/>
          <w:sz w:val="32"/>
          <w:szCs w:val="32"/>
          <w:lang w:val="en-US" w:eastAsia="zh-CN"/>
        </w:rPr>
        <w:t xml:space="preserve">        </w:t>
      </w:r>
    </w:p>
    <w:p w14:paraId="7361D6FF">
      <w:pPr>
        <w:pStyle w:val="6"/>
        <w:spacing w:line="360" w:lineRule="auto"/>
        <w:rPr>
          <w:rFonts w:hint="default" w:ascii="Times New Roman" w:hAnsi="Times New Roman" w:eastAsia="黑体" w:cs="Times New Roman"/>
          <w:b w:val="0"/>
          <w:bCs/>
          <w:sz w:val="32"/>
          <w:szCs w:val="32"/>
          <w:lang w:val="en-US" w:eastAsia="zh-CN"/>
        </w:rPr>
      </w:pPr>
    </w:p>
    <w:p w14:paraId="66CA485E">
      <w:pPr>
        <w:pStyle w:val="6"/>
        <w:spacing w:line="360" w:lineRule="auto"/>
        <w:rPr>
          <w:rFonts w:hint="default" w:ascii="Times New Roman" w:hAnsi="Times New Roman" w:eastAsia="黑体" w:cs="Times New Roman"/>
          <w:b w:val="0"/>
          <w:bCs/>
          <w:sz w:val="32"/>
          <w:szCs w:val="32"/>
          <w:lang w:val="en-US" w:eastAsia="zh-CN"/>
        </w:rPr>
      </w:pPr>
    </w:p>
    <w:p w14:paraId="4F743A6D">
      <w:pPr>
        <w:pStyle w:val="6"/>
        <w:spacing w:line="360" w:lineRule="auto"/>
        <w:rPr>
          <w:rFonts w:hint="default" w:ascii="Times New Roman" w:hAnsi="Times New Roman" w:eastAsia="黑体" w:cs="Times New Roman"/>
          <w:b w:val="0"/>
          <w:bCs/>
          <w:sz w:val="32"/>
          <w:szCs w:val="32"/>
          <w:lang w:val="en-US" w:eastAsia="zh-CN"/>
        </w:rPr>
      </w:pPr>
    </w:p>
    <w:p w14:paraId="37A46F28">
      <w:pPr>
        <w:pStyle w:val="6"/>
        <w:spacing w:line="360" w:lineRule="auto"/>
        <w:rPr>
          <w:rFonts w:hint="default" w:ascii="Times New Roman" w:hAnsi="Times New Roman" w:eastAsia="黑体" w:cs="Times New Roman"/>
          <w:b w:val="0"/>
          <w:bCs/>
          <w:sz w:val="32"/>
          <w:szCs w:val="32"/>
          <w:lang w:val="en-US" w:eastAsia="zh-CN"/>
        </w:rPr>
      </w:pPr>
    </w:p>
    <w:p w14:paraId="26F21C92">
      <w:pPr>
        <w:pStyle w:val="6"/>
        <w:spacing w:line="360" w:lineRule="auto"/>
        <w:rPr>
          <w:rFonts w:hint="default" w:ascii="Times New Roman" w:hAnsi="Times New Roman" w:eastAsia="黑体" w:cs="Times New Roman"/>
          <w:b w:val="0"/>
          <w:bCs/>
          <w:sz w:val="32"/>
          <w:szCs w:val="32"/>
          <w:lang w:val="en-US" w:eastAsia="zh-CN"/>
        </w:rPr>
      </w:pPr>
    </w:p>
    <w:p w14:paraId="19A69F57">
      <w:pPr>
        <w:pStyle w:val="6"/>
        <w:spacing w:line="360" w:lineRule="auto"/>
        <w:rPr>
          <w:rFonts w:hint="default" w:ascii="Times New Roman" w:hAnsi="Times New Roman" w:eastAsia="黑体" w:cs="Times New Roman"/>
          <w:b w:val="0"/>
          <w:bCs/>
          <w:sz w:val="32"/>
          <w:szCs w:val="32"/>
          <w:lang w:val="en-US" w:eastAsia="zh-CN"/>
        </w:rPr>
      </w:pPr>
    </w:p>
    <w:p w14:paraId="4FE6F5CC">
      <w:pPr>
        <w:pStyle w:val="6"/>
        <w:spacing w:line="360" w:lineRule="auto"/>
        <w:rPr>
          <w:rFonts w:hint="default" w:ascii="Times New Roman" w:hAnsi="Times New Roman" w:eastAsia="黑体" w:cs="Times New Roman"/>
          <w:b w:val="0"/>
          <w:bCs/>
          <w:sz w:val="32"/>
          <w:szCs w:val="32"/>
          <w:lang w:val="en-US" w:eastAsia="zh-CN"/>
        </w:rPr>
      </w:pPr>
    </w:p>
    <w:p w14:paraId="1A7A9F16">
      <w:pPr>
        <w:pStyle w:val="6"/>
        <w:spacing w:line="360" w:lineRule="auto"/>
        <w:rPr>
          <w:rFonts w:hint="default" w:ascii="Times New Roman" w:hAnsi="Times New Roman" w:eastAsia="黑体" w:cs="Times New Roman"/>
          <w:b w:val="0"/>
          <w:bCs/>
          <w:sz w:val="32"/>
          <w:szCs w:val="32"/>
          <w:lang w:val="en-US" w:eastAsia="zh-CN"/>
        </w:rPr>
      </w:pPr>
    </w:p>
    <w:p w14:paraId="4E713774">
      <w:pPr>
        <w:pStyle w:val="6"/>
        <w:spacing w:line="360" w:lineRule="auto"/>
        <w:rPr>
          <w:rFonts w:hint="default" w:ascii="Times New Roman" w:hAnsi="Times New Roman" w:eastAsia="黑体" w:cs="Times New Roman"/>
          <w:b w:val="0"/>
          <w:bCs/>
          <w:sz w:val="32"/>
          <w:szCs w:val="32"/>
          <w:lang w:val="en-US" w:eastAsia="zh-CN"/>
        </w:rPr>
      </w:pPr>
    </w:p>
    <w:p w14:paraId="5510B770">
      <w:pPr>
        <w:pStyle w:val="6"/>
        <w:spacing w:line="360" w:lineRule="auto"/>
        <w:rPr>
          <w:rFonts w:hint="default" w:ascii="Times New Roman" w:hAnsi="Times New Roman" w:eastAsia="黑体" w:cs="Times New Roman"/>
          <w:b w:val="0"/>
          <w:bCs/>
          <w:sz w:val="32"/>
          <w:szCs w:val="32"/>
          <w:lang w:val="en-US" w:eastAsia="zh-CN"/>
        </w:rPr>
      </w:pPr>
    </w:p>
    <w:p w14:paraId="0EE1374D">
      <w:pPr>
        <w:pStyle w:val="6"/>
        <w:spacing w:line="360" w:lineRule="auto"/>
        <w:rPr>
          <w:rFonts w:hint="default" w:ascii="Times New Roman" w:hAnsi="Times New Roman" w:eastAsia="黑体" w:cs="Times New Roman"/>
          <w:b w:val="0"/>
          <w:bCs/>
          <w:sz w:val="32"/>
          <w:szCs w:val="32"/>
          <w:lang w:val="en-US" w:eastAsia="zh-CN"/>
        </w:rPr>
      </w:pPr>
    </w:p>
    <w:p w14:paraId="41DBE529">
      <w:pPr>
        <w:pStyle w:val="6"/>
        <w:spacing w:line="360" w:lineRule="auto"/>
        <w:rPr>
          <w:rFonts w:hint="default" w:ascii="Times New Roman" w:hAnsi="Times New Roman" w:eastAsia="黑体" w:cs="Times New Roman"/>
          <w:b w:val="0"/>
          <w:bCs/>
          <w:sz w:val="32"/>
          <w:szCs w:val="32"/>
          <w:lang w:val="en-US" w:eastAsia="zh-CN"/>
        </w:rPr>
      </w:pPr>
    </w:p>
    <w:p w14:paraId="74DFCE7F">
      <w:pPr>
        <w:pStyle w:val="6"/>
        <w:spacing w:line="360" w:lineRule="auto"/>
        <w:rPr>
          <w:rFonts w:hint="default" w:ascii="Times New Roman" w:hAnsi="Times New Roman" w:eastAsia="黑体" w:cs="Times New Roman"/>
          <w:b w:val="0"/>
          <w:bCs/>
          <w:sz w:val="32"/>
          <w:szCs w:val="32"/>
          <w:lang w:val="en-US" w:eastAsia="zh-CN"/>
        </w:rPr>
      </w:pPr>
    </w:p>
    <w:p w14:paraId="0A9F8449">
      <w:pPr>
        <w:pStyle w:val="6"/>
        <w:spacing w:line="360" w:lineRule="auto"/>
        <w:rPr>
          <w:rFonts w:hint="default" w:ascii="Times New Roman" w:hAnsi="Times New Roman" w:eastAsia="黑体" w:cs="Times New Roman"/>
          <w:b w:val="0"/>
          <w:bCs/>
          <w:sz w:val="32"/>
          <w:szCs w:val="32"/>
          <w:lang w:val="en-US" w:eastAsia="zh-CN"/>
        </w:rPr>
      </w:pPr>
    </w:p>
    <w:p w14:paraId="6F3E7ED6">
      <w:pPr>
        <w:pStyle w:val="6"/>
        <w:spacing w:line="360" w:lineRule="auto"/>
        <w:rPr>
          <w:rFonts w:hint="default" w:ascii="Times New Roman" w:hAnsi="Times New Roman" w:eastAsia="黑体" w:cs="Times New Roman"/>
          <w:b w:val="0"/>
          <w:bCs/>
          <w:sz w:val="32"/>
          <w:szCs w:val="32"/>
          <w:lang w:val="en-US" w:eastAsia="zh-CN"/>
        </w:rPr>
      </w:pPr>
    </w:p>
    <w:p w14:paraId="78DDFD24">
      <w:pPr>
        <w:pStyle w:val="6"/>
        <w:spacing w:line="360" w:lineRule="auto"/>
        <w:rPr>
          <w:rFonts w:hint="default" w:ascii="Times New Roman" w:hAnsi="Times New Roman" w:eastAsia="黑体" w:cs="Times New Roman"/>
          <w:b w:val="0"/>
          <w:bCs/>
          <w:sz w:val="32"/>
          <w:szCs w:val="32"/>
          <w:lang w:val="en-US" w:eastAsia="zh-CN"/>
        </w:rPr>
      </w:pPr>
    </w:p>
    <w:p w14:paraId="51419414">
      <w:pPr>
        <w:pStyle w:val="6"/>
        <w:spacing w:line="360" w:lineRule="auto"/>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lang w:val="en-US" w:eastAsia="zh-CN"/>
        </w:rPr>
        <w:t>附件1</w:t>
      </w:r>
    </w:p>
    <w:p w14:paraId="2C8B6AAC">
      <w:pPr>
        <w:pStyle w:val="6"/>
        <w:keepNext w:val="0"/>
        <w:keepLines w:val="0"/>
        <w:pageBreakBefore w:val="0"/>
        <w:widowControl/>
        <w:kinsoku/>
        <w:wordWrap/>
        <w:overflowPunct w:val="0"/>
        <w:topLinePunct w:val="0"/>
        <w:autoSpaceDE w:val="0"/>
        <w:autoSpaceDN w:val="0"/>
        <w:bidi w:val="0"/>
        <w:adjustRightInd w:val="0"/>
        <w:snapToGrid/>
        <w:spacing w:line="570" w:lineRule="exact"/>
        <w:textAlignment w:val="baseline"/>
        <w:rPr>
          <w:rFonts w:hint="default" w:ascii="Times New Roman" w:hAnsi="Times New Roman" w:eastAsia="黑体" w:cs="Times New Roman"/>
          <w:b w:val="0"/>
          <w:bCs/>
          <w:sz w:val="32"/>
          <w:szCs w:val="32"/>
          <w:lang w:val="en-US" w:eastAsia="zh-CN"/>
        </w:rPr>
      </w:pPr>
    </w:p>
    <w:p w14:paraId="4F006B13">
      <w:pPr>
        <w:pStyle w:val="6"/>
        <w:keepNext w:val="0"/>
        <w:keepLines w:val="0"/>
        <w:pageBreakBefore w:val="0"/>
        <w:widowControl/>
        <w:kinsoku/>
        <w:wordWrap/>
        <w:overflowPunct w:val="0"/>
        <w:topLinePunct w:val="0"/>
        <w:autoSpaceDE w:val="0"/>
        <w:autoSpaceDN w:val="0"/>
        <w:bidi w:val="0"/>
        <w:adjustRightInd w:val="0"/>
        <w:snapToGrid/>
        <w:spacing w:line="570" w:lineRule="exact"/>
        <w:jc w:val="center"/>
        <w:textAlignment w:val="baseline"/>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乳山市基准地价表</w:t>
      </w:r>
    </w:p>
    <w:p w14:paraId="339E72E7">
      <w:pPr>
        <w:pStyle w:val="6"/>
        <w:spacing w:line="360" w:lineRule="auto"/>
        <w:jc w:val="center"/>
        <w:rPr>
          <w:rFonts w:hint="default" w:ascii="Times New Roman" w:hAnsi="Times New Roman" w:cs="Times New Roman" w:eastAsiaTheme="minorEastAsia"/>
          <w:color w:val="000000"/>
          <w:kern w:val="0"/>
          <w:sz w:val="24"/>
          <w:szCs w:val="24"/>
          <w:lang w:val="en-US" w:eastAsia="zh-CN" w:bidi="ar"/>
        </w:rPr>
      </w:pPr>
    </w:p>
    <w:tbl>
      <w:tblPr>
        <w:tblStyle w:val="10"/>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59"/>
        <w:gridCol w:w="2448"/>
        <w:gridCol w:w="1337"/>
        <w:gridCol w:w="1337"/>
        <w:gridCol w:w="1337"/>
        <w:gridCol w:w="1338"/>
      </w:tblGrid>
      <w:tr w14:paraId="4A429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95" w:type="pct"/>
            <w:tcBorders>
              <w:top w:val="single" w:color="000000" w:sz="4" w:space="0"/>
              <w:left w:val="single" w:color="000000" w:sz="4" w:space="0"/>
              <w:bottom w:val="nil"/>
              <w:right w:val="single" w:color="000000" w:sz="4" w:space="0"/>
            </w:tcBorders>
            <w:shd w:val="clear" w:color="auto" w:fill="auto"/>
            <w:vAlign w:val="center"/>
          </w:tcPr>
          <w:p w14:paraId="1E881E2C">
            <w:pPr>
              <w:keepNext w:val="0"/>
              <w:keepLines w:val="0"/>
              <w:widowControl/>
              <w:suppressLineNumbers w:val="0"/>
              <w:jc w:val="center"/>
              <w:textAlignment w:val="center"/>
              <w:rPr>
                <w:rStyle w:val="13"/>
                <w:rFonts w:hint="default" w:ascii="Times New Roman" w:hAnsi="Times New Roman" w:eastAsia="方正黑体简体" w:cs="Times New Roman"/>
                <w:sz w:val="24"/>
                <w:szCs w:val="24"/>
                <w:lang w:val="en-US" w:eastAsia="zh-CN" w:bidi="ar"/>
              </w:rPr>
            </w:pPr>
            <w:r>
              <w:rPr>
                <w:rStyle w:val="13"/>
                <w:rFonts w:hint="default" w:ascii="Times New Roman" w:hAnsi="Times New Roman" w:eastAsia="方正黑体简体" w:cs="Times New Roman"/>
                <w:sz w:val="24"/>
                <w:szCs w:val="24"/>
                <w:lang w:val="en-US" w:eastAsia="zh-CN" w:bidi="ar"/>
              </w:rPr>
              <w:t>用途</w:t>
            </w:r>
          </w:p>
        </w:tc>
        <w:tc>
          <w:tcPr>
            <w:tcW w:w="1351" w:type="pct"/>
            <w:tcBorders>
              <w:top w:val="single" w:color="000000" w:sz="4" w:space="0"/>
              <w:left w:val="single" w:color="000000" w:sz="4" w:space="0"/>
              <w:bottom w:val="nil"/>
              <w:right w:val="single" w:color="000000" w:sz="4" w:space="0"/>
            </w:tcBorders>
            <w:shd w:val="clear" w:color="auto" w:fill="auto"/>
            <w:vAlign w:val="center"/>
          </w:tcPr>
          <w:p w14:paraId="676214D6">
            <w:pPr>
              <w:keepNext w:val="0"/>
              <w:keepLines w:val="0"/>
              <w:widowControl/>
              <w:suppressLineNumbers w:val="0"/>
              <w:jc w:val="center"/>
              <w:textAlignment w:val="center"/>
              <w:rPr>
                <w:rStyle w:val="13"/>
                <w:rFonts w:hint="default" w:ascii="Times New Roman" w:hAnsi="Times New Roman" w:eastAsia="方正黑体简体" w:cs="Times New Roman"/>
                <w:sz w:val="24"/>
                <w:szCs w:val="24"/>
                <w:lang w:val="en-US" w:eastAsia="zh-CN" w:bidi="ar"/>
              </w:rPr>
            </w:pPr>
            <w:r>
              <w:rPr>
                <w:rStyle w:val="13"/>
                <w:rFonts w:hint="default" w:ascii="Times New Roman" w:hAnsi="Times New Roman" w:eastAsia="方正黑体简体" w:cs="Times New Roman"/>
                <w:sz w:val="24"/>
                <w:szCs w:val="24"/>
                <w:lang w:val="en-US" w:eastAsia="zh-CN" w:bidi="ar"/>
              </w:rPr>
              <w:t>基准地价</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0A6FE">
            <w:pPr>
              <w:keepNext w:val="0"/>
              <w:keepLines w:val="0"/>
              <w:widowControl/>
              <w:suppressLineNumbers w:val="0"/>
              <w:jc w:val="center"/>
              <w:textAlignment w:val="center"/>
              <w:rPr>
                <w:rStyle w:val="13"/>
                <w:rFonts w:hint="default" w:ascii="Times New Roman" w:hAnsi="Times New Roman" w:eastAsia="方正黑体简体" w:cs="Times New Roman"/>
                <w:sz w:val="24"/>
                <w:szCs w:val="24"/>
                <w:lang w:val="en-US" w:eastAsia="zh-CN" w:bidi="ar"/>
              </w:rPr>
            </w:pPr>
            <w:r>
              <w:rPr>
                <w:rStyle w:val="13"/>
                <w:rFonts w:hint="default" w:ascii="Times New Roman" w:hAnsi="Times New Roman" w:eastAsia="方正黑体简体" w:cs="Times New Roman"/>
                <w:sz w:val="24"/>
                <w:szCs w:val="24"/>
                <w:lang w:val="en-US" w:eastAsia="zh-CN" w:bidi="ar"/>
              </w:rPr>
              <w:t>一级</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31958">
            <w:pPr>
              <w:keepNext w:val="0"/>
              <w:keepLines w:val="0"/>
              <w:widowControl/>
              <w:suppressLineNumbers w:val="0"/>
              <w:jc w:val="center"/>
              <w:textAlignment w:val="center"/>
              <w:rPr>
                <w:rStyle w:val="13"/>
                <w:rFonts w:hint="default" w:ascii="Times New Roman" w:hAnsi="Times New Roman" w:eastAsia="方正黑体简体" w:cs="Times New Roman"/>
                <w:sz w:val="24"/>
                <w:szCs w:val="24"/>
                <w:lang w:val="en-US" w:eastAsia="zh-CN" w:bidi="ar"/>
              </w:rPr>
            </w:pPr>
            <w:r>
              <w:rPr>
                <w:rStyle w:val="13"/>
                <w:rFonts w:hint="default" w:ascii="Times New Roman" w:hAnsi="Times New Roman" w:eastAsia="方正黑体简体" w:cs="Times New Roman"/>
                <w:sz w:val="24"/>
                <w:szCs w:val="24"/>
                <w:lang w:val="en-US" w:eastAsia="zh-CN" w:bidi="ar"/>
              </w:rPr>
              <w:t>二级</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C784A">
            <w:pPr>
              <w:keepNext w:val="0"/>
              <w:keepLines w:val="0"/>
              <w:widowControl/>
              <w:suppressLineNumbers w:val="0"/>
              <w:jc w:val="center"/>
              <w:textAlignment w:val="center"/>
              <w:rPr>
                <w:rStyle w:val="13"/>
                <w:rFonts w:hint="default" w:ascii="Times New Roman" w:hAnsi="Times New Roman" w:eastAsia="方正黑体简体" w:cs="Times New Roman"/>
                <w:sz w:val="24"/>
                <w:szCs w:val="24"/>
                <w:lang w:val="en-US" w:eastAsia="zh-CN" w:bidi="ar"/>
              </w:rPr>
            </w:pPr>
            <w:r>
              <w:rPr>
                <w:rStyle w:val="13"/>
                <w:rFonts w:hint="default" w:ascii="Times New Roman" w:hAnsi="Times New Roman" w:eastAsia="方正黑体简体" w:cs="Times New Roman"/>
                <w:sz w:val="24"/>
                <w:szCs w:val="24"/>
                <w:lang w:val="en-US" w:eastAsia="zh-CN" w:bidi="ar"/>
              </w:rPr>
              <w:t>三级</w:t>
            </w:r>
          </w:p>
        </w:tc>
        <w:tc>
          <w:tcPr>
            <w:tcW w:w="7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953EC">
            <w:pPr>
              <w:keepNext w:val="0"/>
              <w:keepLines w:val="0"/>
              <w:widowControl/>
              <w:suppressLineNumbers w:val="0"/>
              <w:jc w:val="center"/>
              <w:textAlignment w:val="center"/>
              <w:rPr>
                <w:rStyle w:val="13"/>
                <w:rFonts w:hint="default" w:ascii="Times New Roman" w:hAnsi="Times New Roman" w:eastAsia="方正黑体简体" w:cs="Times New Roman"/>
                <w:sz w:val="24"/>
                <w:szCs w:val="24"/>
                <w:lang w:val="en-US" w:eastAsia="zh-CN" w:bidi="ar"/>
              </w:rPr>
            </w:pPr>
            <w:r>
              <w:rPr>
                <w:rStyle w:val="13"/>
                <w:rFonts w:hint="default" w:ascii="Times New Roman" w:hAnsi="Times New Roman" w:eastAsia="方正黑体简体" w:cs="Times New Roman"/>
                <w:sz w:val="24"/>
                <w:szCs w:val="24"/>
                <w:lang w:val="en-US" w:eastAsia="zh-CN" w:bidi="ar"/>
              </w:rPr>
              <w:t>四级</w:t>
            </w:r>
          </w:p>
        </w:tc>
      </w:tr>
      <w:tr w14:paraId="09C36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D49435">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商服用地</w:t>
            </w: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7B8F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0BEC0">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2772</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131008">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1652</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A0E95">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1099</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C2B7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773</w:t>
            </w:r>
          </w:p>
        </w:tc>
      </w:tr>
      <w:tr w14:paraId="33150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2C4A6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4249D">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楼面地价（元/㎡）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43E3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1980</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C117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1180</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F9BF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785</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CF3C3">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552</w:t>
            </w:r>
          </w:p>
        </w:tc>
      </w:tr>
      <w:tr w14:paraId="3990A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68BFB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43EF4">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基准地价（万元/亩）</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68662">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184.8</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4D842D">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110.1</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CF152">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73.3</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A46A0">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51.5</w:t>
            </w:r>
          </w:p>
        </w:tc>
      </w:tr>
      <w:tr w14:paraId="4EC3E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CC377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居住用地</w:t>
            </w: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8828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F47B7">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1809</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6737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1338</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927D4">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955</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1D66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717</w:t>
            </w:r>
          </w:p>
        </w:tc>
      </w:tr>
      <w:tr w14:paraId="32738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BE3EDB">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FFFAB">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楼面地价（元/㎡）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4C653">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1292</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7FD9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956</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54D13">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682</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8040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512</w:t>
            </w:r>
          </w:p>
        </w:tc>
      </w:tr>
      <w:tr w14:paraId="01D83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6244E">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5E9AB">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基准地价（万元/亩）</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1B3A5">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120.6</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B13FFA">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89.2</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60E0C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63.7</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3F89B">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47.8</w:t>
            </w:r>
          </w:p>
        </w:tc>
      </w:tr>
      <w:tr w14:paraId="3F294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2F7AD5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工矿用地</w:t>
            </w: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ACA3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0D242">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450</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F84E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420</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5266B">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380</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86AF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250</w:t>
            </w:r>
          </w:p>
        </w:tc>
      </w:tr>
      <w:tr w14:paraId="46529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E4EDB8">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19A9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基准地价（万元/亩）</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B0751">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30</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A4CC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28</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A6FA0">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25.3</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A4DA8">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16.7</w:t>
            </w:r>
          </w:p>
        </w:tc>
      </w:tr>
      <w:tr w14:paraId="70B38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46BF82">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公共管理与公共服务用地</w:t>
            </w: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CDE87">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5E0E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1448</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5C6E7">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1071</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601A3">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764</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08A61">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574</w:t>
            </w:r>
          </w:p>
        </w:tc>
      </w:tr>
      <w:tr w14:paraId="542BF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2824FF">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62F2AD">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楼面地价（元/㎡）</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2386C">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1034</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D96052">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765</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9BC08">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546</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6659E">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410</w:t>
            </w:r>
          </w:p>
        </w:tc>
      </w:tr>
      <w:tr w14:paraId="66228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621A28">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p>
        </w:tc>
        <w:tc>
          <w:tcPr>
            <w:tcW w:w="13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C44D61">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基准地价（万元/亩）</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0D2023">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96.5</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DB716">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71.4</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D8719">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50.9</w:t>
            </w:r>
          </w:p>
        </w:tc>
        <w:tc>
          <w:tcPr>
            <w:tcW w:w="73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ED9D1">
            <w:pPr>
              <w:keepNext w:val="0"/>
              <w:keepLines w:val="0"/>
              <w:widowControl/>
              <w:suppressLineNumbers w:val="0"/>
              <w:jc w:val="center"/>
              <w:textAlignment w:val="center"/>
              <w:rPr>
                <w:rStyle w:val="13"/>
                <w:rFonts w:hint="default" w:ascii="Times New Roman" w:hAnsi="Times New Roman" w:eastAsia="仿宋_GB2312" w:cs="Times New Roman"/>
                <w:sz w:val="24"/>
                <w:szCs w:val="24"/>
                <w:lang w:val="en-US" w:eastAsia="zh-CN" w:bidi="ar"/>
              </w:rPr>
            </w:pPr>
            <w:r>
              <w:rPr>
                <w:rStyle w:val="13"/>
                <w:rFonts w:hint="default" w:ascii="Times New Roman" w:hAnsi="Times New Roman" w:eastAsia="仿宋_GB2312" w:cs="Times New Roman"/>
                <w:sz w:val="24"/>
                <w:szCs w:val="24"/>
                <w:lang w:val="en-US" w:eastAsia="zh-CN" w:bidi="ar"/>
              </w:rPr>
              <w:t>38.3</w:t>
            </w:r>
          </w:p>
        </w:tc>
      </w:tr>
    </w:tbl>
    <w:p w14:paraId="56A2DB93">
      <w:pPr>
        <w:pStyle w:val="8"/>
        <w:keepNext w:val="0"/>
        <w:keepLines w:val="0"/>
        <w:pageBreakBefore w:val="0"/>
        <w:widowControl/>
        <w:suppressLineNumbers w:val="0"/>
        <w:kinsoku/>
        <w:wordWrap/>
        <w:overflowPunct/>
        <w:topLinePunct w:val="0"/>
        <w:autoSpaceDE/>
        <w:autoSpaceDN/>
        <w:bidi w:val="0"/>
        <w:adjustRightInd/>
        <w:snapToGrid/>
        <w:spacing w:before="157" w:beforeLines="50" w:beforeAutospacing="0" w:after="0" w:afterAutospacing="0" w:line="400" w:lineRule="exact"/>
        <w:ind w:left="0" w:right="0" w:hanging="720" w:hangingChars="300"/>
        <w:jc w:val="left"/>
        <w:textAlignment w:val="auto"/>
        <w:rPr>
          <w:rFonts w:hint="default" w:ascii="Times New Roman" w:hAnsi="Times New Roman" w:eastAsia="仿宋_GB2312" w:cs="Times New Roman"/>
          <w:i w:val="0"/>
          <w:iCs w:val="0"/>
          <w:color w:val="000000"/>
          <w:kern w:val="0"/>
          <w:sz w:val="24"/>
          <w:szCs w:val="24"/>
          <w:highlight w:val="none"/>
          <w:u w:val="none"/>
          <w:lang w:val="en-US" w:eastAsia="zh-CN" w:bidi="ar"/>
        </w:rPr>
      </w:pPr>
      <w:r>
        <w:rPr>
          <w:rFonts w:hint="default" w:ascii="Times New Roman" w:hAnsi="Times New Roman" w:eastAsia="仿宋_GB2312" w:cs="Times New Roman"/>
          <w:i w:val="0"/>
          <w:iCs w:val="0"/>
          <w:color w:val="000000"/>
          <w:kern w:val="0"/>
          <w:sz w:val="24"/>
          <w:szCs w:val="24"/>
          <w:highlight w:val="none"/>
          <w:u w:val="none"/>
          <w:lang w:val="en-US" w:eastAsia="zh-CN" w:bidi="ar"/>
        </w:rPr>
        <w:t>备注：商服、居住用地、公共管理与公共服务用地设定容积率为1.4，工矿用地设定容积率为1.0。</w:t>
      </w:r>
    </w:p>
    <w:p w14:paraId="0DA91131">
      <w:pPr>
        <w:pStyle w:val="6"/>
        <w:spacing w:line="360" w:lineRule="auto"/>
        <w:ind w:firstLine="480"/>
        <w:rPr>
          <w:rFonts w:hint="default" w:ascii="Times New Roman" w:hAnsi="Times New Roman" w:eastAsia="方正仿宋_GB2312" w:cs="Times New Roman"/>
          <w:b w:val="0"/>
          <w:bCs/>
          <w:sz w:val="32"/>
          <w:szCs w:val="32"/>
          <w:lang w:val="en-US" w:eastAsia="zh-CN"/>
        </w:rPr>
      </w:pPr>
    </w:p>
    <w:p w14:paraId="21F8AFBE">
      <w:pPr>
        <w:pStyle w:val="6"/>
        <w:spacing w:line="360" w:lineRule="auto"/>
        <w:ind w:firstLine="480"/>
        <w:rPr>
          <w:rFonts w:hint="default" w:ascii="Times New Roman" w:hAnsi="Times New Roman" w:eastAsia="方正仿宋_GB2312" w:cs="Times New Roman"/>
          <w:b w:val="0"/>
          <w:bCs/>
          <w:sz w:val="32"/>
          <w:szCs w:val="32"/>
          <w:lang w:val="en-US" w:eastAsia="zh-CN"/>
        </w:rPr>
      </w:pPr>
    </w:p>
    <w:p w14:paraId="35A1F122">
      <w:pPr>
        <w:pStyle w:val="6"/>
        <w:spacing w:line="360" w:lineRule="auto"/>
        <w:ind w:firstLine="480"/>
        <w:rPr>
          <w:rFonts w:hint="default" w:ascii="Times New Roman" w:hAnsi="Times New Roman" w:eastAsia="方正仿宋_GB2312" w:cs="Times New Roman"/>
          <w:b w:val="0"/>
          <w:bCs/>
          <w:sz w:val="32"/>
          <w:szCs w:val="32"/>
          <w:lang w:val="en-US" w:eastAsia="zh-CN"/>
        </w:rPr>
      </w:pPr>
    </w:p>
    <w:p w14:paraId="6C8DD587">
      <w:pPr>
        <w:keepNext w:val="0"/>
        <w:keepLines w:val="0"/>
        <w:pageBreakBefore w:val="0"/>
        <w:widowControl/>
        <w:suppressLineNumbers w:val="0"/>
        <w:kinsoku/>
        <w:wordWrap/>
        <w:topLinePunct w:val="0"/>
        <w:bidi w:val="0"/>
        <w:snapToGrid/>
        <w:spacing w:line="570" w:lineRule="exact"/>
        <w:jc w:val="left"/>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lang w:val="en-US" w:eastAsia="zh-CN"/>
        </w:rPr>
        <w:t>附件2</w:t>
      </w:r>
    </w:p>
    <w:p w14:paraId="2F26592F">
      <w:pPr>
        <w:keepNext w:val="0"/>
        <w:keepLines w:val="0"/>
        <w:pageBreakBefore w:val="0"/>
        <w:widowControl/>
        <w:suppressLineNumbers w:val="0"/>
        <w:kinsoku/>
        <w:wordWrap/>
        <w:overflowPunct/>
        <w:topLinePunct w:val="0"/>
        <w:autoSpaceDE/>
        <w:autoSpaceDN/>
        <w:bidi w:val="0"/>
        <w:adjustRightInd/>
        <w:snapToGrid/>
        <w:spacing w:line="570" w:lineRule="exact"/>
        <w:jc w:val="left"/>
        <w:textAlignment w:val="auto"/>
        <w:rPr>
          <w:rFonts w:hint="default" w:ascii="Times New Roman" w:hAnsi="Times New Roman" w:eastAsia="黑体" w:cs="Times New Roman"/>
          <w:b w:val="0"/>
          <w:bCs/>
          <w:sz w:val="32"/>
          <w:szCs w:val="32"/>
          <w:lang w:val="en-US" w:eastAsia="zh-CN"/>
        </w:rPr>
      </w:pPr>
    </w:p>
    <w:p w14:paraId="0D68CAAC">
      <w:pPr>
        <w:pStyle w:val="6"/>
        <w:keepNext w:val="0"/>
        <w:keepLines w:val="0"/>
        <w:pageBreakBefore w:val="0"/>
        <w:widowControl/>
        <w:kinsoku/>
        <w:wordWrap/>
        <w:topLinePunct w:val="0"/>
        <w:bidi w:val="0"/>
        <w:snapToGrid/>
        <w:spacing w:line="570" w:lineRule="exact"/>
        <w:jc w:val="center"/>
        <w:rPr>
          <w:rFonts w:hint="default" w:ascii="Times New Roman" w:hAnsi="Times New Roman" w:eastAsia="CESI楷体-GB2312" w:cs="Times New Roman"/>
          <w:b/>
          <w:bCs w:val="0"/>
          <w:kern w:val="2"/>
          <w:sz w:val="32"/>
          <w:szCs w:val="32"/>
          <w:lang w:val="en-US" w:eastAsia="zh-CN" w:bidi="ar-SA"/>
        </w:rPr>
      </w:pPr>
      <w:r>
        <w:rPr>
          <w:rFonts w:hint="default" w:ascii="Times New Roman" w:hAnsi="Times New Roman" w:eastAsia="方正小标宋简体" w:cs="Times New Roman"/>
          <w:b w:val="0"/>
          <w:bCs/>
          <w:sz w:val="44"/>
          <w:szCs w:val="44"/>
          <w:lang w:val="en-US" w:eastAsia="zh-CN"/>
        </w:rPr>
        <w:t>乳山市土地级别范围表</w:t>
      </w:r>
    </w:p>
    <w:p w14:paraId="5616CABD">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楷体_GB2312" w:hAnsi="楷体_GB2312" w:eastAsia="楷体_GB2312" w:cs="楷体_GB2312"/>
          <w:b w:val="0"/>
          <w:bCs/>
          <w:kern w:val="2"/>
          <w:sz w:val="32"/>
          <w:szCs w:val="32"/>
          <w:lang w:val="en-US" w:eastAsia="zh-CN" w:bidi="ar-SA"/>
        </w:rPr>
      </w:pPr>
      <w:r>
        <w:rPr>
          <w:rFonts w:hint="eastAsia" w:ascii="楷体_GB2312" w:hAnsi="楷体_GB2312" w:eastAsia="楷体_GB2312" w:cs="楷体_GB2312"/>
          <w:b w:val="0"/>
          <w:bCs/>
          <w:kern w:val="2"/>
          <w:sz w:val="32"/>
          <w:szCs w:val="32"/>
          <w:lang w:val="en-US" w:eastAsia="zh-CN" w:bidi="ar-SA"/>
        </w:rPr>
        <w:t>（一）商服用地级别范围分布表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7733"/>
      </w:tblGrid>
      <w:tr w14:paraId="7DE38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0" w:hRule="atLeast"/>
        </w:trPr>
        <w:tc>
          <w:tcPr>
            <w:tcW w:w="1270" w:type="dxa"/>
            <w:noWrap w:val="0"/>
            <w:vAlign w:val="center"/>
          </w:tcPr>
          <w:p w14:paraId="5498AB9C">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rPr>
              <w:t>一级地</w:t>
            </w:r>
          </w:p>
        </w:tc>
        <w:tc>
          <w:tcPr>
            <w:tcW w:w="7733" w:type="dxa"/>
            <w:noWrap w:val="0"/>
            <w:vAlign w:val="center"/>
          </w:tcPr>
          <w:p w14:paraId="7550062F">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eastAsia="zh-CN"/>
              </w:rPr>
            </w:pPr>
            <w:r>
              <w:rPr>
                <w:rFonts w:hint="default" w:ascii="Times New Roman" w:hAnsi="Times New Roman" w:eastAsia="仿宋_GB2312" w:cs="Times New Roman"/>
                <w:kern w:val="2"/>
                <w:sz w:val="28"/>
                <w:szCs w:val="28"/>
                <w:lang w:val="en-US" w:eastAsia="zh-CN" w:bidi="ar-SA"/>
              </w:rPr>
              <w:t>（1）</w:t>
            </w:r>
            <w:r>
              <w:rPr>
                <w:rFonts w:hint="default" w:ascii="Times New Roman" w:hAnsi="Times New Roman" w:eastAsia="仿宋_GB2312" w:cs="Times New Roman"/>
                <w:sz w:val="28"/>
                <w:szCs w:val="28"/>
                <w:highlight w:val="none"/>
                <w:u w:val="none"/>
                <w:lang w:val="en-US" w:eastAsia="zh-CN"/>
              </w:rPr>
              <w:t>北至北环路，沿北环路向东至长庆路，沿长庆路、城镇开发边界向南至胜利东街，沿胜利东街向东、向南至天津路，沿天津路向西至昌平路，沿昌平路向南至营口路，沿营口路向西至深圳路，沿深圳路向南至幸福二路，沿幸福二路向西至世纪大道，沿世纪大道向北至海峰街，沿海峰街向西至青山路，沿青山路、兴农巷等向北至北环路，该线范围内的土地</w:t>
            </w:r>
            <w:r>
              <w:rPr>
                <w:rFonts w:hint="default" w:ascii="Times New Roman" w:hAnsi="Times New Roman" w:eastAsia="仿宋_GB2312" w:cs="Times New Roman"/>
                <w:sz w:val="28"/>
                <w:szCs w:val="28"/>
                <w:highlight w:val="none"/>
                <w:u w:val="none"/>
                <w:lang w:eastAsia="zh-CN"/>
              </w:rPr>
              <w:t>。</w:t>
            </w:r>
          </w:p>
          <w:p w14:paraId="4B131019">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eastAsia="zh-CN"/>
              </w:rPr>
            </w:pPr>
            <w:r>
              <w:rPr>
                <w:rFonts w:hint="default" w:ascii="Times New Roman" w:hAnsi="Times New Roman" w:eastAsia="仿宋_GB2312" w:cs="Times New Roman"/>
                <w:kern w:val="2"/>
                <w:sz w:val="28"/>
                <w:szCs w:val="28"/>
                <w:lang w:val="en-US" w:eastAsia="zh-CN" w:bidi="ar-SA"/>
              </w:rPr>
              <w:t>（2）</w:t>
            </w:r>
            <w:r>
              <w:rPr>
                <w:rFonts w:hint="default" w:ascii="Times New Roman" w:hAnsi="Times New Roman" w:eastAsia="仿宋_GB2312" w:cs="Times New Roman"/>
                <w:sz w:val="28"/>
                <w:szCs w:val="28"/>
                <w:highlight w:val="none"/>
                <w:u w:val="none"/>
                <w:lang w:val="en-US" w:eastAsia="zh-CN"/>
              </w:rPr>
              <w:t>北至武夷山路，沿武夷山路向东至西湖路，沿西湖路向南至长江路，沿长江路向西至金银大道，沿金银大道向北至武夷山路，该线范围内的土地。</w:t>
            </w:r>
          </w:p>
          <w:p w14:paraId="7EF6980D">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4"/>
                <w:szCs w:val="24"/>
                <w:highlight w:val="none"/>
                <w:u w:val="none"/>
                <w:lang w:eastAsia="zh-CN"/>
              </w:rPr>
            </w:pPr>
            <w:r>
              <w:rPr>
                <w:rFonts w:hint="default" w:ascii="Times New Roman" w:hAnsi="Times New Roman" w:eastAsia="仿宋_GB2312" w:cs="Times New Roman"/>
                <w:kern w:val="2"/>
                <w:sz w:val="28"/>
                <w:szCs w:val="28"/>
                <w:lang w:val="en-US" w:eastAsia="zh-CN" w:bidi="ar-SA"/>
              </w:rPr>
              <w:t>（3）</w:t>
            </w:r>
            <w:r>
              <w:rPr>
                <w:rFonts w:hint="default" w:ascii="Times New Roman" w:hAnsi="Times New Roman" w:eastAsia="仿宋_GB2312" w:cs="Times New Roman"/>
                <w:sz w:val="28"/>
                <w:szCs w:val="28"/>
                <w:highlight w:val="none"/>
                <w:u w:val="none"/>
                <w:lang w:val="en-US" w:eastAsia="zh-CN"/>
              </w:rPr>
              <w:t>北至银滩商业街，沿银滩商业街向东至太行山东路，沿太行山东路向南至长江路，沿长江路向西至规划路，沿规划路向北至银滩商业街，该线范围内的土地。</w:t>
            </w:r>
          </w:p>
        </w:tc>
      </w:tr>
      <w:tr w14:paraId="19F40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0" w:hRule="atLeast"/>
        </w:trPr>
        <w:tc>
          <w:tcPr>
            <w:tcW w:w="1270" w:type="dxa"/>
            <w:noWrap w:val="0"/>
            <w:vAlign w:val="center"/>
          </w:tcPr>
          <w:p w14:paraId="30FEE3D1">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rPr>
              <w:t>二级地</w:t>
            </w:r>
          </w:p>
        </w:tc>
        <w:tc>
          <w:tcPr>
            <w:tcW w:w="7733" w:type="dxa"/>
            <w:noWrap w:val="0"/>
            <w:vAlign w:val="center"/>
          </w:tcPr>
          <w:p w14:paraId="14943778">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1）北至金水街，沿金水街、规划路向东至长庆路，沿长庆路、城镇开发边界向南至青威一级路（G1813），沿青威一级路（G1813）向西至广州路，沿广州路向西至湛江路，沿湛江路、西环路、夏村河等向北、向东至金水街，该线范围内除一级地以外的土地。</w:t>
            </w:r>
          </w:p>
          <w:p w14:paraId="18BEA3BF">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2）北至台湾东路，沿台湾东路、农村道路向东至银金大道，沿银金大道、城镇开发边界等向南、向东至徐家河，沿徐家河向南至黄海，沿黄海海岸向西至黄海路（规划路），沿黄海路（规划路）、城镇开发边界、中海路等向北至昆仑山路，沿昆仑山路向西至能源路，沿能源路向北至台湾东路，该线范围内除一级地以外的土地。</w:t>
            </w:r>
          </w:p>
          <w:p w14:paraId="1F804A6B">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（3）宫家岛、大乳山滨海旅游度假区范围内的土地。</w:t>
            </w:r>
          </w:p>
          <w:p w14:paraId="7AA2D6F7">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u w:val="none"/>
                <w:lang w:val="en-US" w:eastAsia="zh-CN"/>
              </w:rPr>
              <w:t>（4）徐家镇：城镇开发边界内的土地。</w:t>
            </w:r>
          </w:p>
        </w:tc>
      </w:tr>
      <w:tr w14:paraId="34963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2" w:hRule="atLeast"/>
        </w:trPr>
        <w:tc>
          <w:tcPr>
            <w:tcW w:w="1270" w:type="dxa"/>
            <w:noWrap w:val="0"/>
            <w:vAlign w:val="center"/>
          </w:tcPr>
          <w:p w14:paraId="4BD26E7C">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三级地</w:t>
            </w:r>
          </w:p>
        </w:tc>
        <w:tc>
          <w:tcPr>
            <w:tcW w:w="7733" w:type="dxa"/>
            <w:noWrap w:val="0"/>
            <w:vAlign w:val="center"/>
          </w:tcPr>
          <w:p w14:paraId="2149973F">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（1）城区街道、夏村镇夏村河、金水街以北的城镇开发边界内的全部土地。</w:t>
            </w:r>
          </w:p>
          <w:p w14:paraId="4DFC5069">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2）北至夏村河，沿夏村河向东至西环路，沿西环路、湛江路向南至广州路，沿广州路向东至青威一级路（G1813），沿青威一级路（G1813）向南至世纪大道，沿世纪大道向南至莱荣高铁，沿莱荣高铁向东至能源路，沿能源路、锯河向南至台湾路，沿台湾路向东至能源路，沿能源路向南至黄海，沿黄海海岸向西至乳山口港（黄海海岸），沿乳山口港（黄海海岸）、海陆分界线向北至县道041，沿县道041、城镇开发边界向北、向东至创业二路，沿创业二路向北至台湾路，沿台湾路、城镇开发边界等向西、向北至三亚路，沿三亚路、城镇开发边界向北、向东至夏村河，该范围内的土地。</w:t>
            </w:r>
          </w:p>
          <w:p w14:paraId="4AFE07C8">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lang w:val="en-US"/>
              </w:rPr>
            </w:pPr>
            <w:r>
              <w:rPr>
                <w:rFonts w:hint="default" w:ascii="Times New Roman" w:hAnsi="Times New Roman" w:eastAsia="仿宋_GB2312" w:cs="Times New Roman"/>
                <w:sz w:val="28"/>
                <w:szCs w:val="28"/>
                <w:highlight w:val="none"/>
                <w:u w:val="none"/>
                <w:lang w:val="en-US" w:eastAsia="zh-CN"/>
              </w:rPr>
              <w:t>（3）南黄镇：城镇开发边界内的土地。</w:t>
            </w:r>
          </w:p>
        </w:tc>
      </w:tr>
      <w:tr w14:paraId="13FF42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1270" w:type="dxa"/>
            <w:noWrap w:val="0"/>
            <w:vAlign w:val="center"/>
          </w:tcPr>
          <w:p w14:paraId="4D8141CD">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u w:val="none"/>
                <w:lang w:val="en-US" w:eastAsia="zh-CN"/>
              </w:rPr>
            </w:pPr>
            <w:r>
              <w:rPr>
                <w:rFonts w:hint="default" w:ascii="Times New Roman" w:hAnsi="Times New Roman" w:eastAsia="楷体_GB2312" w:cs="Times New Roman"/>
                <w:b w:val="0"/>
                <w:bCs w:val="0"/>
                <w:sz w:val="28"/>
                <w:szCs w:val="28"/>
                <w:highlight w:val="none"/>
                <w:u w:val="none"/>
                <w:lang w:val="en-US" w:eastAsia="zh-CN"/>
              </w:rPr>
              <w:t>四级地</w:t>
            </w:r>
          </w:p>
        </w:tc>
        <w:tc>
          <w:tcPr>
            <w:tcW w:w="7733" w:type="dxa"/>
            <w:noWrap w:val="0"/>
            <w:vAlign w:val="center"/>
          </w:tcPr>
          <w:p w14:paraId="6E0B2459">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Chars="0" w:right="0" w:rightChars="0"/>
              <w:jc w:val="both"/>
              <w:textAlignment w:val="auto"/>
              <w:outlineLvl w:val="9"/>
              <w:rPr>
                <w:rFonts w:hint="default" w:ascii="Times New Roman" w:hAnsi="Times New Roman" w:eastAsia="仿宋_GB2312" w:cs="Times New Roman"/>
                <w:kern w:val="2"/>
                <w:sz w:val="28"/>
                <w:szCs w:val="28"/>
                <w:highlight w:val="green"/>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一、二、三级地以外的土地。</w:t>
            </w:r>
          </w:p>
        </w:tc>
      </w:tr>
    </w:tbl>
    <w:p w14:paraId="30644AE1">
      <w:pPr>
        <w:jc w:val="center"/>
        <w:rPr>
          <w:rFonts w:hint="default" w:ascii="Times New Roman" w:hAnsi="Times New Roman" w:eastAsia="CESI楷体-GB2312" w:cs="Times New Roman"/>
          <w:b w:val="0"/>
          <w:bCs/>
          <w:kern w:val="2"/>
          <w:sz w:val="32"/>
          <w:szCs w:val="32"/>
          <w:lang w:val="en-US" w:eastAsia="zh-CN" w:bidi="ar-SA"/>
        </w:rPr>
      </w:pPr>
    </w:p>
    <w:p w14:paraId="4DF42AEB">
      <w:pPr>
        <w:jc w:val="center"/>
        <w:rPr>
          <w:rFonts w:hint="default" w:ascii="Times New Roman" w:hAnsi="Times New Roman" w:eastAsia="CESI楷体-GB2312" w:cs="Times New Roman"/>
          <w:b w:val="0"/>
          <w:bCs/>
          <w:kern w:val="2"/>
          <w:sz w:val="32"/>
          <w:szCs w:val="32"/>
          <w:lang w:val="en-US" w:eastAsia="zh-CN" w:bidi="ar-SA"/>
        </w:rPr>
      </w:pPr>
    </w:p>
    <w:p w14:paraId="002ACE5F">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楷体_GB2312" w:hAnsi="楷体_GB2312" w:eastAsia="楷体_GB2312" w:cs="楷体_GB2312"/>
          <w:b w:val="0"/>
          <w:bCs/>
          <w:kern w:val="2"/>
          <w:sz w:val="32"/>
          <w:szCs w:val="32"/>
          <w:lang w:val="en-US" w:eastAsia="zh-CN" w:bidi="ar-SA"/>
        </w:rPr>
      </w:pPr>
      <w:r>
        <w:rPr>
          <w:rFonts w:hint="default" w:ascii="楷体_GB2312" w:hAnsi="楷体_GB2312" w:eastAsia="楷体_GB2312" w:cs="楷体_GB2312"/>
          <w:b w:val="0"/>
          <w:bCs/>
          <w:kern w:val="2"/>
          <w:sz w:val="32"/>
          <w:szCs w:val="32"/>
          <w:lang w:val="en-US" w:eastAsia="zh-CN" w:bidi="ar-SA"/>
        </w:rPr>
        <w:t>（二）居住用地级别范围分布表</w:t>
      </w:r>
    </w:p>
    <w:tbl>
      <w:tblPr>
        <w:tblStyle w:val="10"/>
        <w:tblW w:w="91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7880"/>
      </w:tblGrid>
      <w:tr w14:paraId="22145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1" w:hRule="exact"/>
        </w:trPr>
        <w:tc>
          <w:tcPr>
            <w:tcW w:w="1270" w:type="dxa"/>
            <w:noWrap w:val="0"/>
            <w:vAlign w:val="center"/>
          </w:tcPr>
          <w:p w14:paraId="7A38FDFE">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一级地</w:t>
            </w:r>
          </w:p>
        </w:tc>
        <w:tc>
          <w:tcPr>
            <w:tcW w:w="7880" w:type="dxa"/>
            <w:noWrap w:val="0"/>
            <w:vAlign w:val="center"/>
          </w:tcPr>
          <w:p w14:paraId="1265391B">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lang w:val="en-US" w:eastAsia="zh-CN" w:bidi="ar-SA"/>
              </w:rPr>
              <w:t>（1）</w:t>
            </w:r>
            <w:r>
              <w:rPr>
                <w:rFonts w:hint="default" w:ascii="Times New Roman" w:hAnsi="Times New Roman" w:eastAsia="仿宋_GB2312" w:cs="Times New Roman"/>
                <w:kern w:val="2"/>
                <w:sz w:val="28"/>
                <w:szCs w:val="28"/>
                <w:highlight w:val="none"/>
                <w:u w:val="none"/>
                <w:lang w:val="en-US" w:eastAsia="zh-CN" w:bidi="ar-SA"/>
              </w:rPr>
              <w:t>北至北环路，沿北环路向东至长庆路，沿长庆路、城镇开发边界向南至胜利东街，沿胜利东街向东、向南至天津路，沿天津路向西至昌平路，沿昌平路向南至营口路，沿营口路向西至深圳路，沿深圳路向南至幸福二路，沿幸福二路向西至世纪大道，沿世纪大道向北至海峰街，沿海峰街向西至青山路，沿青山路、兴农巷等向北至北环路，该线范围内的土地。</w:t>
            </w:r>
          </w:p>
          <w:p w14:paraId="00923C2B">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lang w:val="en-US" w:eastAsia="zh-CN" w:bidi="ar-SA"/>
              </w:rPr>
              <w:t>（2）</w:t>
            </w:r>
            <w:r>
              <w:rPr>
                <w:rFonts w:hint="default" w:ascii="Times New Roman" w:hAnsi="Times New Roman" w:eastAsia="仿宋_GB2312" w:cs="Times New Roman"/>
                <w:kern w:val="2"/>
                <w:sz w:val="28"/>
                <w:szCs w:val="28"/>
                <w:highlight w:val="none"/>
                <w:u w:val="none"/>
                <w:lang w:val="en-US" w:eastAsia="zh-CN" w:bidi="ar-SA"/>
              </w:rPr>
              <w:t>北至武夷山路，沿武夷山路向东至西湖路，沿西湖路向南至长江路，沿长江路向西至金银大道，沿金银大道向北至武夷山路，该线范围内的土地。</w:t>
            </w:r>
          </w:p>
          <w:p w14:paraId="63027E82">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sz w:val="24"/>
                <w:szCs w:val="24"/>
                <w:highlight w:val="none"/>
                <w:u w:val="none"/>
                <w:lang w:eastAsia="zh-CN"/>
              </w:rPr>
            </w:pPr>
            <w:r>
              <w:rPr>
                <w:rFonts w:hint="default" w:ascii="Times New Roman" w:hAnsi="Times New Roman" w:eastAsia="仿宋_GB2312" w:cs="Times New Roman"/>
                <w:kern w:val="2"/>
                <w:sz w:val="28"/>
                <w:szCs w:val="28"/>
                <w:lang w:val="en-US" w:eastAsia="zh-CN" w:bidi="ar-SA"/>
              </w:rPr>
              <w:t>（3）</w:t>
            </w:r>
            <w:r>
              <w:rPr>
                <w:rFonts w:hint="default" w:ascii="Times New Roman" w:hAnsi="Times New Roman" w:eastAsia="仿宋_GB2312" w:cs="Times New Roman"/>
                <w:kern w:val="2"/>
                <w:sz w:val="28"/>
                <w:szCs w:val="28"/>
                <w:highlight w:val="none"/>
                <w:u w:val="none"/>
                <w:lang w:val="en-US" w:eastAsia="zh-CN" w:bidi="ar-SA"/>
              </w:rPr>
              <w:t>北至银滩商业街，沿银滩商业街向东至太行山东路，沿太行山东路向南至长江路，沿长江路向西至规划路，沿规划路向北至银滩商业街，该线范围内的土地。</w:t>
            </w:r>
          </w:p>
        </w:tc>
      </w:tr>
      <w:tr w14:paraId="46D8C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trPr>
        <w:tc>
          <w:tcPr>
            <w:tcW w:w="1270" w:type="dxa"/>
            <w:noWrap w:val="0"/>
            <w:vAlign w:val="center"/>
          </w:tcPr>
          <w:p w14:paraId="36060BA0">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二级地</w:t>
            </w:r>
          </w:p>
        </w:tc>
        <w:tc>
          <w:tcPr>
            <w:tcW w:w="7880" w:type="dxa"/>
            <w:noWrap w:val="0"/>
            <w:vAlign w:val="center"/>
          </w:tcPr>
          <w:p w14:paraId="7CAC01E4">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1）北至金水街，沿金水街、规划路向东至长庆路，沿长庆路、城镇开发边界向南至青威一级路（G1813），沿青威一级路（G1813）向西至广州路，沿广州路向西至湛江路，沿湛江路、西环路、夏村河等向北、向东至金水街，该线范围内除一级地以外的土地。</w:t>
            </w:r>
          </w:p>
          <w:p w14:paraId="472E93A4">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北至台湾东路，沿台湾东路、农村道路向东至银金大道，沿银金大道、城镇开发边界等向南、向东至徐家河，沿徐家河向南至黄海，沿黄海海岸向西至黄海路（规划路），沿黄海路（规划路）、城镇开发边界、中海路等向北至昆仑山路，沿昆仑山路向西至能源路，沿能源路向北至台湾东路，该线范围内除一级地以外的土地。</w:t>
            </w:r>
          </w:p>
          <w:p w14:paraId="50827573">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（2）宫家岛、大乳山滨海旅游度假区范围内的土地。</w:t>
            </w:r>
          </w:p>
          <w:p w14:paraId="193B3D8F">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kern w:val="2"/>
                <w:sz w:val="28"/>
                <w:szCs w:val="28"/>
                <w:highlight w:val="none"/>
                <w:u w:val="none"/>
                <w:lang w:val="en-US" w:eastAsia="zh-CN" w:bidi="ar-SA"/>
              </w:rPr>
              <w:t>（3）徐家镇：城镇开发边界内的土地。</w:t>
            </w:r>
          </w:p>
        </w:tc>
      </w:tr>
      <w:tr w14:paraId="72D54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30" w:hRule="atLeast"/>
        </w:trPr>
        <w:tc>
          <w:tcPr>
            <w:tcW w:w="1270" w:type="dxa"/>
            <w:noWrap w:val="0"/>
            <w:vAlign w:val="center"/>
          </w:tcPr>
          <w:p w14:paraId="677CDC06">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三级地</w:t>
            </w:r>
          </w:p>
        </w:tc>
        <w:tc>
          <w:tcPr>
            <w:tcW w:w="7880" w:type="dxa"/>
            <w:noWrap w:val="0"/>
            <w:vAlign w:val="center"/>
          </w:tcPr>
          <w:p w14:paraId="77C6B708">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（1）城区街道、夏村镇夏村河、金水街以北的城镇开发边界内的全部土地。</w:t>
            </w:r>
          </w:p>
          <w:p w14:paraId="36FA30A0">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2）北至夏村河，沿夏村河向东至西环路，沿西环路、湛江路向南至广州路，沿广州路向东至青威一级路（G1813），沿青威一级路（G1813）向南至世纪大道，沿世纪大道向南至莱荣高铁，沿莱荣高铁向东至能源路，沿能源路、锯河向南至台湾路，沿台湾路向东至能源路，沿能源路向南至黄海，沿黄海海岸向西至乳山口港（黄海海岸），沿乳山口港（黄海海岸）、海陆分界线向北至县道041，沿县道041、城镇开发边界向北、向东至创业二路，沿创业二路向北至台湾路，沿台湾路、城镇开发边界等向西、向北至三亚路，沿三亚路、城镇开发边界向北、向东至夏村河，该范围内的土地。</w:t>
            </w:r>
          </w:p>
          <w:p w14:paraId="11633F97">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lang w:val="en-US"/>
              </w:rPr>
            </w:pPr>
            <w:r>
              <w:rPr>
                <w:rFonts w:hint="default" w:ascii="Times New Roman" w:hAnsi="Times New Roman" w:eastAsia="仿宋_GB2312" w:cs="Times New Roman"/>
                <w:kern w:val="2"/>
                <w:sz w:val="28"/>
                <w:szCs w:val="28"/>
                <w:highlight w:val="none"/>
                <w:u w:val="none"/>
                <w:lang w:val="en-US" w:eastAsia="zh-CN" w:bidi="ar-SA"/>
              </w:rPr>
              <w:t>（3）南黄镇：城镇开发边界内的土地。</w:t>
            </w:r>
          </w:p>
        </w:tc>
      </w:tr>
      <w:tr w14:paraId="6E4A5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1270" w:type="dxa"/>
            <w:noWrap w:val="0"/>
            <w:vAlign w:val="center"/>
          </w:tcPr>
          <w:p w14:paraId="74F9E781">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u w:val="none"/>
                <w:lang w:val="en-US" w:eastAsia="zh-CN"/>
              </w:rPr>
            </w:pPr>
            <w:r>
              <w:rPr>
                <w:rFonts w:hint="default" w:ascii="Times New Roman" w:hAnsi="Times New Roman" w:eastAsia="楷体_GB2312" w:cs="Times New Roman"/>
                <w:b w:val="0"/>
                <w:bCs w:val="0"/>
                <w:sz w:val="28"/>
                <w:szCs w:val="28"/>
                <w:highlight w:val="none"/>
                <w:u w:val="none"/>
                <w:lang w:val="en-US" w:eastAsia="zh-CN"/>
              </w:rPr>
              <w:t>四级地</w:t>
            </w:r>
          </w:p>
        </w:tc>
        <w:tc>
          <w:tcPr>
            <w:tcW w:w="7880" w:type="dxa"/>
            <w:noWrap w:val="0"/>
            <w:vAlign w:val="center"/>
          </w:tcPr>
          <w:p w14:paraId="7C343B08">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Chars="0" w:right="0" w:rightChars="0"/>
              <w:jc w:val="both"/>
              <w:textAlignment w:val="auto"/>
              <w:outlineLvl w:val="9"/>
              <w:rPr>
                <w:rFonts w:hint="default" w:ascii="Times New Roman" w:hAnsi="Times New Roman" w:eastAsia="仿宋_GB2312" w:cs="Times New Roman"/>
                <w:kern w:val="2"/>
                <w:sz w:val="24"/>
                <w:szCs w:val="24"/>
                <w:highlight w:val="green"/>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一、二、三级地以外的土地。</w:t>
            </w:r>
          </w:p>
        </w:tc>
      </w:tr>
    </w:tbl>
    <w:p w14:paraId="41EDE6D6">
      <w:pPr>
        <w:jc w:val="center"/>
        <w:rPr>
          <w:rFonts w:hint="default" w:ascii="Times New Roman" w:hAnsi="Times New Roman" w:cs="Times New Roman"/>
          <w:color w:val="auto"/>
          <w:highlight w:val="none"/>
        </w:rPr>
      </w:pPr>
    </w:p>
    <w:p w14:paraId="27FB5903">
      <w:pPr>
        <w:jc w:val="center"/>
        <w:rPr>
          <w:rFonts w:hint="default" w:ascii="Times New Roman" w:hAnsi="Times New Roman" w:eastAsia="方正仿宋_GB2312" w:cs="Times New Roman"/>
          <w:b w:val="0"/>
          <w:bCs/>
          <w:kern w:val="2"/>
          <w:sz w:val="24"/>
          <w:szCs w:val="24"/>
          <w:lang w:val="en-US" w:eastAsia="zh-CN" w:bidi="ar-SA"/>
        </w:rPr>
      </w:pPr>
    </w:p>
    <w:p w14:paraId="0E109B20">
      <w:pPr>
        <w:pStyle w:val="3"/>
        <w:rPr>
          <w:rFonts w:hint="default" w:ascii="Times New Roman" w:hAnsi="Times New Roman" w:cs="Times New Roman"/>
          <w:lang w:val="en-US" w:eastAsia="zh-CN"/>
        </w:rPr>
      </w:pPr>
    </w:p>
    <w:p w14:paraId="5798B6D7">
      <w:pPr>
        <w:pStyle w:val="3"/>
        <w:rPr>
          <w:rFonts w:hint="default" w:ascii="Times New Roman" w:hAnsi="Times New Roman" w:cs="Times New Roman"/>
          <w:lang w:val="en-US" w:eastAsia="zh-CN"/>
        </w:rPr>
      </w:pPr>
    </w:p>
    <w:p w14:paraId="3F44EF5C">
      <w:pPr>
        <w:rPr>
          <w:rFonts w:hint="default" w:ascii="Times New Roman" w:hAnsi="Times New Roman" w:cs="Times New Roman"/>
          <w:lang w:val="en-US" w:eastAsia="zh-CN"/>
        </w:rPr>
      </w:pPr>
    </w:p>
    <w:p w14:paraId="5F648990">
      <w:pPr>
        <w:rPr>
          <w:rFonts w:hint="default" w:ascii="Times New Roman" w:hAnsi="Times New Roman" w:cs="Times New Roman"/>
          <w:lang w:val="en-US" w:eastAsia="zh-CN"/>
        </w:rPr>
      </w:pPr>
    </w:p>
    <w:p w14:paraId="5F7AE175">
      <w:pPr>
        <w:rPr>
          <w:rFonts w:hint="default" w:ascii="Times New Roman" w:hAnsi="Times New Roman" w:cs="Times New Roman"/>
          <w:lang w:val="en-US" w:eastAsia="zh-CN"/>
        </w:rPr>
      </w:pPr>
    </w:p>
    <w:p w14:paraId="56A20B97">
      <w:pPr>
        <w:rPr>
          <w:rFonts w:hint="default" w:ascii="Times New Roman" w:hAnsi="Times New Roman" w:cs="Times New Roman"/>
          <w:lang w:val="en-US" w:eastAsia="zh-CN"/>
        </w:rPr>
      </w:pPr>
    </w:p>
    <w:p w14:paraId="70393ADD">
      <w:pPr>
        <w:rPr>
          <w:rFonts w:hint="default" w:ascii="Times New Roman" w:hAnsi="Times New Roman" w:cs="Times New Roman"/>
          <w:lang w:val="en-US" w:eastAsia="zh-CN"/>
        </w:rPr>
      </w:pPr>
    </w:p>
    <w:p w14:paraId="26107EDA">
      <w:pPr>
        <w:rPr>
          <w:rFonts w:hint="default" w:ascii="Times New Roman" w:hAnsi="Times New Roman" w:cs="Times New Roman"/>
          <w:lang w:val="en-US" w:eastAsia="zh-CN"/>
        </w:rPr>
      </w:pPr>
    </w:p>
    <w:p w14:paraId="258C31DB">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楷体_GB2312" w:hAnsi="楷体_GB2312" w:eastAsia="楷体_GB2312" w:cs="楷体_GB2312"/>
          <w:b w:val="0"/>
          <w:bCs/>
          <w:kern w:val="2"/>
          <w:sz w:val="32"/>
          <w:szCs w:val="32"/>
          <w:lang w:val="en-US" w:eastAsia="zh-CN" w:bidi="ar-SA"/>
        </w:rPr>
      </w:pPr>
      <w:r>
        <w:rPr>
          <w:rFonts w:hint="default" w:ascii="楷体_GB2312" w:hAnsi="楷体_GB2312" w:eastAsia="楷体_GB2312" w:cs="楷体_GB2312"/>
          <w:b w:val="0"/>
          <w:bCs/>
          <w:kern w:val="2"/>
          <w:sz w:val="32"/>
          <w:szCs w:val="32"/>
          <w:lang w:val="en-US" w:eastAsia="zh-CN" w:bidi="ar-SA"/>
        </w:rPr>
        <w:t>（三）工矿用地级别范围分布表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7733"/>
      </w:tblGrid>
      <w:tr w14:paraId="0BD1C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8" w:hRule="atLeast"/>
        </w:trPr>
        <w:tc>
          <w:tcPr>
            <w:tcW w:w="1270" w:type="dxa"/>
            <w:noWrap w:val="0"/>
            <w:vAlign w:val="center"/>
          </w:tcPr>
          <w:p w14:paraId="1E558092">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一级地</w:t>
            </w:r>
          </w:p>
        </w:tc>
        <w:tc>
          <w:tcPr>
            <w:tcW w:w="7733" w:type="dxa"/>
            <w:noWrap w:val="0"/>
            <w:vAlign w:val="center"/>
          </w:tcPr>
          <w:p w14:paraId="4EB9C87D">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eastAsia="zh-CN"/>
              </w:rPr>
            </w:pPr>
            <w:r>
              <w:rPr>
                <w:rFonts w:hint="default" w:ascii="Times New Roman" w:hAnsi="Times New Roman" w:eastAsia="仿宋_GB2312" w:cs="Times New Roman"/>
                <w:kern w:val="2"/>
                <w:sz w:val="28"/>
                <w:szCs w:val="28"/>
                <w:highlight w:val="none"/>
                <w:u w:val="none"/>
                <w:lang w:val="en-US" w:eastAsia="zh-CN" w:bidi="ar-SA"/>
              </w:rPr>
              <w:t>北至光明街，沿光明街向东至曹城路，沿曹城路、豪门路等向南至城南河，沿城南河向西至世纪大道，沿世纪大道向南至海峰街，沿海峰街向西至青山路，沿青山路、兴农巷等向北至光明街，该线范围内的土地。</w:t>
            </w:r>
          </w:p>
        </w:tc>
      </w:tr>
      <w:tr w14:paraId="2BB53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7" w:hRule="atLeast"/>
        </w:trPr>
        <w:tc>
          <w:tcPr>
            <w:tcW w:w="1270" w:type="dxa"/>
            <w:noWrap w:val="0"/>
            <w:vAlign w:val="center"/>
          </w:tcPr>
          <w:p w14:paraId="48AF226C">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二级地</w:t>
            </w:r>
          </w:p>
        </w:tc>
        <w:tc>
          <w:tcPr>
            <w:tcW w:w="7733" w:type="dxa"/>
            <w:noWrap w:val="0"/>
            <w:vAlign w:val="center"/>
          </w:tcPr>
          <w:p w14:paraId="45571AB3">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仿宋_GB2312" w:cs="Times New Roman"/>
                <w:sz w:val="28"/>
                <w:szCs w:val="28"/>
                <w:highlight w:val="none"/>
                <w:u w:val="none"/>
              </w:rPr>
            </w:pPr>
            <w:r>
              <w:rPr>
                <w:rFonts w:hint="default" w:ascii="Times New Roman" w:hAnsi="Times New Roman" w:eastAsia="仿宋_GB2312" w:cs="Times New Roman"/>
                <w:kern w:val="2"/>
                <w:sz w:val="28"/>
                <w:szCs w:val="28"/>
                <w:lang w:val="en-US" w:eastAsia="zh-CN" w:bidi="ar-SA"/>
              </w:rPr>
              <w:t>（1）</w:t>
            </w:r>
            <w:r>
              <w:rPr>
                <w:rFonts w:hint="default" w:ascii="Times New Roman" w:hAnsi="Times New Roman" w:eastAsia="仿宋_GB2312" w:cs="Times New Roman"/>
                <w:sz w:val="28"/>
                <w:szCs w:val="28"/>
                <w:highlight w:val="none"/>
                <w:u w:val="none"/>
                <w:lang w:val="en-US" w:eastAsia="zh-CN"/>
              </w:rPr>
              <w:t>北至金水街，沿金水街、规划路向东至浦东路，沿浦东路向南至开发街，沿开发街向西至西环路，沿西环路、北环路、夏村河等向北至金水街</w:t>
            </w:r>
            <w:r>
              <w:rPr>
                <w:rFonts w:hint="default" w:ascii="Times New Roman" w:hAnsi="Times New Roman" w:eastAsia="仿宋_GB2312" w:cs="Times New Roman"/>
                <w:sz w:val="28"/>
                <w:szCs w:val="28"/>
                <w:highlight w:val="none"/>
                <w:u w:val="none"/>
              </w:rPr>
              <w:t>，该</w:t>
            </w:r>
            <w:r>
              <w:rPr>
                <w:rFonts w:hint="default" w:ascii="Times New Roman" w:hAnsi="Times New Roman" w:eastAsia="仿宋_GB2312" w:cs="Times New Roman"/>
                <w:sz w:val="28"/>
                <w:szCs w:val="28"/>
                <w:highlight w:val="none"/>
                <w:u w:val="none"/>
                <w:lang w:val="en-US" w:eastAsia="zh-CN"/>
              </w:rPr>
              <w:t>线</w:t>
            </w:r>
            <w:r>
              <w:rPr>
                <w:rFonts w:hint="default" w:ascii="Times New Roman" w:hAnsi="Times New Roman" w:eastAsia="仿宋_GB2312" w:cs="Times New Roman"/>
                <w:sz w:val="28"/>
                <w:szCs w:val="28"/>
                <w:highlight w:val="none"/>
                <w:u w:val="none"/>
              </w:rPr>
              <w:t>范围内除一级地以外的土地。</w:t>
            </w:r>
          </w:p>
          <w:p w14:paraId="3ADFADB3">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kern w:val="2"/>
                <w:sz w:val="28"/>
                <w:szCs w:val="28"/>
                <w:lang w:val="en-US" w:eastAsia="zh-CN" w:bidi="ar-SA"/>
              </w:rPr>
              <w:t>（2）</w:t>
            </w:r>
            <w:r>
              <w:rPr>
                <w:rFonts w:hint="default" w:ascii="Times New Roman" w:hAnsi="Times New Roman" w:eastAsia="仿宋_GB2312" w:cs="Times New Roman"/>
                <w:sz w:val="28"/>
                <w:szCs w:val="28"/>
                <w:highlight w:val="none"/>
                <w:u w:val="none"/>
                <w:lang w:val="en-US" w:eastAsia="zh-CN"/>
              </w:rPr>
              <w:t>北至海城街，沿海城街向东至世纪大道，沿世纪大道、规划路、海陆分界线向南、向西至乳山口港（黄海海岸），沿乳山口港（黄海海岸）、海陆分界线向北至县道041，沿县道041、沿城镇开发边界向北、向东至创业二路，沿创业二路向北至台湾路，沿台湾路、城镇开发边界向西、向北至惠民街，沿惠民街向东至山海大道，沿山海大道向北至海城街，该线范围内的土地。</w:t>
            </w:r>
          </w:p>
          <w:p w14:paraId="3C0DAC29">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Chars="0" w:right="0" w:rightChars="0"/>
              <w:jc w:val="both"/>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u w:val="none"/>
                <w:lang w:val="en-US" w:eastAsia="zh-CN"/>
              </w:rPr>
              <w:t>（3）北至台湾东路，沿台湾东路、农村道路向东至银金大道，沿银金大道、城镇开发边界等向南、向东至徐家河，沿徐家河向南至黄海，沿黄海海岸向西至黄海路（规划路），沿黄海路（规划路）、城镇开发边界、中海路等向北至昆仑山路，沿昆仑山路向西至能源路，沿能源路向北至台湾东路，该线范围内的土地</w:t>
            </w:r>
            <w:r>
              <w:rPr>
                <w:rFonts w:hint="default" w:ascii="Times New Roman" w:hAnsi="Times New Roman" w:eastAsia="仿宋_GB2312" w:cs="Times New Roman"/>
                <w:sz w:val="28"/>
                <w:szCs w:val="28"/>
                <w:highlight w:val="none"/>
                <w:u w:val="none"/>
              </w:rPr>
              <w:t>。</w:t>
            </w:r>
          </w:p>
          <w:p w14:paraId="30B10E82">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Chars="0" w:right="0" w:rightChars="0"/>
              <w:jc w:val="both"/>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sz w:val="28"/>
                <w:szCs w:val="28"/>
                <w:highlight w:val="none"/>
                <w:u w:val="none"/>
                <w:lang w:val="en-US" w:eastAsia="zh-CN"/>
              </w:rPr>
              <w:t>（4）</w:t>
            </w:r>
            <w:r>
              <w:rPr>
                <w:rFonts w:hint="default" w:ascii="Times New Roman" w:hAnsi="Times New Roman" w:eastAsia="仿宋_GB2312" w:cs="Times New Roman"/>
                <w:sz w:val="28"/>
                <w:szCs w:val="28"/>
                <w:highlight w:val="none"/>
              </w:rPr>
              <w:t>宫家岛、大乳山滨海旅游度假区范围内的土地。</w:t>
            </w:r>
          </w:p>
        </w:tc>
      </w:tr>
      <w:tr w14:paraId="12C95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0" w:hRule="atLeast"/>
        </w:trPr>
        <w:tc>
          <w:tcPr>
            <w:tcW w:w="1270" w:type="dxa"/>
            <w:noWrap w:val="0"/>
            <w:vAlign w:val="center"/>
          </w:tcPr>
          <w:p w14:paraId="111FDCEF">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三级地</w:t>
            </w:r>
          </w:p>
        </w:tc>
        <w:tc>
          <w:tcPr>
            <w:tcW w:w="7733" w:type="dxa"/>
            <w:noWrap w:val="0"/>
            <w:vAlign w:val="center"/>
          </w:tcPr>
          <w:p w14:paraId="6AFE9AFE">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left="0" w:leftChars="0"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lang w:val="en-US" w:eastAsia="zh-CN" w:bidi="ar-SA"/>
              </w:rPr>
              <w:t>（1）</w:t>
            </w:r>
            <w:r>
              <w:rPr>
                <w:rFonts w:hint="default" w:ascii="Times New Roman" w:hAnsi="Times New Roman" w:eastAsia="仿宋_GB2312" w:cs="Times New Roman"/>
                <w:kern w:val="2"/>
                <w:sz w:val="28"/>
                <w:szCs w:val="28"/>
                <w:highlight w:val="none"/>
                <w:u w:val="none"/>
                <w:lang w:val="en-US" w:eastAsia="zh-CN" w:bidi="ar-SA"/>
              </w:rPr>
              <w:t>北至黄依台村北，沿黄依台村北向东至青山北路，沿青山北路、城镇开发边界等向南、向东至长庆路，沿长庆路、城镇开发边界向南、向东至青威一级路（G1813），沿青威一级路（G1813）向西至世纪大道，沿世纪大道向南至莱荣高铁，沿莱荣高铁向东至能源路，沿能源路、锯河向南至台湾路，沿台湾路向东至能源路，沿能源路向南至黄海，沿黄海海岸、海陆分界线向西、向北至世纪大道，沿世纪大道向北至海城街，沿海城街向西至山海大道，沿山海大道向南至惠民街，沿惠民街向西至城镇开发边界，沿城镇开发边界向北至三亚路，沿三亚路、城镇开发边界、夏村河向北至黄依台村北，该线范围内除一级地、二级地以外的土地。</w:t>
            </w:r>
          </w:p>
          <w:p w14:paraId="3A0CBAF5">
            <w:pPr>
              <w:keepNext w:val="0"/>
              <w:keepLines w:val="0"/>
              <w:pageBreakBefore w:val="0"/>
              <w:widowControl w:val="0"/>
              <w:numPr>
                <w:ilvl w:val="0"/>
                <w:numId w:val="0"/>
              </w:numPr>
              <w:kinsoku/>
              <w:wordWrap/>
              <w:overflowPunct/>
              <w:topLinePunct w:val="0"/>
              <w:autoSpaceDE/>
              <w:autoSpaceDN/>
              <w:bidi w:val="0"/>
              <w:adjustRightInd w:val="0"/>
              <w:snapToGrid w:val="0"/>
              <w:spacing w:line="500" w:lineRule="exact"/>
              <w:ind w:right="0" w:rightChars="0"/>
              <w:jc w:val="both"/>
              <w:textAlignment w:val="auto"/>
              <w:outlineLvl w:val="9"/>
              <w:rPr>
                <w:rFonts w:hint="default" w:ascii="Times New Roman" w:hAnsi="Times New Roman" w:eastAsia="仿宋_GB2312" w:cs="Times New Roman"/>
                <w:sz w:val="28"/>
                <w:szCs w:val="28"/>
                <w:highlight w:val="none"/>
                <w:lang w:val="en-US"/>
              </w:rPr>
            </w:pPr>
            <w:r>
              <w:rPr>
                <w:rFonts w:hint="default" w:ascii="Times New Roman" w:hAnsi="Times New Roman" w:eastAsia="仿宋_GB2312" w:cs="Times New Roman"/>
                <w:kern w:val="2"/>
                <w:sz w:val="28"/>
                <w:szCs w:val="28"/>
                <w:highlight w:val="none"/>
                <w:u w:val="none"/>
                <w:lang w:val="en-US" w:eastAsia="zh-CN" w:bidi="ar-SA"/>
              </w:rPr>
              <w:t>（2）徐家镇、下初镇、诸往镇：城镇开发边界内的土地。</w:t>
            </w:r>
          </w:p>
        </w:tc>
      </w:tr>
      <w:tr w14:paraId="440B6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1270" w:type="dxa"/>
            <w:noWrap w:val="0"/>
            <w:vAlign w:val="center"/>
          </w:tcPr>
          <w:p w14:paraId="1EAF6FD3">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u w:val="none"/>
                <w:lang w:val="en-US" w:eastAsia="zh-CN"/>
              </w:rPr>
            </w:pPr>
            <w:r>
              <w:rPr>
                <w:rFonts w:hint="default" w:ascii="Times New Roman" w:hAnsi="Times New Roman" w:eastAsia="楷体_GB2312" w:cs="Times New Roman"/>
                <w:b w:val="0"/>
                <w:bCs w:val="0"/>
                <w:sz w:val="28"/>
                <w:szCs w:val="28"/>
                <w:highlight w:val="none"/>
                <w:u w:val="none"/>
                <w:lang w:val="en-US" w:eastAsia="zh-CN"/>
              </w:rPr>
              <w:t>四级地</w:t>
            </w:r>
          </w:p>
        </w:tc>
        <w:tc>
          <w:tcPr>
            <w:tcW w:w="7733" w:type="dxa"/>
            <w:noWrap w:val="0"/>
            <w:vAlign w:val="center"/>
          </w:tcPr>
          <w:p w14:paraId="6A6C0AA3">
            <w:pPr>
              <w:pStyle w:val="2"/>
              <w:ind w:left="0" w:leftChars="0" w:firstLine="0" w:firstLineChars="0"/>
              <w:rPr>
                <w:rFonts w:hint="default" w:ascii="Times New Roman" w:hAnsi="Times New Roman" w:eastAsia="仿宋_GB2312" w:cs="Times New Roman"/>
                <w:sz w:val="28"/>
                <w:szCs w:val="28"/>
                <w:highlight w:val="none"/>
                <w:u w:val="none"/>
                <w:lang w:val="en-US" w:eastAsia="zh-CN"/>
              </w:rPr>
            </w:pPr>
            <w:r>
              <w:rPr>
                <w:rFonts w:hint="default" w:ascii="Times New Roman" w:hAnsi="Times New Roman" w:eastAsia="仿宋_GB2312" w:cs="Times New Roman"/>
                <w:sz w:val="28"/>
                <w:szCs w:val="28"/>
                <w:highlight w:val="none"/>
                <w:u w:val="none"/>
                <w:lang w:val="en-US" w:eastAsia="zh-CN"/>
              </w:rPr>
              <w:t>一、二、三级地以外的土地。</w:t>
            </w:r>
          </w:p>
        </w:tc>
      </w:tr>
    </w:tbl>
    <w:p w14:paraId="37E6F95D">
      <w:pPr>
        <w:jc w:val="both"/>
        <w:rPr>
          <w:rFonts w:hint="default" w:ascii="Times New Roman" w:hAnsi="Times New Roman" w:eastAsia="CESI楷体-GB2312" w:cs="Times New Roman"/>
          <w:b w:val="0"/>
          <w:bCs/>
          <w:kern w:val="2"/>
          <w:sz w:val="32"/>
          <w:szCs w:val="32"/>
          <w:lang w:val="en-US" w:eastAsia="zh-CN" w:bidi="ar-SA"/>
        </w:rPr>
      </w:pPr>
    </w:p>
    <w:p w14:paraId="5787E8C5">
      <w:pPr>
        <w:jc w:val="both"/>
        <w:rPr>
          <w:rFonts w:hint="default" w:ascii="Times New Roman" w:hAnsi="Times New Roman" w:eastAsia="CESI楷体-GB2312" w:cs="Times New Roman"/>
          <w:b w:val="0"/>
          <w:bCs/>
          <w:kern w:val="2"/>
          <w:sz w:val="32"/>
          <w:szCs w:val="32"/>
          <w:lang w:val="en-US" w:eastAsia="zh-CN" w:bidi="ar-SA"/>
        </w:rPr>
      </w:pPr>
    </w:p>
    <w:p w14:paraId="4923DFEF">
      <w:pPr>
        <w:jc w:val="both"/>
        <w:rPr>
          <w:rFonts w:hint="default" w:ascii="Times New Roman" w:hAnsi="Times New Roman" w:eastAsia="CESI楷体-GB2312" w:cs="Times New Roman"/>
          <w:b w:val="0"/>
          <w:bCs/>
          <w:kern w:val="2"/>
          <w:sz w:val="32"/>
          <w:szCs w:val="32"/>
          <w:lang w:val="en-US" w:eastAsia="zh-CN" w:bidi="ar-SA"/>
        </w:rPr>
      </w:pPr>
    </w:p>
    <w:p w14:paraId="0A593D24">
      <w:pPr>
        <w:jc w:val="both"/>
        <w:rPr>
          <w:rFonts w:hint="default" w:ascii="Times New Roman" w:hAnsi="Times New Roman" w:eastAsia="CESI楷体-GB2312" w:cs="Times New Roman"/>
          <w:b w:val="0"/>
          <w:bCs/>
          <w:kern w:val="2"/>
          <w:sz w:val="32"/>
          <w:szCs w:val="32"/>
          <w:lang w:val="en-US" w:eastAsia="zh-CN" w:bidi="ar-SA"/>
        </w:rPr>
      </w:pPr>
    </w:p>
    <w:p w14:paraId="483E0881">
      <w:pPr>
        <w:jc w:val="both"/>
        <w:rPr>
          <w:rFonts w:hint="default" w:ascii="Times New Roman" w:hAnsi="Times New Roman" w:eastAsia="CESI楷体-GB2312" w:cs="Times New Roman"/>
          <w:b w:val="0"/>
          <w:bCs/>
          <w:kern w:val="2"/>
          <w:sz w:val="32"/>
          <w:szCs w:val="32"/>
          <w:lang w:val="en-US" w:eastAsia="zh-CN" w:bidi="ar-SA"/>
        </w:rPr>
      </w:pPr>
    </w:p>
    <w:p w14:paraId="4D72B2BD">
      <w:pPr>
        <w:jc w:val="both"/>
        <w:rPr>
          <w:rFonts w:hint="default" w:ascii="Times New Roman" w:hAnsi="Times New Roman" w:eastAsia="CESI楷体-GB2312" w:cs="Times New Roman"/>
          <w:b w:val="0"/>
          <w:bCs/>
          <w:kern w:val="2"/>
          <w:sz w:val="32"/>
          <w:szCs w:val="32"/>
          <w:lang w:val="en-US" w:eastAsia="zh-CN" w:bidi="ar-SA"/>
        </w:rPr>
      </w:pPr>
    </w:p>
    <w:p w14:paraId="0950C419">
      <w:pPr>
        <w:jc w:val="both"/>
        <w:rPr>
          <w:rFonts w:hint="default" w:ascii="Times New Roman" w:hAnsi="Times New Roman" w:eastAsia="CESI楷体-GB2312" w:cs="Times New Roman"/>
          <w:b w:val="0"/>
          <w:bCs/>
          <w:kern w:val="2"/>
          <w:sz w:val="32"/>
          <w:szCs w:val="32"/>
          <w:lang w:val="en-US" w:eastAsia="zh-CN" w:bidi="ar-SA"/>
        </w:rPr>
      </w:pPr>
    </w:p>
    <w:p w14:paraId="39EC0D81">
      <w:pPr>
        <w:jc w:val="both"/>
        <w:rPr>
          <w:rFonts w:hint="default" w:ascii="Times New Roman" w:hAnsi="Times New Roman" w:eastAsia="CESI楷体-GB2312" w:cs="Times New Roman"/>
          <w:b w:val="0"/>
          <w:bCs/>
          <w:kern w:val="2"/>
          <w:sz w:val="32"/>
          <w:szCs w:val="32"/>
          <w:lang w:val="en-US" w:eastAsia="zh-CN" w:bidi="ar-SA"/>
        </w:rPr>
      </w:pPr>
    </w:p>
    <w:p w14:paraId="4C3E1685">
      <w:pPr>
        <w:jc w:val="both"/>
        <w:rPr>
          <w:rFonts w:hint="default" w:ascii="Times New Roman" w:hAnsi="Times New Roman" w:eastAsia="CESI楷体-GB2312" w:cs="Times New Roman"/>
          <w:b w:val="0"/>
          <w:bCs/>
          <w:kern w:val="2"/>
          <w:sz w:val="32"/>
          <w:szCs w:val="32"/>
          <w:lang w:val="en-US" w:eastAsia="zh-CN" w:bidi="ar-SA"/>
        </w:rPr>
      </w:pPr>
    </w:p>
    <w:p w14:paraId="31F8D9F0">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楷体_GB2312" w:hAnsi="楷体_GB2312" w:eastAsia="楷体_GB2312" w:cs="楷体_GB2312"/>
          <w:b w:val="0"/>
          <w:bCs/>
          <w:kern w:val="2"/>
          <w:sz w:val="32"/>
          <w:szCs w:val="32"/>
          <w:lang w:val="en-US" w:eastAsia="zh-CN" w:bidi="ar-SA"/>
        </w:rPr>
      </w:pPr>
      <w:r>
        <w:rPr>
          <w:rFonts w:hint="default" w:ascii="楷体_GB2312" w:hAnsi="楷体_GB2312" w:eastAsia="楷体_GB2312" w:cs="楷体_GB2312"/>
          <w:b w:val="0"/>
          <w:bCs/>
          <w:kern w:val="2"/>
          <w:sz w:val="32"/>
          <w:szCs w:val="32"/>
          <w:lang w:val="en-US" w:eastAsia="zh-CN" w:bidi="ar-SA"/>
        </w:rPr>
        <w:t>（四）公共管理与公共服务用地级别范围分布表</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7733"/>
      </w:tblGrid>
      <w:tr w14:paraId="5605B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9" w:hRule="atLeast"/>
        </w:trPr>
        <w:tc>
          <w:tcPr>
            <w:tcW w:w="1270" w:type="dxa"/>
            <w:noWrap w:val="0"/>
            <w:vAlign w:val="center"/>
          </w:tcPr>
          <w:p w14:paraId="252922FE">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一级地</w:t>
            </w:r>
          </w:p>
        </w:tc>
        <w:tc>
          <w:tcPr>
            <w:tcW w:w="7733" w:type="dxa"/>
            <w:noWrap w:val="0"/>
            <w:vAlign w:val="center"/>
          </w:tcPr>
          <w:p w14:paraId="2F678648">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lang w:val="en-US" w:eastAsia="zh-CN" w:bidi="ar-SA"/>
              </w:rPr>
              <w:t>（1）</w:t>
            </w:r>
            <w:r>
              <w:rPr>
                <w:rFonts w:hint="default" w:ascii="Times New Roman" w:hAnsi="Times New Roman" w:eastAsia="仿宋_GB2312" w:cs="Times New Roman"/>
                <w:kern w:val="2"/>
                <w:sz w:val="28"/>
                <w:szCs w:val="28"/>
                <w:highlight w:val="none"/>
                <w:u w:val="none"/>
                <w:lang w:val="en-US" w:eastAsia="zh-CN" w:bidi="ar-SA"/>
              </w:rPr>
              <w:t>北至北环路，沿北环路向东至长庆路，沿长庆路、城镇开发边界向南至胜利东街，沿胜利东街向东、向南至天津路，沿天津路向西至昌平路，沿昌平路向南至营口路，沿营口路向西至深圳路，沿深圳路向南至幸福二路，沿幸福二路向西至世纪大道，沿世纪大道向北至海峰街，沿海峰街向西至青山路，沿青山路、兴农巷等向北至北环路，该线范围内的土地。</w:t>
            </w:r>
          </w:p>
          <w:p w14:paraId="14836C40">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u w:val="none"/>
                <w:lang w:eastAsia="zh-CN"/>
              </w:rPr>
            </w:pPr>
            <w:r>
              <w:rPr>
                <w:rFonts w:hint="default" w:ascii="Times New Roman" w:hAnsi="Times New Roman" w:eastAsia="仿宋_GB2312" w:cs="Times New Roman"/>
                <w:kern w:val="2"/>
                <w:sz w:val="28"/>
                <w:szCs w:val="28"/>
                <w:lang w:val="en-US" w:eastAsia="zh-CN" w:bidi="ar-SA"/>
              </w:rPr>
              <w:t>（2）</w:t>
            </w:r>
            <w:r>
              <w:rPr>
                <w:rFonts w:hint="default" w:ascii="Times New Roman" w:hAnsi="Times New Roman" w:eastAsia="仿宋_GB2312" w:cs="Times New Roman"/>
                <w:kern w:val="2"/>
                <w:sz w:val="28"/>
                <w:szCs w:val="28"/>
                <w:highlight w:val="none"/>
                <w:u w:val="none"/>
                <w:lang w:val="en-US" w:eastAsia="zh-CN" w:bidi="ar-SA"/>
              </w:rPr>
              <w:t>北至武夷山路，沿武夷山路向东至西湖路，沿西湖路向南至长江路，沿长江路向西至金银大道，沿金银大道向北至武夷山路，该线范围内的土地。</w:t>
            </w:r>
          </w:p>
        </w:tc>
      </w:tr>
      <w:tr w14:paraId="54014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1270" w:type="dxa"/>
            <w:noWrap w:val="0"/>
            <w:vAlign w:val="center"/>
          </w:tcPr>
          <w:p w14:paraId="5CA26988">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二级地</w:t>
            </w:r>
          </w:p>
        </w:tc>
        <w:tc>
          <w:tcPr>
            <w:tcW w:w="7733" w:type="dxa"/>
            <w:noWrap w:val="0"/>
            <w:vAlign w:val="center"/>
          </w:tcPr>
          <w:p w14:paraId="6895F8FE">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1）北至金水街，沿金水街、规划路向东至长庆路，沿长庆路、城镇开发边界向南至青威一级路（G1813），沿青威一级路（G1813）向西至广州路，沿广州路向西至湛江路，沿湛江路、西环路、夏村河等向北、向东至金水街，该线范围内除一级地以外的土地。</w:t>
            </w:r>
          </w:p>
          <w:p w14:paraId="11426FF9">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2）北至台湾东路，沿台湾东路、农村道路向东至银金大道，沿银金大道、城镇开发边界等向南、向东至徐家河，沿徐家河向南至黄海，沿黄海海岸向西至黄海路（规划路），沿黄海路（规划路）、城镇开发边界、中海路等向北至昆仑山路，沿昆仑山路向西至能源路，沿能源路向北至台湾东路，该线范围内除一级地以外的土地。</w:t>
            </w:r>
          </w:p>
          <w:p w14:paraId="1539564A">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kern w:val="2"/>
                <w:sz w:val="28"/>
                <w:szCs w:val="28"/>
                <w:highlight w:val="none"/>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（3）宫家岛、大乳山滨海旅游度假区范围内的土地。</w:t>
            </w:r>
          </w:p>
          <w:p w14:paraId="64703F91">
            <w:pPr>
              <w:pStyle w:val="15"/>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right="0" w:rightChars="0"/>
              <w:jc w:val="both"/>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kern w:val="2"/>
                <w:sz w:val="28"/>
                <w:szCs w:val="28"/>
                <w:highlight w:val="none"/>
                <w:u w:val="none"/>
                <w:lang w:val="en-US" w:eastAsia="zh-CN" w:bidi="ar-SA"/>
              </w:rPr>
              <w:t>（4）徐家镇：城镇开发边界内的土地。</w:t>
            </w:r>
          </w:p>
        </w:tc>
      </w:tr>
      <w:tr w14:paraId="00F30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3" w:hRule="atLeast"/>
        </w:trPr>
        <w:tc>
          <w:tcPr>
            <w:tcW w:w="1270" w:type="dxa"/>
            <w:noWrap w:val="0"/>
            <w:vAlign w:val="center"/>
          </w:tcPr>
          <w:p w14:paraId="4D306656">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rPr>
            </w:pPr>
            <w:r>
              <w:rPr>
                <w:rFonts w:hint="default" w:ascii="Times New Roman" w:hAnsi="Times New Roman" w:eastAsia="楷体_GB2312" w:cs="Times New Roman"/>
                <w:b w:val="0"/>
                <w:bCs w:val="0"/>
                <w:sz w:val="28"/>
                <w:szCs w:val="28"/>
                <w:highlight w:val="none"/>
                <w:u w:val="none"/>
                <w:lang w:val="en-US" w:eastAsia="zh-CN"/>
              </w:rPr>
              <w:t>三级地</w:t>
            </w:r>
          </w:p>
        </w:tc>
        <w:tc>
          <w:tcPr>
            <w:tcW w:w="7733" w:type="dxa"/>
            <w:noWrap w:val="0"/>
            <w:vAlign w:val="center"/>
          </w:tcPr>
          <w:p w14:paraId="3E11A0DB">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仿宋_GB2312" w:cs="Times New Roman"/>
                <w:sz w:val="28"/>
                <w:szCs w:val="28"/>
                <w:highlight w:val="none"/>
              </w:rPr>
            </w:pPr>
            <w:r>
              <w:rPr>
                <w:rFonts w:hint="default" w:ascii="Times New Roman" w:hAnsi="Times New Roman" w:eastAsia="仿宋_GB2312" w:cs="Times New Roman"/>
                <w:kern w:val="2"/>
                <w:sz w:val="28"/>
                <w:szCs w:val="28"/>
                <w:lang w:val="en-US" w:eastAsia="zh-CN" w:bidi="ar-SA"/>
              </w:rPr>
              <w:t>（1）</w:t>
            </w:r>
            <w:r>
              <w:rPr>
                <w:rFonts w:hint="default" w:ascii="Times New Roman" w:hAnsi="Times New Roman" w:eastAsia="仿宋_GB2312" w:cs="Times New Roman"/>
                <w:sz w:val="28"/>
                <w:szCs w:val="28"/>
                <w:highlight w:val="none"/>
                <w:u w:val="none"/>
                <w:lang w:val="en-US" w:eastAsia="zh-CN"/>
              </w:rPr>
              <w:t>城区街道、夏村镇夏村河、金水街以北的城镇开发边界内的全部土地。</w:t>
            </w:r>
          </w:p>
          <w:p w14:paraId="7597C98D">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仿宋_GB2312" w:cs="Times New Roman"/>
                <w:sz w:val="28"/>
                <w:szCs w:val="28"/>
                <w:lang w:val="en-US"/>
              </w:rPr>
            </w:pPr>
            <w:r>
              <w:rPr>
                <w:rFonts w:hint="default" w:ascii="Times New Roman" w:hAnsi="Times New Roman" w:eastAsia="仿宋_GB2312" w:cs="Times New Roman"/>
                <w:kern w:val="2"/>
                <w:sz w:val="28"/>
                <w:szCs w:val="28"/>
                <w:lang w:val="en-US" w:eastAsia="zh-CN" w:bidi="ar-SA"/>
              </w:rPr>
              <w:t>（2）</w:t>
            </w:r>
            <w:r>
              <w:rPr>
                <w:rFonts w:hint="default" w:ascii="Times New Roman" w:hAnsi="Times New Roman" w:eastAsia="仿宋_GB2312" w:cs="Times New Roman"/>
                <w:sz w:val="28"/>
                <w:szCs w:val="28"/>
                <w:highlight w:val="none"/>
                <w:u w:val="none"/>
                <w:lang w:val="en-US" w:eastAsia="zh-CN"/>
              </w:rPr>
              <w:t>北至夏村河，沿夏村河向东至西环路，沿西环路、湛江路向南至广州路，沿广州路向东至青威一级路（G1813），沿青威一级路（G1813）向南至世纪大道，沿世纪大道向南至莱荣高铁，沿莱荣高铁向东至能源路，沿能源路、锯河向南至台湾路，沿台湾路向东至能源路，沿能源路向南至黄海，沿黄海海岸向西至乳山口港（黄海海岸），沿乳山口港（黄海海岸）、海陆分界线向北至县道041，沿县道041、城镇开发边界向北、向东至创业二路，沿创业二路向北至台湾路，沿台湾路、城镇开发边界等向西、向北至三亚路，沿三亚路、城镇开发边界向北、向东至夏村河，该范围内的土地。</w:t>
            </w:r>
          </w:p>
          <w:p w14:paraId="522C327C">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仿宋_GB2312" w:cs="Times New Roman"/>
                <w:sz w:val="28"/>
                <w:szCs w:val="28"/>
                <w:lang w:val="en-US"/>
              </w:rPr>
            </w:pPr>
            <w:r>
              <w:rPr>
                <w:rFonts w:hint="default" w:ascii="Times New Roman" w:hAnsi="Times New Roman" w:eastAsia="仿宋_GB2312" w:cs="Times New Roman"/>
                <w:kern w:val="2"/>
                <w:sz w:val="28"/>
                <w:szCs w:val="28"/>
                <w:lang w:val="en-US" w:eastAsia="zh-CN" w:bidi="ar-SA"/>
              </w:rPr>
              <w:t>（3）</w:t>
            </w:r>
            <w:r>
              <w:rPr>
                <w:rFonts w:hint="default" w:ascii="Times New Roman" w:hAnsi="Times New Roman" w:eastAsia="仿宋_GB2312" w:cs="Times New Roman"/>
                <w:kern w:val="2"/>
                <w:sz w:val="28"/>
                <w:szCs w:val="28"/>
                <w:highlight w:val="none"/>
                <w:u w:val="none"/>
                <w:lang w:val="en-US" w:eastAsia="zh-CN" w:bidi="ar-SA"/>
              </w:rPr>
              <w:t>南黄镇：</w:t>
            </w:r>
            <w:r>
              <w:rPr>
                <w:rFonts w:hint="default" w:ascii="Times New Roman" w:hAnsi="Times New Roman" w:eastAsia="仿宋_GB2312" w:cs="Times New Roman"/>
                <w:sz w:val="28"/>
                <w:szCs w:val="28"/>
                <w:highlight w:val="none"/>
                <w:lang w:val="en-US" w:eastAsia="zh-CN"/>
              </w:rPr>
              <w:t>城镇开发边界内的</w:t>
            </w:r>
            <w:r>
              <w:rPr>
                <w:rFonts w:hint="default" w:ascii="Times New Roman" w:hAnsi="Times New Roman" w:eastAsia="仿宋_GB2312" w:cs="Times New Roman"/>
                <w:kern w:val="2"/>
                <w:sz w:val="28"/>
                <w:szCs w:val="28"/>
                <w:highlight w:val="none"/>
                <w:u w:val="none"/>
                <w:lang w:val="en-US" w:eastAsia="zh-CN" w:bidi="ar-SA"/>
              </w:rPr>
              <w:t>土地。</w:t>
            </w:r>
          </w:p>
        </w:tc>
      </w:tr>
      <w:tr w14:paraId="6CBB0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trPr>
        <w:tc>
          <w:tcPr>
            <w:tcW w:w="1270" w:type="dxa"/>
            <w:noWrap w:val="0"/>
            <w:vAlign w:val="center"/>
          </w:tcPr>
          <w:p w14:paraId="4FAFA9CA">
            <w:pPr>
              <w:pStyle w:val="14"/>
              <w:keepNext w:val="0"/>
              <w:keepLines w:val="0"/>
              <w:pageBreakBefore w:val="0"/>
              <w:widowControl w:val="0"/>
              <w:kinsoku/>
              <w:wordWrap/>
              <w:overflowPunct/>
              <w:topLinePunct w:val="0"/>
              <w:autoSpaceDE/>
              <w:autoSpaceDN/>
              <w:bidi w:val="0"/>
              <w:adjustRightInd w:val="0"/>
              <w:snapToGrid w:val="0"/>
              <w:spacing w:line="460" w:lineRule="exact"/>
              <w:ind w:left="0" w:leftChars="0" w:right="0" w:rightChars="0" w:firstLine="0" w:firstLineChars="0"/>
              <w:jc w:val="center"/>
              <w:textAlignment w:val="auto"/>
              <w:outlineLvl w:val="9"/>
              <w:rPr>
                <w:rFonts w:hint="default" w:ascii="Times New Roman" w:hAnsi="Times New Roman" w:eastAsia="楷体_GB2312" w:cs="Times New Roman"/>
                <w:sz w:val="24"/>
                <w:szCs w:val="24"/>
                <w:highlight w:val="none"/>
                <w:u w:val="none"/>
                <w:lang w:val="en-US" w:eastAsia="zh-CN"/>
              </w:rPr>
            </w:pPr>
            <w:r>
              <w:rPr>
                <w:rFonts w:hint="default" w:ascii="Times New Roman" w:hAnsi="Times New Roman" w:eastAsia="楷体_GB2312" w:cs="Times New Roman"/>
                <w:b w:val="0"/>
                <w:bCs w:val="0"/>
                <w:sz w:val="28"/>
                <w:szCs w:val="28"/>
                <w:highlight w:val="none"/>
                <w:u w:val="none"/>
                <w:lang w:val="en-US" w:eastAsia="zh-CN"/>
              </w:rPr>
              <w:t>四级地</w:t>
            </w:r>
          </w:p>
        </w:tc>
        <w:tc>
          <w:tcPr>
            <w:tcW w:w="7733" w:type="dxa"/>
            <w:noWrap w:val="0"/>
            <w:vAlign w:val="center"/>
          </w:tcPr>
          <w:p w14:paraId="2BDF26CB">
            <w:pPr>
              <w:keepNext w:val="0"/>
              <w:keepLines w:val="0"/>
              <w:pageBreakBefore w:val="0"/>
              <w:widowControl w:val="0"/>
              <w:numPr>
                <w:ilvl w:val="0"/>
                <w:numId w:val="0"/>
              </w:numPr>
              <w:kinsoku/>
              <w:wordWrap/>
              <w:overflowPunct/>
              <w:topLinePunct w:val="0"/>
              <w:autoSpaceDE/>
              <w:autoSpaceDN/>
              <w:bidi w:val="0"/>
              <w:adjustRightInd w:val="0"/>
              <w:snapToGrid w:val="0"/>
              <w:spacing w:line="460" w:lineRule="exact"/>
              <w:ind w:leftChars="0" w:right="0" w:rightChars="0"/>
              <w:jc w:val="both"/>
              <w:textAlignment w:val="auto"/>
              <w:outlineLvl w:val="9"/>
              <w:rPr>
                <w:rFonts w:hint="default" w:ascii="Times New Roman" w:hAnsi="Times New Roman" w:eastAsia="仿宋_GB2312" w:cs="Times New Roman"/>
                <w:kern w:val="2"/>
                <w:sz w:val="28"/>
                <w:szCs w:val="28"/>
                <w:highlight w:val="green"/>
                <w:u w:val="none"/>
                <w:lang w:val="en-US" w:eastAsia="zh-CN" w:bidi="ar-SA"/>
              </w:rPr>
            </w:pPr>
            <w:r>
              <w:rPr>
                <w:rFonts w:hint="default" w:ascii="Times New Roman" w:hAnsi="Times New Roman" w:eastAsia="仿宋_GB2312" w:cs="Times New Roman"/>
                <w:kern w:val="2"/>
                <w:sz w:val="28"/>
                <w:szCs w:val="28"/>
                <w:highlight w:val="none"/>
                <w:u w:val="none"/>
                <w:lang w:val="en-US" w:eastAsia="zh-CN" w:bidi="ar-SA"/>
              </w:rPr>
              <w:t>一、二、三级地以外的土地。</w:t>
            </w:r>
          </w:p>
        </w:tc>
      </w:tr>
    </w:tbl>
    <w:p w14:paraId="126DF3F5">
      <w:pPr>
        <w:rPr>
          <w:rFonts w:hint="default" w:ascii="Times New Roman" w:hAnsi="Times New Roman" w:cs="Times New Roman"/>
        </w:rPr>
      </w:pPr>
    </w:p>
    <w:p w14:paraId="07EA4919">
      <w:pPr>
        <w:keepNext w:val="0"/>
        <w:keepLines w:val="0"/>
        <w:widowControl/>
        <w:suppressLineNumbers w:val="0"/>
        <w:jc w:val="left"/>
        <w:rPr>
          <w:rFonts w:hint="default" w:ascii="Times New Roman" w:hAnsi="Times New Roman" w:eastAsia="方正仿宋_GB2312" w:cs="Times New Roman"/>
          <w:b w:val="0"/>
          <w:bCs/>
          <w:sz w:val="32"/>
          <w:szCs w:val="32"/>
          <w:lang w:val="en-US" w:eastAsia="zh-CN"/>
        </w:rPr>
      </w:pPr>
    </w:p>
    <w:p w14:paraId="03942EF2">
      <w:pPr>
        <w:keepNext w:val="0"/>
        <w:keepLines w:val="0"/>
        <w:widowControl/>
        <w:suppressLineNumbers w:val="0"/>
        <w:jc w:val="left"/>
        <w:rPr>
          <w:rFonts w:hint="default" w:ascii="Times New Roman" w:hAnsi="Times New Roman" w:eastAsia="方正仿宋_GB2312" w:cs="Times New Roman"/>
          <w:b w:val="0"/>
          <w:bCs/>
          <w:sz w:val="32"/>
          <w:szCs w:val="32"/>
          <w:lang w:val="en-US" w:eastAsia="zh-CN"/>
        </w:rPr>
      </w:pPr>
    </w:p>
    <w:p w14:paraId="2847F11F">
      <w:pPr>
        <w:keepNext w:val="0"/>
        <w:keepLines w:val="0"/>
        <w:widowControl/>
        <w:suppressLineNumbers w:val="0"/>
        <w:jc w:val="left"/>
        <w:rPr>
          <w:rFonts w:hint="default" w:ascii="Times New Roman" w:hAnsi="Times New Roman" w:eastAsia="方正仿宋_GB2312" w:cs="Times New Roman"/>
          <w:b w:val="0"/>
          <w:bCs/>
          <w:sz w:val="32"/>
          <w:szCs w:val="32"/>
          <w:lang w:val="en-US" w:eastAsia="zh-CN"/>
        </w:rPr>
      </w:pPr>
    </w:p>
    <w:p w14:paraId="4DDB6823">
      <w:pPr>
        <w:keepNext w:val="0"/>
        <w:keepLines w:val="0"/>
        <w:widowControl/>
        <w:suppressLineNumbers w:val="0"/>
        <w:jc w:val="left"/>
        <w:rPr>
          <w:rFonts w:hint="default" w:ascii="Times New Roman" w:hAnsi="Times New Roman" w:eastAsia="方正仿宋_GB2312" w:cs="Times New Roman"/>
          <w:b w:val="0"/>
          <w:bCs/>
          <w:sz w:val="32"/>
          <w:szCs w:val="32"/>
          <w:lang w:val="en-US" w:eastAsia="zh-CN"/>
        </w:rPr>
      </w:pPr>
    </w:p>
    <w:p w14:paraId="346CF99E">
      <w:pPr>
        <w:keepNext w:val="0"/>
        <w:keepLines w:val="0"/>
        <w:widowControl/>
        <w:suppressLineNumbers w:val="0"/>
        <w:jc w:val="left"/>
        <w:rPr>
          <w:rFonts w:hint="default" w:ascii="Times New Roman" w:hAnsi="Times New Roman" w:eastAsia="方正仿宋_GB2312" w:cs="Times New Roman"/>
          <w:b w:val="0"/>
          <w:bCs/>
          <w:sz w:val="32"/>
          <w:szCs w:val="32"/>
          <w:lang w:val="en-US" w:eastAsia="zh-CN"/>
        </w:rPr>
      </w:pPr>
    </w:p>
    <w:p w14:paraId="4B528578">
      <w:pPr>
        <w:keepNext w:val="0"/>
        <w:keepLines w:val="0"/>
        <w:widowControl/>
        <w:suppressLineNumbers w:val="0"/>
        <w:jc w:val="left"/>
        <w:rPr>
          <w:rFonts w:hint="default" w:ascii="Times New Roman" w:hAnsi="Times New Roman" w:eastAsia="方正仿宋_GB2312" w:cs="Times New Roman"/>
          <w:b w:val="0"/>
          <w:bCs/>
          <w:sz w:val="32"/>
          <w:szCs w:val="32"/>
          <w:lang w:val="en-US" w:eastAsia="zh-CN"/>
        </w:rPr>
      </w:pPr>
    </w:p>
    <w:p w14:paraId="47F4152A">
      <w:pPr>
        <w:keepNext w:val="0"/>
        <w:keepLines w:val="0"/>
        <w:widowControl/>
        <w:suppressLineNumbers w:val="0"/>
        <w:jc w:val="left"/>
        <w:rPr>
          <w:rFonts w:hint="default" w:ascii="Times New Roman" w:hAnsi="Times New Roman" w:eastAsia="黑体" w:cs="Times New Roman"/>
          <w:b w:val="0"/>
          <w:bCs/>
          <w:sz w:val="32"/>
          <w:szCs w:val="32"/>
          <w:lang w:val="en-US" w:eastAsia="zh-CN"/>
        </w:rPr>
      </w:pPr>
      <w:r>
        <w:rPr>
          <w:rFonts w:hint="default" w:ascii="Times New Roman" w:hAnsi="Times New Roman" w:eastAsia="黑体" w:cs="Times New Roman"/>
          <w:b w:val="0"/>
          <w:bCs/>
          <w:sz w:val="32"/>
          <w:szCs w:val="32"/>
          <w:lang w:val="en-US" w:eastAsia="zh-CN"/>
        </w:rPr>
        <w:t>附件3</w:t>
      </w:r>
    </w:p>
    <w:p w14:paraId="5C172A5C">
      <w:pPr>
        <w:keepNext w:val="0"/>
        <w:keepLines w:val="0"/>
        <w:widowControl/>
        <w:suppressLineNumbers w:val="0"/>
        <w:jc w:val="left"/>
        <w:rPr>
          <w:rFonts w:hint="default" w:ascii="Times New Roman" w:hAnsi="Times New Roman" w:eastAsia="黑体" w:cs="Times New Roman"/>
          <w:b w:val="0"/>
          <w:bCs/>
          <w:sz w:val="32"/>
          <w:szCs w:val="32"/>
          <w:lang w:val="en-US" w:eastAsia="zh-CN"/>
        </w:rPr>
      </w:pPr>
    </w:p>
    <w:p w14:paraId="19A77A15">
      <w:pPr>
        <w:keepNext w:val="0"/>
        <w:keepLines w:val="0"/>
        <w:widowControl/>
        <w:suppressLineNumbers w:val="0"/>
        <w:jc w:val="center"/>
        <w:rPr>
          <w:rFonts w:hint="default" w:ascii="Times New Roman" w:hAnsi="Times New Roman" w:eastAsia="方正小标宋简体" w:cs="Times New Roman"/>
          <w:color w:val="000000"/>
          <w:kern w:val="0"/>
          <w:sz w:val="44"/>
          <w:szCs w:val="44"/>
          <w:lang w:val="en-US" w:eastAsia="zh-CN" w:bidi="ar"/>
        </w:rPr>
      </w:pPr>
      <w:r>
        <w:rPr>
          <w:rFonts w:hint="default" w:ascii="Times New Roman" w:hAnsi="Times New Roman" w:eastAsia="方正小标宋简体" w:cs="Times New Roman"/>
          <w:color w:val="000000"/>
          <w:kern w:val="0"/>
          <w:sz w:val="44"/>
          <w:szCs w:val="44"/>
          <w:lang w:val="en-US" w:eastAsia="zh-CN" w:bidi="ar"/>
        </w:rPr>
        <w:t>乳山市基准地价用途修正系数表</w:t>
      </w:r>
    </w:p>
    <w:tbl>
      <w:tblPr>
        <w:tblStyle w:val="10"/>
        <w:tblW w:w="514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7"/>
        <w:gridCol w:w="904"/>
        <w:gridCol w:w="1211"/>
        <w:gridCol w:w="4200"/>
        <w:gridCol w:w="1406"/>
        <w:gridCol w:w="803"/>
      </w:tblGrid>
      <w:tr w14:paraId="71F56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blHead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2E3FD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1"/>
                <w:szCs w:val="21"/>
                <w:u w:val="none"/>
              </w:rPr>
            </w:pPr>
            <w:r>
              <w:rPr>
                <w:rFonts w:hint="default" w:ascii="Times New Roman" w:hAnsi="Times New Roman" w:eastAsia="仿宋_GB2312" w:cs="Times New Roman"/>
                <w:i w:val="0"/>
                <w:iCs w:val="0"/>
                <w:color w:val="000000"/>
                <w:spacing w:val="-11"/>
                <w:kern w:val="0"/>
                <w:sz w:val="32"/>
                <w:szCs w:val="32"/>
                <w:u w:val="none"/>
                <w:lang w:val="en-US" w:eastAsia="zh-CN" w:bidi="ar"/>
              </w:rPr>
              <w:t>本表用途依据《国土空间调查、规划、用途管制用地用海分类指南》</w:t>
            </w:r>
          </w:p>
        </w:tc>
      </w:tr>
      <w:tr w14:paraId="062D8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blHeader/>
        </w:trPr>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3A1C4">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spacing w:val="-23"/>
                <w:kern w:val="0"/>
                <w:sz w:val="24"/>
                <w:szCs w:val="24"/>
                <w:u w:val="none"/>
                <w:lang w:val="en-US" w:eastAsia="zh-CN" w:bidi="ar"/>
              </w:rPr>
              <w:t>一级类</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D3741">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代码</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49C4E">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二级类</w:t>
            </w:r>
            <w:r>
              <w:rPr>
                <w:rFonts w:hint="eastAsia" w:ascii="黑体" w:hAnsi="黑体" w:eastAsia="黑体" w:cs="黑体"/>
                <w:i w:val="0"/>
                <w:iCs w:val="0"/>
                <w:color w:val="000000"/>
                <w:spacing w:val="-20"/>
                <w:kern w:val="0"/>
                <w:sz w:val="24"/>
                <w:szCs w:val="24"/>
                <w:u w:val="none"/>
                <w:lang w:val="en-US" w:eastAsia="zh-CN" w:bidi="ar"/>
              </w:rPr>
              <w:t>（三级类）</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3AA0B">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含义</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137711">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修正基准</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E4DE8">
            <w:pPr>
              <w:keepNext w:val="0"/>
              <w:keepLines w:val="0"/>
              <w:widowControl/>
              <w:suppressLineNumbers w:val="0"/>
              <w:jc w:val="center"/>
              <w:textAlignment w:val="center"/>
              <w:rPr>
                <w:rFonts w:hint="eastAsia" w:ascii="黑体" w:hAnsi="黑体" w:eastAsia="黑体" w:cs="黑体"/>
                <w:i w:val="0"/>
                <w:iCs w:val="0"/>
                <w:color w:val="000000"/>
                <w:sz w:val="24"/>
                <w:szCs w:val="24"/>
                <w:u w:val="none"/>
              </w:rPr>
            </w:pPr>
            <w:r>
              <w:rPr>
                <w:rFonts w:hint="eastAsia" w:ascii="黑体" w:hAnsi="黑体" w:eastAsia="黑体" w:cs="黑体"/>
                <w:i w:val="0"/>
                <w:iCs w:val="0"/>
                <w:color w:val="000000"/>
                <w:kern w:val="0"/>
                <w:sz w:val="24"/>
                <w:szCs w:val="24"/>
                <w:u w:val="none"/>
                <w:lang w:val="en-US" w:eastAsia="zh-CN" w:bidi="ar"/>
              </w:rPr>
              <w:t>修正系数</w:t>
            </w:r>
          </w:p>
        </w:tc>
      </w:tr>
      <w:tr w14:paraId="5BA82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F64475">
            <w:pPr>
              <w:keepNext w:val="0"/>
              <w:keepLines w:val="0"/>
              <w:widowControl/>
              <w:suppressLineNumbers w:val="0"/>
              <w:jc w:val="center"/>
              <w:textAlignment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lang w:val="en-US" w:eastAsia="zh-CN"/>
              </w:rPr>
              <w:t>08公用管理与公用服务用地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733CE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7F147">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机关团体用地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9A86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指党政机关、人民团体及其相关直属机构、派出机构和直属事业单位的办公及附属设施用地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02E1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3648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3911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AFE59DD">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19907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91AE36">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科研用地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C487FE">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指科研机构及其科研设施、企业科学研究和研发设施用地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5B155">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9922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F080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35D1FF">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4D0D7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22722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文化用地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7483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指图书、展览等公共文化活动设施用地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6BF47">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1179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7A01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A056B">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CD6CC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080301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971D2">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图书与展览用地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4B93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指公共图书馆、博物馆、科技馆、公共美术馆、纪念馆、规划建设展览馆等设施用地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F03A6">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2032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BE09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78F90D">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D995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080302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00C0B">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文化活动用地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C2CB2">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指文化馆（群众艺术馆）、文化站、工人文化宫、青少年宫（青少年活动中心）、妇女儿童活动中心（儿童活动中心）、老年活动中心、综合文化活动中心、公共剧场等设施用地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4C43A">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C0EF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51C06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90A85D">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33E6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7149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B61E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指高等教育、中等职业教育、中小学教育、幼儿园、特殊教育设施等用地，包括为学校配建的独立地段的学生生活用地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B78A7">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29BD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DF1C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9512D0">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2B23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080401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2DF16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高等教育用地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58CCB">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指大学、学院、高等职业学校、高等专科学校、成人高校等高等学校用地，包括军事院校用地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BB64F3">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EF96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BD54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1"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34EC9F">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75B2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080402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88813">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中等职业教育用地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B2192">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指普通中等专业学校、成人中等专业学校、职业高中、技工学校等用地，不包括附属于普通中学内的职业高中用地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685D4E">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B26E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1"/>
                <w:szCs w:val="21"/>
                <w:u w:val="none"/>
              </w:rPr>
            </w:pPr>
            <w:r>
              <w:rPr>
                <w:rFonts w:hint="default" w:ascii="Times New Roman" w:hAnsi="Times New Roman" w:eastAsia="仿宋_GB2312" w:cs="Times New Roman"/>
                <w:i w:val="0"/>
                <w:iCs w:val="0"/>
                <w:color w:val="000000"/>
                <w:kern w:val="0"/>
                <w:sz w:val="21"/>
                <w:szCs w:val="21"/>
                <w:u w:val="none"/>
                <w:lang w:val="en-US" w:eastAsia="zh-CN" w:bidi="ar"/>
              </w:rPr>
              <w:t xml:space="preserve">1.0 </w:t>
            </w:r>
          </w:p>
        </w:tc>
      </w:tr>
      <w:tr w14:paraId="4A44D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AE2C8B">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03915">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080403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E674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中小学用地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E7F49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指小学、初级中学、高级中学、九年一贯制学校、完全中学、十二年一贯制学校用地，包括职业初中、成人中小学、附属于普通中学内的职业高中用地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175E0">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6A3C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1"/>
                <w:szCs w:val="21"/>
                <w:u w:val="none"/>
              </w:rPr>
            </w:pPr>
            <w:r>
              <w:rPr>
                <w:rFonts w:hint="default" w:ascii="Times New Roman" w:hAnsi="Times New Roman" w:eastAsia="仿宋_GB2312" w:cs="Times New Roman"/>
                <w:i w:val="0"/>
                <w:iCs w:val="0"/>
                <w:color w:val="000000"/>
                <w:kern w:val="0"/>
                <w:sz w:val="21"/>
                <w:szCs w:val="21"/>
                <w:u w:val="none"/>
                <w:lang w:val="en-US" w:eastAsia="zh-CN" w:bidi="ar"/>
              </w:rPr>
              <w:t xml:space="preserve">1.0 </w:t>
            </w:r>
          </w:p>
        </w:tc>
      </w:tr>
      <w:tr w14:paraId="37C33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7CFF8">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2729">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080404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87029">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幼儿园用地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86E18">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指幼儿园用地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F90C4">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CB7D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0C54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6"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41122">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D2891">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080405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10084">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其他教育用地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EC89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指除以上之外的教育用地，包括特殊教育学校、专门学校（工读学校）用地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96033">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7288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A8AD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5"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3D04E">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139B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0A8F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体育用地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8F0B4">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指体育场馆、体育训练基地、溜冰场、跳伞场、摩托车场、射击场，以及水上运动的陆域部分等用地，不包括学校、企事业、军队等机构内部专用的体育设施用地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E5424">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3B02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344D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250DFE">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90DAA">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080501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28F0D">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体育场馆用地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1470B">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指室内外体育运动用地，包括体育场馆、游泳场馆、大中型多功能运动场地、全民健身中心等用地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BEC41">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D419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4A36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0BD981">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08C701">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080502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8ABF3">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体育训练用地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D9B2E">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指为体育运动专设的训练基地用地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5D08F">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F57F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7218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C9C330">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37F0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2C0E2">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医疗卫生用地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8FD86">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指医疗、预防、保健、护理、康复、急救、安宁疗护等用地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52C19">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00F1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F976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09612">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619F2">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080601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8B49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医院用地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70243">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指综合医院、中医医院、中西医结合医院、民族医医院、各类专科医院、护理院等用地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1F409">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665C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47D4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022AA">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DC5DCB">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080602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B4BD8">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基层医疗卫生设施用地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DBD3D">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指社区卫生服务中心、乡镇（街道）卫生院等用地，不包括社区卫生服务站、农村卫生服务站、村卫生室、门诊部、诊所（医务室）等用地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1985F5">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6BDA0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E2E1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70F43F">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2AACC">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080603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4039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公共卫生用地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85F81">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指疾病预防控制中心、妇幼保健院、急救中心（站）、采供血设施等用地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10E2F">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F9E7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C30C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B5EAE1">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50E2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0807</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BD6E7">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56812">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指为老年人、儿童及残疾人等提供社会福利和慈善服务的设施用地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A4219">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D425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17C5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63D3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25EAD">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080701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BC451">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老年人社会福利用地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40BD9A">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指为老年人提供居住、康复、保健等服务的养老院、敬老院、养护院等机构养老设施用地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96E9D">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E76A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D6B3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3BFEF">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5DC75B">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080702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25016">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儿童社会福利用地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D936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指为孤儿、农村留守儿童、困境儿童等特殊儿童群体提供居住、抚养、照护等服务的儿童福利院、孤儿院、未成年人救助保护中心等设施用地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54D03">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7097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7790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2D02C">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6322E">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080703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50C5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残疾人社会福利用地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9087">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指为残疾人提供居住、康复、护养等服务的残疾人福利院、残疾人康复中心、残疾人综合服务中心等设施用地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CC08B0">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C6470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58AA4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D1BA9">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7F61B">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080704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B1E00">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其他社会福利用地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6127E">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指除以上之外的社会福利设施用地，包括救助管理站等设施用地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7D5E5">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20"/>
                <w:kern w:val="0"/>
                <w:sz w:val="24"/>
                <w:szCs w:val="24"/>
                <w:u w:val="none"/>
                <w:lang w:val="en-US" w:eastAsia="zh-CN" w:bidi="ar"/>
              </w:rPr>
            </w:pPr>
            <w:r>
              <w:rPr>
                <w:rFonts w:hint="default" w:ascii="Times New Roman" w:hAnsi="Times New Roman" w:eastAsia="仿宋_GB2312" w:cs="Times New Roman"/>
                <w:i w:val="0"/>
                <w:iCs w:val="0"/>
                <w:color w:val="000000"/>
                <w:spacing w:val="-2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20FE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55F7E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C92D8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1"/>
                <w:szCs w:val="21"/>
                <w:u w:val="none"/>
              </w:rPr>
            </w:pPr>
            <w:r>
              <w:rPr>
                <w:rFonts w:hint="default" w:ascii="Times New Roman" w:hAnsi="Times New Roman" w:eastAsia="仿宋_GB2312" w:cs="Times New Roman"/>
                <w:i w:val="0"/>
                <w:iCs w:val="0"/>
                <w:color w:val="000000"/>
                <w:kern w:val="0"/>
                <w:sz w:val="24"/>
                <w:szCs w:val="24"/>
                <w:u w:val="none"/>
                <w:lang w:val="en-US" w:eastAsia="zh-CN" w:bidi="ar"/>
              </w:rPr>
              <w:t>09商业服务业用地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B8EE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0901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69A0B">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商业用地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7C47F">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指零售商业、批发市场及餐饮、旅馆及公用设施营业网点等服务业用地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F8C0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2BF7DC1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6C25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2982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CEC1B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AC8A2">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090101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E63C47">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零售商业用地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50EBD">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指商铺、商场、超市、服装及小商品市场等用地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2EEF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2EAF1A8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C5CF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1879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56216">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E1399">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090102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F032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批发市场用地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44ACA">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指以批发功能为主的市场用地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98CF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0BF7E20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849AA">
            <w:pPr>
              <w:keepNext w:val="0"/>
              <w:keepLines w:val="0"/>
              <w:widowControl/>
              <w:suppressLineNumbers w:val="0"/>
              <w:jc w:val="center"/>
              <w:textAlignment w:val="center"/>
              <w:rPr>
                <w:rFonts w:hint="default" w:ascii="Times New Roman" w:hAnsi="Times New Roman" w:eastAsia="仿宋_GB2312" w:cs="Times New Roman"/>
                <w:b w:val="0"/>
                <w:bCs w:val="0"/>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 xml:space="preserve">0.8 </w:t>
            </w:r>
          </w:p>
        </w:tc>
      </w:tr>
      <w:tr w14:paraId="174D8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A38747">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5088E">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090103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4C88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餐饮用地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BC10D">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指饭店、餐厅、酒吧等用地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CDF92">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3BB02B6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9AB88">
            <w:pPr>
              <w:keepNext w:val="0"/>
              <w:keepLines w:val="0"/>
              <w:widowControl/>
              <w:suppressLineNumbers w:val="0"/>
              <w:jc w:val="center"/>
              <w:textAlignment w:val="center"/>
              <w:rPr>
                <w:rFonts w:hint="default" w:ascii="Times New Roman" w:hAnsi="Times New Roman" w:eastAsia="仿宋_GB2312" w:cs="Times New Roman"/>
                <w:b w:val="0"/>
                <w:bCs w:val="0"/>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 xml:space="preserve">1.0 </w:t>
            </w:r>
          </w:p>
        </w:tc>
      </w:tr>
      <w:tr w14:paraId="6EE5C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99650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F3EB0">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090104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C10AB">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旅馆用地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E6C0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指宾馆、旅馆、招待所、服务型公寓、有住宿功能的度假村等用地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48EF3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5B1480F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7D04A">
            <w:pPr>
              <w:keepNext w:val="0"/>
              <w:keepLines w:val="0"/>
              <w:widowControl/>
              <w:suppressLineNumbers w:val="0"/>
              <w:jc w:val="center"/>
              <w:textAlignment w:val="center"/>
              <w:rPr>
                <w:rFonts w:hint="default" w:ascii="Times New Roman" w:hAnsi="Times New Roman" w:eastAsia="仿宋_GB2312" w:cs="Times New Roman"/>
                <w:b w:val="0"/>
                <w:bCs w:val="0"/>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 xml:space="preserve">1.0 </w:t>
            </w:r>
          </w:p>
        </w:tc>
      </w:tr>
      <w:tr w14:paraId="3BDA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024D5">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A3615">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090105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DF574">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公用设施营业网点用地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D3884F">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指零售加油、加气、充换电站用地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9D61D">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3BE9F86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8C144">
            <w:pPr>
              <w:keepNext w:val="0"/>
              <w:keepLines w:val="0"/>
              <w:widowControl/>
              <w:suppressLineNumbers w:val="0"/>
              <w:jc w:val="center"/>
              <w:textAlignment w:val="center"/>
              <w:rPr>
                <w:rFonts w:hint="default" w:ascii="Times New Roman" w:hAnsi="Times New Roman" w:eastAsia="仿宋_GB2312" w:cs="Times New Roman"/>
                <w:b w:val="0"/>
                <w:bCs w:val="0"/>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3.0</w:t>
            </w:r>
          </w:p>
        </w:tc>
      </w:tr>
      <w:tr w14:paraId="2A28E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44CA38">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F46D5">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090105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813A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公用设施</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营业网点用地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CA2D8">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指电信、邮政、供水、燃气、供电、供热等公用设施营业网点用地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D89C5B">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02A5ECD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17351F">
            <w:pPr>
              <w:keepNext w:val="0"/>
              <w:keepLines w:val="0"/>
              <w:widowControl/>
              <w:suppressLineNumbers w:val="0"/>
              <w:jc w:val="center"/>
              <w:textAlignment w:val="center"/>
              <w:rPr>
                <w:rFonts w:hint="default" w:ascii="Times New Roman" w:hAnsi="Times New Roman" w:eastAsia="仿宋_GB2312" w:cs="Times New Roman"/>
                <w:b w:val="0"/>
                <w:bCs w:val="0"/>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 xml:space="preserve">1.0 </w:t>
            </w:r>
          </w:p>
        </w:tc>
      </w:tr>
      <w:tr w14:paraId="120B0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405FC8">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961C1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0902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88D1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商务金融用地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A7F19">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指金融保险、艺术传媒、设计、技术服务、物流管理中心等综合性办公用地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EC1D0">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091EA5A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8253D">
            <w:pPr>
              <w:keepNext w:val="0"/>
              <w:keepLines w:val="0"/>
              <w:widowControl/>
              <w:suppressLineNumbers w:val="0"/>
              <w:jc w:val="center"/>
              <w:textAlignment w:val="center"/>
              <w:rPr>
                <w:rFonts w:hint="default" w:ascii="Times New Roman" w:hAnsi="Times New Roman" w:eastAsia="仿宋_GB2312" w:cs="Times New Roman"/>
                <w:b w:val="0"/>
                <w:bCs w:val="0"/>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 xml:space="preserve">1.0 </w:t>
            </w:r>
          </w:p>
        </w:tc>
      </w:tr>
      <w:tr w14:paraId="56CF4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402F1A">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9531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0903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00D03C">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娱乐用地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2AEF8">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指剧院、音乐厅、电影院、歌舞厅、网吧以及绿地率小于65%的大型游乐等设施用地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10191">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7DDEE3A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CD71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5855D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8F3D6B">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CA11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0904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B1D0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其他商业</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服务业用地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5CC54">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除以上之外的商业服务业用地，包括高尔夫练习场、赛马场、以观光娱乐为目的的直升机停机坪等通用航空、汽车维修站以及宠物医院、洗车场、洗染店、照相馆、理发美容店、洗浴场所、废旧物资回收站、机动车、电子产品和日用产品修理网点、物流营业网点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971EE">
            <w:pPr>
              <w:keepNext w:val="0"/>
              <w:keepLines w:val="0"/>
              <w:widowControl/>
              <w:suppressLineNumbers w:val="0"/>
              <w:jc w:val="center"/>
              <w:textAlignment w:val="center"/>
              <w:rPr>
                <w:rFonts w:hint="default" w:ascii="Times New Roman" w:hAnsi="Times New Roman" w:eastAsia="仿宋_GB2312" w:cs="Times New Roman"/>
                <w:i w:val="0"/>
                <w:iCs w:val="0"/>
                <w:color w:val="000000"/>
                <w:kern w:val="0"/>
                <w:sz w:val="24"/>
                <w:szCs w:val="24"/>
                <w:u w:val="none"/>
                <w:lang w:val="en-US" w:eastAsia="zh-CN" w:bidi="ar"/>
              </w:rPr>
            </w:pPr>
            <w:r>
              <w:rPr>
                <w:rFonts w:hint="default" w:ascii="Times New Roman" w:hAnsi="Times New Roman" w:eastAsia="仿宋_GB2312" w:cs="Times New Roman"/>
                <w:i w:val="0"/>
                <w:iCs w:val="0"/>
                <w:color w:val="000000"/>
                <w:kern w:val="0"/>
                <w:sz w:val="24"/>
                <w:szCs w:val="24"/>
                <w:u w:val="none"/>
                <w:lang w:val="en-US" w:eastAsia="zh-CN" w:bidi="ar"/>
              </w:rPr>
              <w:t>商服用地</w:t>
            </w:r>
          </w:p>
          <w:p w14:paraId="6DA5DC2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2DE6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0BA7E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89203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1"/>
                <w:szCs w:val="21"/>
                <w:u w:val="none"/>
              </w:rPr>
            </w:pPr>
            <w:r>
              <w:rPr>
                <w:rFonts w:hint="default" w:ascii="Times New Roman" w:hAnsi="Times New Roman" w:eastAsia="仿宋_GB2312" w:cs="Times New Roman"/>
                <w:i w:val="0"/>
                <w:iCs w:val="0"/>
                <w:color w:val="000000"/>
                <w:kern w:val="0"/>
                <w:sz w:val="24"/>
                <w:szCs w:val="24"/>
                <w:u w:val="none"/>
                <w:lang w:val="en-US" w:eastAsia="zh-CN" w:bidi="ar"/>
              </w:rPr>
              <w:t>10工矿用地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0C54F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1001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6F44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9F1AF">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指工矿企业的生产车间、装备修理、自用库房及其附属设施用地，包括专用铁路、码头和附属道路、停车场等用地，包括工业生产</w:t>
            </w:r>
            <w:r>
              <w:rPr>
                <w:rStyle w:val="16"/>
                <w:rFonts w:hint="default" w:ascii="Times New Roman" w:hAnsi="Times New Roman" w:eastAsia="仿宋_GB2312" w:cs="Times New Roman"/>
                <w:sz w:val="24"/>
                <w:szCs w:val="24"/>
                <w:lang w:val="en-US" w:eastAsia="zh-CN" w:bidi="ar"/>
              </w:rPr>
              <w:t>必须的</w:t>
            </w:r>
            <w:r>
              <w:rPr>
                <w:rFonts w:hint="default" w:ascii="Times New Roman" w:hAnsi="Times New Roman" w:eastAsia="仿宋_GB2312" w:cs="Times New Roman"/>
                <w:i w:val="0"/>
                <w:iCs w:val="0"/>
                <w:color w:val="000000"/>
                <w:kern w:val="0"/>
                <w:sz w:val="24"/>
                <w:szCs w:val="24"/>
                <w:u w:val="none"/>
                <w:lang w:val="en-US" w:eastAsia="zh-CN" w:bidi="ar"/>
              </w:rPr>
              <w:t>研发、设计、测试、中试用地，不包括采矿用地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84CD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6B1F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7D2E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6F47F9">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27268">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100101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460E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一类工业用地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BEB04">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指对居住和公共环境基本无干扰、污染和安全隐患，布局无特殊控制要求的工业用地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0B6C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6E04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4412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515095">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A25EA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100102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5AB42">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二类工业用地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04C78">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指对居住和公共环境有一定干扰、污染和安全隐患，不可布局于居住区和公共设施集中区内的工业用地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AFA0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40C3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CF40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00F2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95CD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100103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7AFC6">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三类工业用地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D837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指对居住和公共环境有严重干扰、污染和安全隐患，布局有防护、隔离要求的工业用地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BF02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7788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F6B3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13A38E">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D4728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1002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078E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采矿用地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816A5">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指采矿、采石、采砂（沙）场，砖瓦窑等地面生产用地及排土（石）、尾矿堆放用地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030E0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76878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24D9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CB78A8">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7FFA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1003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BAA165">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盐田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F32F0">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指用于以自然蒸发方式进行盐业生产的用地，包括晒盐场所、盐池及附属设施用地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8657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EDD0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6E77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2D4B9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11仓储用地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6096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D53CF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6419CC">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指国家和省级战略性储备库以外，城镇、村庄用于物资存储、中转、配送等设施用地，包括附属设施、道路、停车场等用地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99D04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6D92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1B2D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A544CB">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598F3">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110101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DC5D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一类物流仓储用地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D9671">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指对居住和公共环境基本无干扰、污染和安全隐患，布局无特殊控制要求的物流仓储用地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2983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6B10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0F150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49DA75">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8828B">
            <w:pPr>
              <w:keepNext w:val="0"/>
              <w:keepLines w:val="0"/>
              <w:widowControl/>
              <w:suppressLineNumbers w:val="0"/>
              <w:jc w:val="center"/>
              <w:textAlignment w:val="center"/>
              <w:rPr>
                <w:rFonts w:hint="default" w:ascii="Times New Roman" w:hAnsi="Times New Roman" w:eastAsia="仿宋_GB2312" w:cs="Times New Roman"/>
                <w:i w:val="0"/>
                <w:iCs w:val="0"/>
                <w:color w:val="000000"/>
                <w:spacing w:val="-6"/>
                <w:kern w:val="0"/>
                <w:sz w:val="24"/>
                <w:szCs w:val="24"/>
                <w:u w:val="none"/>
                <w:lang w:val="en-US" w:eastAsia="zh-CN" w:bidi="ar"/>
              </w:rPr>
            </w:pPr>
            <w:r>
              <w:rPr>
                <w:rFonts w:hint="default" w:ascii="Times New Roman" w:hAnsi="Times New Roman" w:eastAsia="仿宋_GB2312" w:cs="Times New Roman"/>
                <w:i w:val="0"/>
                <w:iCs w:val="0"/>
                <w:color w:val="000000"/>
                <w:spacing w:val="-6"/>
                <w:kern w:val="0"/>
                <w:sz w:val="24"/>
                <w:szCs w:val="24"/>
                <w:u w:val="none"/>
                <w:lang w:val="en-US" w:eastAsia="zh-CN" w:bidi="ar"/>
              </w:rPr>
              <w:t>110102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7254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二类物流仓储用地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0F89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指对居住和公共环境有一定干扰、污染和安全隐患，不可布局于居住区和公共设施集中区内的物流仓储用地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2A09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451AA">
            <w:pPr>
              <w:keepNext w:val="0"/>
              <w:keepLines w:val="0"/>
              <w:widowControl/>
              <w:suppressLineNumbers w:val="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 xml:space="preserve">1.1 </w:t>
            </w:r>
          </w:p>
        </w:tc>
      </w:tr>
      <w:tr w14:paraId="0D9ED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F8E2A">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D9A5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110103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1C2E46">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三类物流仓储用地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851C6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指用于存放易燃、易爆和剧毒等危险品，布局有防护、隔离要求的物流仓储用地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88D5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FA2BA">
            <w:pPr>
              <w:keepNext w:val="0"/>
              <w:keepLines w:val="0"/>
              <w:widowControl/>
              <w:suppressLineNumbers w:val="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val="0"/>
                <w:bCs w:val="0"/>
                <w:i w:val="0"/>
                <w:iCs w:val="0"/>
                <w:color w:val="000000"/>
                <w:kern w:val="0"/>
                <w:sz w:val="24"/>
                <w:szCs w:val="24"/>
                <w:u w:val="none"/>
                <w:lang w:val="en-US" w:eastAsia="zh-CN" w:bidi="ar"/>
              </w:rPr>
              <w:t>1.2</w:t>
            </w:r>
            <w:r>
              <w:rPr>
                <w:rFonts w:hint="default" w:ascii="Times New Roman" w:hAnsi="Times New Roman" w:eastAsia="仿宋_GB2312" w:cs="Times New Roman"/>
                <w:b/>
                <w:bCs/>
                <w:i w:val="0"/>
                <w:iCs w:val="0"/>
                <w:color w:val="000000"/>
                <w:kern w:val="0"/>
                <w:sz w:val="24"/>
                <w:szCs w:val="24"/>
                <w:u w:val="none"/>
                <w:lang w:val="en-US" w:eastAsia="zh-CN" w:bidi="ar"/>
              </w:rPr>
              <w:t xml:space="preserve"> </w:t>
            </w:r>
          </w:p>
        </w:tc>
      </w:tr>
      <w:tr w14:paraId="49AA4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137BCD">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0D15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1102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CAF23">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储备库用地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DA30C">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指国家和省级的粮食、棉花、石油等战略性储备库用地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B9F8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48EC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960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1B637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12交通运输用地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005B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F762A">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铁路用地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66AAD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指铁路编组站、轨道线路（</w:t>
            </w:r>
            <w:r>
              <w:rPr>
                <w:rStyle w:val="16"/>
                <w:rFonts w:hint="default" w:ascii="Times New Roman" w:hAnsi="Times New Roman" w:eastAsia="仿宋_GB2312" w:cs="Times New Roman"/>
                <w:sz w:val="24"/>
                <w:szCs w:val="24"/>
                <w:lang w:val="en-US" w:eastAsia="zh-CN" w:bidi="ar"/>
              </w:rPr>
              <w:t>含</w:t>
            </w:r>
            <w:r>
              <w:rPr>
                <w:rFonts w:hint="default" w:ascii="Times New Roman" w:hAnsi="Times New Roman" w:eastAsia="仿宋_GB2312" w:cs="Times New Roman"/>
                <w:i w:val="0"/>
                <w:iCs w:val="0"/>
                <w:color w:val="000000"/>
                <w:kern w:val="0"/>
                <w:sz w:val="24"/>
                <w:szCs w:val="24"/>
                <w:u w:val="none"/>
                <w:lang w:val="en-US" w:eastAsia="zh-CN" w:bidi="ar"/>
              </w:rPr>
              <w:t>城际轨道）等用地，不包括铁路客货运站等交通场站用地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53F2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33D3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28D8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3BE84">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7A29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AFE2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公路用地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309C1">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指国道、省道、县道和乡道用地及附属设施用地，不包括已纳入城镇集中连片建成区，发挥城镇内部道路功能的路段，以及公路长途客货运站等交通场站用地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6D8F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0147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5235D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9C2F4">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669D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D3F9B">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机场用地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A6112">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指民用及军民合用的机场用地，包括飞行区、航站区等用地，不包括净空控制范围内的其他用地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ACB1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5230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FD34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216085">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7E3F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0B9D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港口码头用地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FCB2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指海港和河港的陆域部分，包括用于堆场、货运码头及其他港口设施的用地，不包括港口客运码头等交通场站用地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207B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DB18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0D48E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1706FA">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B5A5B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E16BA">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管道运输用地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87A9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指运输矿石、石油和天然气等地面管道运输用地，地下管道运输规定的地面控制范围内的用地应按其地面实际用途归类</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ED4F3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A0B6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5724B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221F6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1949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A1487">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城市轨道交通用地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7A88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指独立占地的城市轨道交通地面以上部分的线路、站点用地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C0EC9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CB1B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CB7F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4E5EEA">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539F9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1207</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DECA7">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城镇村道路用地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EB00C">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指城镇、村庄范围内公用道路及行道树用地，包括快速路、主干路、次干路、支路、专用人行道和非机动车道等用地，包括其交叉口用地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CD2A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DDE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1458B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1E3F54">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F0F5D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1208</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2A583">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交通场站用地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4ADC4A">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指交通服务设施用地，不包括交通指挥中心、交通队等行政办公设施用地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07B0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F707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144990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7EFDCB">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9878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120801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0957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对外交通场站用地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0ACF7">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指铁路客货运站、公路长途客运站、港口客运码头及其附属设施用地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D979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311B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8606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D65AA5">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D38C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120802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BFAC5">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公共交通场站用地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488CF7">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指城市轨道交通车辆基地及附属设施，公共汽（电）</w:t>
            </w:r>
            <w:r>
              <w:rPr>
                <w:rStyle w:val="16"/>
                <w:rFonts w:hint="default" w:ascii="Times New Roman" w:hAnsi="Times New Roman" w:eastAsia="仿宋_GB2312" w:cs="Times New Roman"/>
                <w:sz w:val="24"/>
                <w:szCs w:val="24"/>
                <w:lang w:val="en-US" w:eastAsia="zh-CN" w:bidi="ar"/>
              </w:rPr>
              <w:t>车</w:t>
            </w:r>
            <w:r>
              <w:rPr>
                <w:rFonts w:hint="default" w:ascii="Times New Roman" w:hAnsi="Times New Roman" w:eastAsia="仿宋_GB2312" w:cs="Times New Roman"/>
                <w:i w:val="0"/>
                <w:iCs w:val="0"/>
                <w:color w:val="000000"/>
                <w:kern w:val="0"/>
                <w:sz w:val="24"/>
                <w:szCs w:val="24"/>
                <w:u w:val="none"/>
                <w:lang w:val="en-US" w:eastAsia="zh-CN" w:bidi="ar"/>
              </w:rPr>
              <w:t>首末站、停车场（库）、保养场，出租汽车场站设施等用地，以及轮渡、缆车、索道等的地面部分及其附属设施用地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C321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4AEF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1BCBE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9EE84D">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73C1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spacing w:val="-6"/>
                <w:kern w:val="0"/>
                <w:sz w:val="24"/>
                <w:szCs w:val="24"/>
                <w:u w:val="none"/>
                <w:lang w:val="en-US" w:eastAsia="zh-CN" w:bidi="ar"/>
              </w:rPr>
              <w:t>120803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15FBE">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社会停车场用地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E4DAB">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指独立占地的公共停车场和停车库用地（</w:t>
            </w:r>
            <w:r>
              <w:rPr>
                <w:rStyle w:val="16"/>
                <w:rFonts w:hint="default" w:ascii="Times New Roman" w:hAnsi="Times New Roman" w:eastAsia="仿宋_GB2312" w:cs="Times New Roman"/>
                <w:sz w:val="24"/>
                <w:szCs w:val="24"/>
                <w:lang w:val="en-US" w:eastAsia="zh-CN" w:bidi="ar"/>
              </w:rPr>
              <w:t>含</w:t>
            </w:r>
            <w:r>
              <w:rPr>
                <w:rFonts w:hint="default" w:ascii="Times New Roman" w:hAnsi="Times New Roman" w:eastAsia="仿宋_GB2312" w:cs="Times New Roman"/>
                <w:i w:val="0"/>
                <w:iCs w:val="0"/>
                <w:color w:val="000000"/>
                <w:kern w:val="0"/>
                <w:sz w:val="24"/>
                <w:szCs w:val="24"/>
                <w:u w:val="none"/>
                <w:lang w:val="en-US" w:eastAsia="zh-CN" w:bidi="ar"/>
              </w:rPr>
              <w:t>设有充电桩的社会停车场），不包括其他建设用地配建的停车场和停车库用地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A62AE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125B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C878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F31CFD">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30F5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1209</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63038">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其他交通设施用地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1F1A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指除以上之外的交通设施用地，包括教练场等用地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1561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DEB3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F78B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B68F9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13公用设施用地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69AE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D0D70">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供水用地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0F44E">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指取水设施、供水厂、再生水厂、加压泵站、高位水池等设施用地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5085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B761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D2AC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FDC1F4">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9F1B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7B584">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排水用地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54FFE">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指雨水泵站、污水泵站、污水处理、污泥处理厂等设施及其附属的构筑物用地，不包括排水河渠用地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FA548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13F11">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246E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180388">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34EBC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29351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供电用地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94D81A">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指变电站、开关站、环网柜等设施用地，不包括电厂、可再生能源发电等工业用地。高压走廊下规定的控制范围内的用地应按其地面实际用途归类</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D5A6F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CC0F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7F92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027C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F0E54">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1304</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939B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供燃气用地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D2E31">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指分输站、调压站、门站、供气站、储配站、气化站、灌瓶站和地面输气管</w:t>
            </w:r>
            <w:r>
              <w:rPr>
                <w:rStyle w:val="16"/>
                <w:rFonts w:hint="default" w:ascii="Times New Roman" w:hAnsi="Times New Roman" w:eastAsia="仿宋_GB2312" w:cs="Times New Roman"/>
                <w:sz w:val="24"/>
                <w:szCs w:val="24"/>
                <w:lang w:val="en-US" w:eastAsia="zh-CN" w:bidi="ar"/>
              </w:rPr>
              <w:t>廊</w:t>
            </w:r>
            <w:r>
              <w:rPr>
                <w:rFonts w:hint="default" w:ascii="Times New Roman" w:hAnsi="Times New Roman" w:eastAsia="仿宋_GB2312" w:cs="Times New Roman"/>
                <w:i w:val="0"/>
                <w:iCs w:val="0"/>
                <w:color w:val="000000"/>
                <w:kern w:val="0"/>
                <w:sz w:val="24"/>
                <w:szCs w:val="24"/>
                <w:u w:val="none"/>
                <w:lang w:val="en-US" w:eastAsia="zh-CN" w:bidi="ar"/>
              </w:rPr>
              <w:t>等设施用地，不包括制气厂等工业用地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0CCB2">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A58AE6">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1E9FF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664E24">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7BC3C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1305</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0F7DF5">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供热用地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A18CD">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指集中供热厂、换热站、区域能源站、分布式能源站和地面输热管</w:t>
            </w:r>
            <w:r>
              <w:rPr>
                <w:rStyle w:val="16"/>
                <w:rFonts w:hint="default" w:ascii="Times New Roman" w:hAnsi="Times New Roman" w:eastAsia="仿宋_GB2312" w:cs="Times New Roman"/>
                <w:sz w:val="24"/>
                <w:szCs w:val="24"/>
                <w:lang w:val="en-US" w:eastAsia="zh-CN" w:bidi="ar"/>
              </w:rPr>
              <w:t>廊</w:t>
            </w:r>
            <w:r>
              <w:rPr>
                <w:rFonts w:hint="default" w:ascii="Times New Roman" w:hAnsi="Times New Roman" w:eastAsia="仿宋_GB2312" w:cs="Times New Roman"/>
                <w:i w:val="0"/>
                <w:iCs w:val="0"/>
                <w:color w:val="000000"/>
                <w:kern w:val="0"/>
                <w:sz w:val="24"/>
                <w:szCs w:val="24"/>
                <w:u w:val="none"/>
                <w:lang w:val="en-US" w:eastAsia="zh-CN" w:bidi="ar"/>
              </w:rPr>
              <w:t>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0774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484E7E">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83F3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697AED">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FB07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D7584">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通信用地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BC92C">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指通信铁塔、基站、卫星地球站、海缆登陆站、电信局、微波站、中继站等设施用地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1A8D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C6FC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B48A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CB574D">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A79BC">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1307</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19E5DB">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邮政用地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879D5">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指邮政中心局、邮政支局（所）、邮件处理中心等设施用地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728D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82AEF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1F1BC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3"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60EEC">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25B1F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1308</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038EF">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广播电视设施用地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7088E">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指广播电视的发射、传输和监测设施用地，包括无线电收信区、发信区以及广播电视发射台、转播台、差转台、监测站等设施用地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3057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DC0E7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CA17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CF413">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748EF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1309</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C6C9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环卫用地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0B8D0">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指生活垃圾、医疗垃圾、危险废物处理和处置，以及垃圾转运、公厕、车辆清洗、环卫车辆停放修理等设施用地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0613F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7499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75F9E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50023D">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F69B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1310</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97804">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消防用地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943F0">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指消防站、消防通信及指挥训练中心等设施用地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B6CC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3F0E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4F0B5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9"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3E4B46">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4B46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1311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6102C">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水工设施用地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2D9D6">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指人工修建的闸、坝、</w:t>
            </w:r>
            <w:r>
              <w:rPr>
                <w:rStyle w:val="16"/>
                <w:rFonts w:hint="default" w:ascii="Times New Roman" w:hAnsi="Times New Roman" w:eastAsia="仿宋_GB2312" w:cs="Times New Roman"/>
                <w:sz w:val="24"/>
                <w:szCs w:val="24"/>
                <w:lang w:val="en-US" w:eastAsia="zh-CN" w:bidi="ar"/>
              </w:rPr>
              <w:t>堤</w:t>
            </w:r>
            <w:r>
              <w:rPr>
                <w:rFonts w:hint="default" w:ascii="Times New Roman" w:hAnsi="Times New Roman" w:eastAsia="仿宋_GB2312" w:cs="Times New Roman"/>
                <w:i w:val="0"/>
                <w:iCs w:val="0"/>
                <w:color w:val="000000"/>
                <w:kern w:val="0"/>
                <w:sz w:val="24"/>
                <w:szCs w:val="24"/>
                <w:u w:val="none"/>
                <w:lang w:val="en-US" w:eastAsia="zh-CN" w:bidi="ar"/>
              </w:rPr>
              <w:t>林路、水电厂房、扬水站等常水位岸线以上的建（构）筑物用地，包括防洪堤、防洪枢纽、排洪沟（渠）等设施用地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42295">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EAF6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F192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67A1B2">
            <w:pPr>
              <w:jc w:val="center"/>
              <w:rPr>
                <w:rFonts w:hint="default" w:ascii="Times New Roman" w:hAnsi="Times New Roman" w:eastAsia="仿宋_GB2312" w:cs="Times New Roman"/>
                <w:i w:val="0"/>
                <w:iC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E5264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1312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B8EB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其他公用设施用地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E59615">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指除以上之外的公用设施用地，包括施工、养护、维修等设施用地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D99C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98FCB">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37488B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7" w:hRule="atLeast"/>
        </w:trPr>
        <w:tc>
          <w:tcPr>
            <w:tcW w:w="43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B859A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14绿地与开敞空间用地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061CD9">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1401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1E3A1">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公园绿地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04A85">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指向公众开放，以游憩为主要功能，兼具生态、景观、文教、体育和应急避险等功能，有一定服务设施的公园和绿地，包括综合公园、社区公园、专类公园和游园等</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922CA">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D102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B591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F7C4A2">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9252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1402</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FA96A">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防护绿地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4C972">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指具有卫生、隔离、安全、生态防护功能，游人不宜进入的绿地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237F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2E940">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23350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FF041">
            <w:pPr>
              <w:jc w:val="center"/>
              <w:rPr>
                <w:rFonts w:hint="default" w:ascii="Times New Roman" w:hAnsi="Times New Roman" w:eastAsia="仿宋_GB2312" w:cs="Times New Roman"/>
                <w:i w:val="0"/>
                <w:iCs w:val="0"/>
                <w:color w:val="000000"/>
                <w:sz w:val="24"/>
                <w:szCs w:val="24"/>
                <w:u w:val="none"/>
              </w:rPr>
            </w:pP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E1263">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1403</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D8462">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广场用地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F8A31">
            <w:pPr>
              <w:keepNext w:val="0"/>
              <w:keepLines w:val="0"/>
              <w:widowControl/>
              <w:suppressLineNumbers w:val="0"/>
              <w:jc w:val="both"/>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指以游憩、健身、纪念、集会和避险等功能为主的公共活动场地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CF2F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工矿用地</w:t>
            </w:r>
            <w:r>
              <w:rPr>
                <w:rFonts w:hint="default" w:ascii="Times New Roman" w:hAnsi="Times New Roman" w:eastAsia="仿宋_GB2312" w:cs="Times New Roman"/>
                <w:i w:val="0"/>
                <w:iCs w:val="0"/>
                <w:color w:val="000000"/>
                <w:kern w:val="0"/>
                <w:sz w:val="24"/>
                <w:szCs w:val="24"/>
                <w:u w:val="none"/>
                <w:lang w:val="en-US" w:eastAsia="zh-CN" w:bidi="ar"/>
              </w:rPr>
              <w:br w:type="textWrapping"/>
            </w:r>
            <w:r>
              <w:rPr>
                <w:rFonts w:hint="default" w:ascii="Times New Roman" w:hAnsi="Times New Roman" w:eastAsia="仿宋_GB2312" w:cs="Times New Roman"/>
                <w:i w:val="0"/>
                <w:iCs w:val="0"/>
                <w:color w:val="000000"/>
                <w:kern w:val="0"/>
                <w:sz w:val="24"/>
                <w:szCs w:val="24"/>
                <w:u w:val="none"/>
                <w:lang w:val="en-US" w:eastAsia="zh-CN" w:bidi="ar"/>
              </w:rPr>
              <w:t>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3F667">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r w14:paraId="69FCD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4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22FAD">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15特殊用地</w:t>
            </w:r>
          </w:p>
        </w:tc>
        <w:tc>
          <w:tcPr>
            <w:tcW w:w="48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43313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1506</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5E6E9">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殡葬用地</w:t>
            </w:r>
          </w:p>
        </w:tc>
        <w:tc>
          <w:tcPr>
            <w:tcW w:w="22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49D22">
            <w:pPr>
              <w:keepNext w:val="0"/>
              <w:keepLines w:val="0"/>
              <w:widowControl/>
              <w:suppressLineNumbers w:val="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指殡仪馆、火葬场、骨灰存放处和陵园、墓地等用地</w:t>
            </w:r>
          </w:p>
        </w:tc>
        <w:tc>
          <w:tcPr>
            <w:tcW w:w="7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D25598">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公共管理与公共服务用地基准地价</w:t>
            </w:r>
          </w:p>
        </w:tc>
        <w:tc>
          <w:tcPr>
            <w:tcW w:w="43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9F94F">
            <w:pPr>
              <w:keepNext w:val="0"/>
              <w:keepLines w:val="0"/>
              <w:widowControl/>
              <w:suppressLineNumbers w:val="0"/>
              <w:jc w:val="center"/>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color w:val="000000"/>
                <w:kern w:val="0"/>
                <w:sz w:val="24"/>
                <w:szCs w:val="24"/>
                <w:u w:val="none"/>
                <w:lang w:val="en-US" w:eastAsia="zh-CN" w:bidi="ar"/>
              </w:rPr>
              <w:t xml:space="preserve">1.0 </w:t>
            </w:r>
          </w:p>
        </w:tc>
      </w:tr>
    </w:tbl>
    <w:p w14:paraId="07A5B8E7">
      <w:pPr>
        <w:rPr>
          <w:rFonts w:hint="default" w:ascii="Times New Roman" w:hAnsi="Times New Roman" w:cs="Times New Roman"/>
        </w:rPr>
      </w:pPr>
    </w:p>
    <w:p w14:paraId="74ACDA52">
      <w:pPr>
        <w:rPr>
          <w:rFonts w:hint="default" w:ascii="Times New Roman" w:hAnsi="Times New Roman" w:cs="Times New Roman"/>
        </w:rPr>
      </w:pPr>
    </w:p>
    <w:p w14:paraId="33AF6C0A">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0F6EA4E">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B72F5CE">
      <w:pPr>
        <w:keepNext w:val="0"/>
        <w:keepLines w:val="0"/>
        <w:pageBreakBefore w:val="0"/>
        <w:widowControl w:val="0"/>
        <w:tabs>
          <w:tab w:val="left" w:pos="1050"/>
          <w:tab w:val="left" w:pos="3570"/>
        </w:tabs>
        <w:kinsoku/>
        <w:wordWrap/>
        <w:overflowPunct/>
        <w:topLinePunct w:val="0"/>
        <w:autoSpaceDE/>
        <w:autoSpaceDN/>
        <w:bidi w:val="0"/>
        <w:adjustRightInd/>
        <w:snapToGrid/>
        <w:spacing w:line="57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91453FA">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A3765B7">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3B4333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24A8D33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E6383B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0A3534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906A04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B8C148D">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B875BB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1B92E2B">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87896E1">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4725B2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05A4DA2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14EDC028">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96FBCF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EAE3466">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6B9D13C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4C02CBBE">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5A982204">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AA0C075">
      <w:pPr>
        <w:keepNext w:val="0"/>
        <w:keepLines w:val="0"/>
        <w:pageBreakBefore w:val="0"/>
        <w:widowControl w:val="0"/>
        <w:tabs>
          <w:tab w:val="left" w:pos="1050"/>
          <w:tab w:val="left" w:pos="3570"/>
        </w:tabs>
        <w:kinsoku/>
        <w:wordWrap/>
        <w:overflowPunct/>
        <w:topLinePunct w:val="0"/>
        <w:autoSpaceDE/>
        <w:autoSpaceDN/>
        <w:bidi w:val="0"/>
        <w:adjustRightInd/>
        <w:snapToGrid/>
        <w:spacing w:line="20" w:lineRule="exact"/>
        <w:ind w:left="0" w:leftChars="0" w:firstLine="676" w:firstLineChars="200"/>
        <w:jc w:val="both"/>
        <w:textAlignment w:val="auto"/>
        <w:rPr>
          <w:rFonts w:hint="default" w:ascii="Times New Roman" w:hAnsi="Times New Roman" w:eastAsia="仿宋_GB2312" w:cs="Times New Roman"/>
          <w:spacing w:val="9"/>
          <w:sz w:val="32"/>
          <w:szCs w:val="32"/>
        </w:rPr>
      </w:pPr>
    </w:p>
    <w:p w14:paraId="73C0D889"/>
    <w:sectPr>
      <w:footerReference r:id="rId3" w:type="default"/>
      <w:pgSz w:w="11906" w:h="16838"/>
      <w:pgMar w:top="2098" w:right="1531" w:bottom="1984" w:left="1531" w:header="851" w:footer="1531" w:gutter="0"/>
      <w:pgBorders>
        <w:top w:val="none" w:sz="0" w:space="0"/>
        <w:left w:val="none" w:sz="0" w:space="0"/>
        <w:bottom w:val="none" w:sz="0" w:space="0"/>
        <w:right w:val="none" w:sz="0" w:space="0"/>
      </w:pgBorders>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仿宋简体">
    <w:panose1 w:val="03000509000000000000"/>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 w:name="CESI楷体-GB2312">
    <w:altName w:val="楷体_GB2312"/>
    <w:panose1 w:val="02000500000000000000"/>
    <w:charset w:val="86"/>
    <w:family w:val="auto"/>
    <w:pitch w:val="default"/>
    <w:sig w:usb0="00000000" w:usb1="00000000" w:usb2="00000012" w:usb3="00000000" w:csb0="0004000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413DB">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861892">
                          <w:pPr>
                            <w:pStyle w:val="7"/>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5861892">
                    <w:pPr>
                      <w:pStyle w:val="7"/>
                      <w:keepNext w:val="0"/>
                      <w:keepLines w:val="0"/>
                      <w:pageBreakBefore w:val="0"/>
                      <w:widowControl w:val="0"/>
                      <w:kinsoku/>
                      <w:wordWrap/>
                      <w:overflowPunct/>
                      <w:topLinePunct w:val="0"/>
                      <w:bidi w:val="0"/>
                      <w:adjustRightInd/>
                      <w:snapToGrid w:val="0"/>
                      <w:ind w:left="315" w:leftChars="150" w:right="315" w:rightChars="15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344A08"/>
    <w:rsid w:val="55344A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12">
    <w:name w:val="Default Paragraph Font"/>
    <w:semiHidden/>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style>
  <w:style w:type="paragraph" w:styleId="3">
    <w:name w:val="Body Text"/>
    <w:basedOn w:val="1"/>
    <w:qFormat/>
    <w:uiPriority w:val="0"/>
    <w:pPr>
      <w:spacing w:after="120"/>
    </w:pPr>
  </w:style>
  <w:style w:type="paragraph" w:styleId="4">
    <w:name w:val="Body Text Indent"/>
    <w:basedOn w:val="1"/>
    <w:next w:val="2"/>
    <w:qFormat/>
    <w:uiPriority w:val="0"/>
    <w:pPr>
      <w:spacing w:after="120"/>
      <w:ind w:left="420" w:leftChars="200"/>
    </w:pPr>
    <w:rPr>
      <w:rFonts w:hint="eastAsia"/>
    </w:rPr>
  </w:style>
  <w:style w:type="paragraph" w:styleId="5">
    <w:name w:val="Block Text"/>
    <w:basedOn w:val="1"/>
    <w:qFormat/>
    <w:uiPriority w:val="99"/>
    <w:pPr>
      <w:ind w:left="1289" w:leftChars="101" w:right="320" w:rightChars="100" w:hanging="966" w:hangingChars="483"/>
    </w:pPr>
    <w:rPr>
      <w:rFonts w:ascii="Calibri" w:hAnsi="Calibri"/>
      <w:szCs w:val="24"/>
    </w:rPr>
  </w:style>
  <w:style w:type="paragraph" w:styleId="6">
    <w:name w:val="Plain Text"/>
    <w:basedOn w:val="1"/>
    <w:qFormat/>
    <w:uiPriority w:val="0"/>
    <w:pPr>
      <w:widowControl/>
      <w:overflowPunct w:val="0"/>
      <w:autoSpaceDE w:val="0"/>
      <w:autoSpaceDN w:val="0"/>
      <w:adjustRightInd w:val="0"/>
      <w:jc w:val="left"/>
      <w:textAlignment w:val="baseline"/>
    </w:pPr>
    <w:rPr>
      <w:rFonts w:ascii="宋体" w:hAnsi="Courier New" w:eastAsia="宋体"/>
      <w:sz w:val="21"/>
      <w:lang w:val="en-GB" w:eastAsia="zh-CN" w:bidi="ar-SA"/>
    </w:rPr>
  </w:style>
  <w:style w:type="paragraph" w:styleId="7">
    <w:name w:val="footer"/>
    <w:basedOn w:val="1"/>
    <w:qFormat/>
    <w:uiPriority w:val="0"/>
    <w:pPr>
      <w:tabs>
        <w:tab w:val="center" w:pos="4153"/>
        <w:tab w:val="right" w:pos="8306"/>
      </w:tabs>
      <w:snapToGrid w:val="0"/>
      <w:jc w:val="left"/>
    </w:pPr>
    <w:rPr>
      <w:sz w:val="18"/>
    </w:rPr>
  </w:style>
  <w:style w:type="paragraph" w:styleId="8">
    <w:name w:val="Normal (Web)"/>
    <w:basedOn w:val="1"/>
    <w:qFormat/>
    <w:uiPriority w:val="0"/>
    <w:pPr>
      <w:widowControl/>
      <w:spacing w:before="100" w:beforeLines="0" w:beforeAutospacing="1" w:after="100" w:afterLines="0" w:afterAutospacing="1"/>
      <w:jc w:val="left"/>
    </w:pPr>
    <w:rPr>
      <w:rFonts w:ascii="宋体" w:hAnsi="宋体" w:cs="宋体"/>
      <w:color w:val="000000"/>
      <w:kern w:val="0"/>
      <w:sz w:val="24"/>
    </w:rPr>
  </w:style>
  <w:style w:type="paragraph" w:styleId="9">
    <w:name w:val="Body Text First Indent 2"/>
    <w:basedOn w:val="4"/>
    <w:next w:val="1"/>
    <w:qFormat/>
    <w:uiPriority w:val="0"/>
    <w:pPr>
      <w:ind w:firstLine="420" w:firstLine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3">
    <w:name w:val="font21"/>
    <w:basedOn w:val="12"/>
    <w:qFormat/>
    <w:uiPriority w:val="0"/>
    <w:rPr>
      <w:rFonts w:hint="eastAsia" w:ascii="仿宋" w:hAnsi="仿宋" w:eastAsia="仿宋" w:cs="仿宋"/>
      <w:color w:val="000000"/>
      <w:sz w:val="28"/>
      <w:szCs w:val="28"/>
      <w:u w:val="none"/>
    </w:rPr>
  </w:style>
  <w:style w:type="paragraph" w:customStyle="1" w:styleId="14">
    <w:name w:val="Plain Text"/>
    <w:basedOn w:val="1"/>
    <w:qFormat/>
    <w:uiPriority w:val="0"/>
    <w:rPr>
      <w:rFonts w:ascii="宋体" w:hAnsi="Courier New" w:eastAsia="宋体" w:cs="Times New Roman"/>
      <w:szCs w:val="20"/>
    </w:rPr>
  </w:style>
  <w:style w:type="paragraph" w:customStyle="1" w:styleId="15">
    <w:name w:val="纯文本1"/>
    <w:basedOn w:val="1"/>
    <w:qFormat/>
    <w:uiPriority w:val="0"/>
    <w:rPr>
      <w:rFonts w:ascii="宋体" w:hAnsi="Courier New"/>
      <w:szCs w:val="20"/>
    </w:rPr>
  </w:style>
  <w:style w:type="character" w:customStyle="1" w:styleId="16">
    <w:name w:val="font41"/>
    <w:basedOn w:val="12"/>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1</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2025-01-11T00:56:00Z</dcterms:created>
  <dc:creator>Z</dc:creator>
  <cp:lastModifiedBy>Z</cp:lastModifiedBy>
  <dcterms:modified xsi:type="dcterms:W3CDTF">2025-01-11T00:57:35Z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E7C2392F12EE4CF8B6916ABB6639D584_11</vt:lpwstr>
  </property>
  <property fmtid="{D5CDD505-2E9C-101B-9397-08002B2CF9AE}" pid="4" name="KSOTemplateDocerSaveRecord">
    <vt:lpwstr>eyJoZGlkIjoiOTkyM2RjOTVjMjVmNzhlN2RiZTk0ZGM5ZGNjZWYzOGEiLCJ1c2VySWQiOiIzNDQzOTMzNDMifQ==</vt:lpwstr>
  </property>
</Properties>
</file>