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5F519D4">
      <w:pPr>
        <w:rPr>
          <w:rFonts w:hint="eastAsia" w:asciiTheme="minorEastAsia" w:hAnsiTheme="minorEastAsia" w:eastAsiaTheme="minorEastAsia" w:cstheme="minorEastAsia"/>
          <w:highlight w:val="none"/>
        </w:rPr>
      </w:pPr>
    </w:p>
    <w:p w14:paraId="10F2F6C3">
      <w:pPr>
        <w:rPr>
          <w:rFonts w:hint="eastAsia" w:asciiTheme="minorEastAsia" w:hAnsiTheme="minorEastAsia" w:eastAsiaTheme="minorEastAsia" w:cstheme="minorEastAsia"/>
          <w:highlight w:val="none"/>
        </w:rPr>
      </w:pPr>
    </w:p>
    <w:p w14:paraId="05D6EF11">
      <w:pPr>
        <w:rPr>
          <w:rFonts w:hint="eastAsia" w:asciiTheme="minorEastAsia" w:hAnsiTheme="minorEastAsia" w:eastAsiaTheme="minorEastAsia" w:cstheme="minorEastAsia"/>
          <w:highlight w:val="none"/>
        </w:rPr>
      </w:pPr>
    </w:p>
    <w:p w14:paraId="383B1B98">
      <w:pPr>
        <w:rPr>
          <w:rFonts w:hint="eastAsia" w:asciiTheme="minorEastAsia" w:hAnsiTheme="minorEastAsia" w:eastAsiaTheme="minorEastAsia" w:cstheme="minorEastAsia"/>
          <w:highlight w:val="none"/>
        </w:rPr>
      </w:pPr>
    </w:p>
    <w:p w14:paraId="596D3773">
      <w:pPr>
        <w:rPr>
          <w:rFonts w:hint="eastAsia" w:asciiTheme="minorEastAsia" w:hAnsiTheme="minorEastAsia" w:eastAsiaTheme="minorEastAsia" w:cstheme="minorEastAsia"/>
          <w:highlight w:val="none"/>
        </w:rPr>
      </w:pPr>
    </w:p>
    <w:p w14:paraId="66B2C4C6">
      <w:pPr>
        <w:pStyle w:val="2"/>
        <w:bidi w:val="0"/>
        <w:rPr>
          <w:rFonts w:hint="eastAsia"/>
          <w:highlight w:val="none"/>
        </w:rPr>
      </w:pPr>
    </w:p>
    <w:p w14:paraId="0368F700">
      <w:pPr>
        <w:pStyle w:val="2"/>
        <w:bidi w:val="0"/>
        <w:rPr>
          <w:rFonts w:hint="eastAsia"/>
          <w:highlight w:val="none"/>
        </w:rPr>
      </w:pPr>
    </w:p>
    <w:p w14:paraId="5F695185">
      <w:pPr>
        <w:pStyle w:val="2"/>
        <w:bidi w:val="0"/>
        <w:rPr>
          <w:rFonts w:hint="eastAsia"/>
          <w:highlight w:val="none"/>
        </w:rPr>
      </w:pPr>
      <w:r>
        <w:rPr>
          <w:rFonts w:hint="eastAsia"/>
          <w:highlight w:val="none"/>
          <w:lang w:eastAsia="zh-CN"/>
        </w:rPr>
        <w:t>和尚洞</w:t>
      </w:r>
      <w:r>
        <w:rPr>
          <w:rFonts w:hint="eastAsia"/>
          <w:highlight w:val="none"/>
        </w:rPr>
        <w:t>渔港管理章程</w:t>
      </w:r>
    </w:p>
    <w:p w14:paraId="736C0426">
      <w:pPr>
        <w:rPr>
          <w:rFonts w:hint="eastAsia" w:asciiTheme="minorEastAsia" w:hAnsiTheme="minorEastAsia" w:eastAsiaTheme="minorEastAsia" w:cstheme="minorEastAsia"/>
          <w:highlight w:val="none"/>
        </w:rPr>
      </w:pPr>
    </w:p>
    <w:p w14:paraId="5EE88A57">
      <w:pPr>
        <w:rPr>
          <w:rFonts w:hint="eastAsia" w:asciiTheme="minorEastAsia" w:hAnsiTheme="minorEastAsia" w:eastAsiaTheme="minorEastAsia" w:cstheme="minorEastAsia"/>
          <w:highlight w:val="none"/>
        </w:rPr>
      </w:pPr>
    </w:p>
    <w:p w14:paraId="16146E76">
      <w:pPr>
        <w:rPr>
          <w:rFonts w:hint="eastAsia" w:asciiTheme="minorEastAsia" w:hAnsiTheme="minorEastAsia" w:eastAsiaTheme="minorEastAsia" w:cstheme="minorEastAsia"/>
          <w:highlight w:val="none"/>
        </w:rPr>
      </w:pPr>
    </w:p>
    <w:p w14:paraId="2F45A1C9">
      <w:pPr>
        <w:rPr>
          <w:rFonts w:hint="eastAsia" w:asciiTheme="minorEastAsia" w:hAnsiTheme="minorEastAsia" w:eastAsiaTheme="minorEastAsia" w:cstheme="minorEastAsia"/>
          <w:highlight w:val="none"/>
        </w:rPr>
      </w:pPr>
    </w:p>
    <w:p w14:paraId="50563A40">
      <w:pPr>
        <w:rPr>
          <w:rFonts w:hint="eastAsia" w:asciiTheme="minorEastAsia" w:hAnsiTheme="minorEastAsia" w:eastAsiaTheme="minorEastAsia" w:cstheme="minorEastAsia"/>
          <w:highlight w:val="none"/>
        </w:rPr>
      </w:pPr>
    </w:p>
    <w:p w14:paraId="2E64DFAE">
      <w:pPr>
        <w:rPr>
          <w:rFonts w:hint="eastAsia" w:asciiTheme="minorEastAsia" w:hAnsiTheme="minorEastAsia" w:eastAsiaTheme="minorEastAsia" w:cstheme="minorEastAsia"/>
          <w:highlight w:val="none"/>
        </w:rPr>
      </w:pPr>
    </w:p>
    <w:p w14:paraId="735F7F95">
      <w:pPr>
        <w:rPr>
          <w:rFonts w:hint="eastAsia" w:asciiTheme="minorEastAsia" w:hAnsiTheme="minorEastAsia" w:eastAsiaTheme="minorEastAsia" w:cstheme="minorEastAsia"/>
          <w:highlight w:val="none"/>
        </w:rPr>
      </w:pPr>
    </w:p>
    <w:p w14:paraId="6A7CD2A9">
      <w:pPr>
        <w:rPr>
          <w:rFonts w:hint="eastAsia" w:asciiTheme="minorEastAsia" w:hAnsiTheme="minorEastAsia" w:eastAsiaTheme="minorEastAsia" w:cstheme="minorEastAsia"/>
          <w:highlight w:val="none"/>
        </w:rPr>
      </w:pPr>
    </w:p>
    <w:p w14:paraId="5E88ADD1">
      <w:pPr>
        <w:rPr>
          <w:rFonts w:hint="eastAsia" w:asciiTheme="minorEastAsia" w:hAnsiTheme="minorEastAsia" w:eastAsiaTheme="minorEastAsia" w:cstheme="minorEastAsia"/>
          <w:highlight w:val="none"/>
        </w:rPr>
      </w:pPr>
    </w:p>
    <w:p w14:paraId="0D6E87E3">
      <w:pPr>
        <w:rPr>
          <w:rFonts w:hint="eastAsia" w:asciiTheme="minorEastAsia" w:hAnsiTheme="minorEastAsia" w:eastAsiaTheme="minorEastAsia" w:cstheme="minorEastAsia"/>
          <w:highlight w:val="none"/>
        </w:rPr>
      </w:pPr>
    </w:p>
    <w:p w14:paraId="4CC836F4">
      <w:pPr>
        <w:rPr>
          <w:rFonts w:hint="eastAsia" w:asciiTheme="minorEastAsia" w:hAnsiTheme="minorEastAsia" w:eastAsiaTheme="minorEastAsia" w:cstheme="minorEastAsia"/>
          <w:highlight w:val="none"/>
        </w:rPr>
      </w:pPr>
    </w:p>
    <w:p w14:paraId="78E3C7BB">
      <w:pPr>
        <w:rPr>
          <w:rFonts w:hint="eastAsia" w:asciiTheme="minorEastAsia" w:hAnsiTheme="minorEastAsia" w:eastAsiaTheme="minorEastAsia" w:cstheme="minorEastAsia"/>
          <w:highlight w:val="none"/>
        </w:rPr>
      </w:pPr>
    </w:p>
    <w:p w14:paraId="6568DDDD">
      <w:pPr>
        <w:rPr>
          <w:rFonts w:hint="eastAsia" w:asciiTheme="minorEastAsia" w:hAnsiTheme="minorEastAsia" w:eastAsiaTheme="minorEastAsia" w:cstheme="minorEastAsia"/>
          <w:highlight w:val="none"/>
        </w:rPr>
      </w:pPr>
    </w:p>
    <w:p w14:paraId="74730DD7">
      <w:pPr>
        <w:rPr>
          <w:rFonts w:hint="eastAsia" w:asciiTheme="minorEastAsia" w:hAnsiTheme="minorEastAsia" w:eastAsiaTheme="minorEastAsia" w:cstheme="minorEastAsia"/>
          <w:highlight w:val="none"/>
        </w:rPr>
      </w:pPr>
    </w:p>
    <w:p w14:paraId="4CBFA7B9">
      <w:pPr>
        <w:rPr>
          <w:rFonts w:hint="eastAsia" w:asciiTheme="minorEastAsia" w:hAnsiTheme="minorEastAsia" w:eastAsiaTheme="minorEastAsia" w:cstheme="minorEastAsia"/>
          <w:highlight w:val="none"/>
        </w:rPr>
      </w:pPr>
    </w:p>
    <w:p w14:paraId="172B2FA2">
      <w:pPr>
        <w:rPr>
          <w:rFonts w:hint="eastAsia" w:asciiTheme="minorEastAsia" w:hAnsiTheme="minorEastAsia" w:eastAsiaTheme="minorEastAsia" w:cstheme="minorEastAsia"/>
          <w:highlight w:val="none"/>
        </w:rPr>
      </w:pPr>
    </w:p>
    <w:p w14:paraId="6710D4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2560" w:leftChars="8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编制：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乳山市金海蓝湾综合开发有限公司</w:t>
      </w:r>
    </w:p>
    <w:p w14:paraId="543370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2560" w:leftChars="8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审核：乳山市海洋发展局</w:t>
      </w:r>
    </w:p>
    <w:p w14:paraId="1F41F1B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2560" w:leftChars="8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发布：乳山市人民政府</w:t>
      </w:r>
    </w:p>
    <w:p w14:paraId="42CA40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2560" w:leftChars="8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时间：2024年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>11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</w:t>
      </w:r>
    </w:p>
    <w:p w14:paraId="41FEF01F">
      <w:pPr>
        <w:jc w:val="lef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</w:p>
    <w:p w14:paraId="5BC6F5F9">
      <w:pPr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br w:type="page"/>
      </w:r>
    </w:p>
    <w:p w14:paraId="2A36DFC1">
      <w:pPr>
        <w:pStyle w:val="2"/>
        <w:bidi w:val="0"/>
        <w:rPr>
          <w:rFonts w:hint="eastAsia"/>
          <w:highlight w:val="none"/>
        </w:rPr>
      </w:pPr>
      <w:r>
        <w:rPr>
          <w:rFonts w:hint="eastAsia"/>
          <w:highlight w:val="none"/>
        </w:rPr>
        <w:t>目  录</w:t>
      </w:r>
    </w:p>
    <w:p w14:paraId="1E818B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</w:p>
    <w:p w14:paraId="4ECBA2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第一章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总  则</w:t>
      </w:r>
    </w:p>
    <w:p w14:paraId="16F1CE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第二章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渔港概况</w:t>
      </w:r>
    </w:p>
    <w:p w14:paraId="4093CC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第三章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渔港管理机构</w:t>
      </w:r>
    </w:p>
    <w:p w14:paraId="6E60B5D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第四章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渔港设施</w:t>
      </w:r>
    </w:p>
    <w:p w14:paraId="0F961C4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第五章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渔船进出港</w:t>
      </w:r>
    </w:p>
    <w:p w14:paraId="2885B5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第六章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渔船停泊和作业</w:t>
      </w:r>
    </w:p>
    <w:p w14:paraId="05FC01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第七章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渔港经营与服务</w:t>
      </w:r>
    </w:p>
    <w:p w14:paraId="032780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第八章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渔港安全与环境保护</w:t>
      </w:r>
    </w:p>
    <w:p w14:paraId="6B1802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第九章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渔港应急事件处置</w:t>
      </w:r>
    </w:p>
    <w:p w14:paraId="4789C0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第十章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禁止与限制性规定</w:t>
      </w:r>
    </w:p>
    <w:p w14:paraId="4E2EA8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第十一章  附  则</w:t>
      </w:r>
    </w:p>
    <w:p w14:paraId="22785237">
      <w:pPr>
        <w:jc w:val="lef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</w:p>
    <w:p w14:paraId="02D4494A">
      <w:pPr>
        <w:jc w:val="lef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</w:p>
    <w:p w14:paraId="325632E2">
      <w:pPr>
        <w:jc w:val="lef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</w:p>
    <w:p w14:paraId="5C17F711">
      <w:pPr>
        <w:jc w:val="lef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</w:p>
    <w:p w14:paraId="0219368C">
      <w:pPr>
        <w:jc w:val="lef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</w:p>
    <w:p w14:paraId="6BF0EA94">
      <w:pPr>
        <w:jc w:val="lef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</w:p>
    <w:p w14:paraId="0792AC57">
      <w:pPr>
        <w:jc w:val="lef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</w:p>
    <w:p w14:paraId="2F882599">
      <w:pPr>
        <w:jc w:val="lef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</w:p>
    <w:p w14:paraId="27443D15">
      <w:pPr>
        <w:jc w:val="lef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</w:p>
    <w:p w14:paraId="3F633E91">
      <w:pPr>
        <w:jc w:val="lef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</w:p>
    <w:p w14:paraId="4AA03C73">
      <w:pPr>
        <w:jc w:val="lef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</w:p>
    <w:p w14:paraId="599061B1">
      <w:pPr>
        <w:jc w:val="lef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</w:p>
    <w:p w14:paraId="274B2EE5">
      <w:pPr>
        <w:jc w:val="lef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</w:p>
    <w:p w14:paraId="4114EAE7">
      <w:pPr>
        <w:jc w:val="lef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</w:p>
    <w:p w14:paraId="0A3F772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61" w:beforeLines="100" w:after="361" w:afterLines="100"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  <w:highlight w:val="none"/>
        </w:rPr>
        <w:sectPr>
          <w:headerReference r:id="rId3" w:type="default"/>
          <w:footerReference r:id="rId4" w:type="default"/>
          <w:pgSz w:w="11905" w:h="16838"/>
          <w:pgMar w:top="1270" w:right="1080" w:bottom="1270" w:left="1080" w:header="720" w:footer="720" w:gutter="0"/>
          <w:pgNumType w:fmt="decimal" w:start="1"/>
          <w:cols w:space="0" w:num="1"/>
          <w:rtlGutter w:val="0"/>
          <w:docGrid w:linePitch="360" w:charSpace="0"/>
        </w:sectPr>
      </w:pPr>
    </w:p>
    <w:p w14:paraId="3940BF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61" w:beforeLines="100" w:after="361" w:afterLines="100" w:line="560" w:lineRule="exact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第一章 总 则</w:t>
      </w:r>
    </w:p>
    <w:p w14:paraId="525006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第一条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为了加强渔港管理，保障渔港生产安全，维护渔港经营秩序，依据《中华人民共和国渔港水域交通安全管理条例》《山东省渔业港口和渔业船舶管理条例》《山东省规范海洋渔业船舶捕捞规定》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结合本港实际，制定本章程。</w:t>
      </w:r>
    </w:p>
    <w:p w14:paraId="2482E6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第二条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在本港从事生产经营活动以及进入港区的船舶、设施、车辆和人员，应当遵守本章程。</w:t>
      </w:r>
    </w:p>
    <w:p w14:paraId="021695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61" w:beforeLines="100" w:after="361" w:afterLines="100" w:line="560" w:lineRule="exact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highlight w:val="none"/>
        </w:rPr>
        <w:t>第二章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highlight w:val="none"/>
        </w:rPr>
        <w:t>渔港概况</w:t>
      </w:r>
    </w:p>
    <w:p w14:paraId="2A2F46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第三条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本港隶属乳山市育犁农业发展集团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有限公司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，位于乳山市浪暖口湾西侧和尚洞。和尚洞渔港位于威海乳山市南部沿海，水路交通便利，海上运输直达烟台、青岛、韩国仁川等港口城市；陆上渔港紧邻G228国道、青威高速，208省道纵贯南北，309国道横穿东西，公路网络四通八达，集疏运条件好；另外渔港距威海机场60km，烟台蓬莱机场110km，形成海、陆、空三位一体交通网，集疏运条件优秀。</w:t>
      </w:r>
    </w:p>
    <w:p w14:paraId="590060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第四条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本港处于中纬度地区，属东亚暖温带季风气候，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四季分明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，终年不冻。潮汐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为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正规半日潮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，最大潮差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>4.31米，最小潮差0.49米。</w:t>
      </w:r>
    </w:p>
    <w:p w14:paraId="279DFA6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default" w:ascii="仿宋_GB2312" w:hAnsi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第五条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本港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地理位置优越，渔船收港方便，承担着本地区渔获集散和中转交易的重要功能，渔汛季节，停泊本省及辽宁等地渔船。</w:t>
      </w:r>
    </w:p>
    <w:p w14:paraId="3E4FEC0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hAnsi="宋体" w:eastAsia="仿宋_GB2312"/>
          <w:color w:val="auto"/>
          <w:sz w:val="32"/>
          <w:szCs w:val="36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第六条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 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和尚洞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渔港陆域面积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>10.96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万平方米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。</w:t>
      </w:r>
      <w:r>
        <w:rPr>
          <w:rFonts w:hint="eastAsia" w:hAnsi="宋体"/>
          <w:color w:val="auto"/>
          <w:sz w:val="32"/>
          <w:szCs w:val="36"/>
          <w:highlight w:val="none"/>
        </w:rPr>
        <w:t>渔港陆域控制点坐标</w:t>
      </w:r>
      <w:r>
        <w:rPr>
          <w:rFonts w:hint="eastAsia" w:hAnsi="宋体"/>
          <w:color w:val="auto"/>
          <w:sz w:val="32"/>
          <w:szCs w:val="36"/>
          <w:highlight w:val="none"/>
          <w:lang w:eastAsia="zh-CN"/>
        </w:rPr>
        <w:t>：</w:t>
      </w:r>
    </w:p>
    <w:p w14:paraId="3CA72B9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L1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121°44′41.40″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36°51′30.88″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1785A7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L2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121°44′41.63″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36°51′31.19″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49A916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L3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121°44′42.66″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36°51′30.93″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3D40E16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L4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121°44′43.51″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36°51′30.50″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6A227A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L5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121°44′44.36″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36°51′29.27″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4E3D3E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L6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121°44′44.28″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36°51′27.76″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193E14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L7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121°44′45.09″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36°51′26.26″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3F526E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L8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121°44′47.76″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36°51′22.78″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4616188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L9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121°44′49.37″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36°51′20.53″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4E3BF5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L10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121°44′52.04″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36°51′17.64″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24D7DC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L11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121°44′53.38″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36°51′17.25″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2F4934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L12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121°44′54.39″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36°51′16.66″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22AE1F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L13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121°44′54.69″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36°51′15.97″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19E561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L14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121°44′54.85″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36°51′15.84″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15ED2ED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L15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121°44′54.95″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36°51′16.32″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364FB7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L16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121°44′55.17″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36°51′16.89″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211E6B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L17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121°44′55.84″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36°51′17.05″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3A08CB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L18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121°44′58.78″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36°51′17.36″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749F153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L19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121°45′01.89″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36°51′18.77″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75DE4D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L20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121°45′02.94″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36°51′17.05″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1F881D3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L21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121°45′03.23″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36°51′16.65″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744120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L22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121°45′03.46″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36°51′16.38″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26AF4F0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L23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121°45′05.06″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36°51′16.89″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7BDFF7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L24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121°45′05.47″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36°51′16.14″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22E74C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L25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121°45′07.25″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36°51′16.70″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01E02A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L26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121°45′07.48″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36°51′16.27″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5FACC7D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L27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121°45′07.04″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36°51′16.12″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215587D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L28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121°45′07.78″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36°51′14.79″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519795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L29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121°45′10.44″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36°51′15.43″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159DE4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L30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121°45′10.38″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36°51′15.79″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18A515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L31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121°45′13.40″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36°51′16.72″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14A4A4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L32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121°45′13.57″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36°51′15.53″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1F1384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L33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121°45′15.72″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36°51′15.08″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06E6A70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L34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121°45′15.58″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36°51′14.70″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35AF02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L35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121°45′12.53″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36°51′15.36″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3F1F2C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L36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121°45′10.81″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36°51′15.01″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738ABE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L37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121°45′09.42″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36°51′14.81″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2F5C5F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L38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121°45′07.40″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36°51′14.23″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1B82F5B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L39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121°45′08.39″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36°51′10.99″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6C1876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L40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121°44′56.95″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36°51′06.72″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5654A5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L41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121°44′52.83″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36°51′13.96″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34487D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L42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121°44′51.18″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36°51′14.03″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076F19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L43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121°44′49.67″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36°51′17.40″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4F4A7A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L44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121°44′50.86″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36°51′17.89″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1201060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L45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121°44′47.76″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36°51′21.80″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06C7888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L46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121°44′45.68″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36°51′24.69″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68B7AC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L47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121°44′43.43″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36°51′27.36″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24202A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L48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121°44′43.55″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36°51′28.58″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4D0128C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L49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121°44′43.55″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36°51′29.18″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3C6F66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L50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121°44′42.67″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36°51′30.34″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513D26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L51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121°44′41.43″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36°51′30.89″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N。</w:t>
      </w:r>
    </w:p>
    <w:p w14:paraId="5205727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bCs w:val="0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第七条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 和尚洞渔港水域面积10.22万平方米。</w:t>
      </w:r>
      <w:r>
        <w:rPr>
          <w:rFonts w:hint="eastAsia" w:ascii="仿宋_GB2312" w:hAnsi="仿宋_GB2312" w:eastAsia="仿宋_GB2312" w:cs="仿宋_GB2312"/>
          <w:bCs w:val="0"/>
          <w:kern w:val="2"/>
          <w:sz w:val="32"/>
          <w:szCs w:val="32"/>
          <w:highlight w:val="none"/>
          <w:lang w:val="en-US" w:eastAsia="zh-CN" w:bidi="ar-SA"/>
        </w:rPr>
        <w:t>渔港水域控制点坐标</w:t>
      </w:r>
      <w:r>
        <w:rPr>
          <w:rFonts w:hint="eastAsia" w:ascii="仿宋_GB2312" w:hAnsi="仿宋_GB2312" w:cs="仿宋_GB2312"/>
          <w:bCs w:val="0"/>
          <w:kern w:val="2"/>
          <w:sz w:val="32"/>
          <w:szCs w:val="32"/>
          <w:highlight w:val="none"/>
          <w:lang w:val="en-US" w:eastAsia="zh-CN" w:bidi="ar-SA"/>
        </w:rPr>
        <w:t>：</w:t>
      </w:r>
    </w:p>
    <w:p w14:paraId="7A38E97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S1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121°45′08.39″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36°51′10.99″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28907A6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S2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121°45′18.07″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36°51′13.50″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00FB362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S3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121°45′18.35″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36°51′25.80″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49DA3AE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S4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121°45′01.89″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36°51′18.77″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6804E8F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S5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121°45′02.94″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36°51′17.05″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66F20C5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S6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121°45′03.23″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36°51′16.65″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734C4C2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S7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121°45′03.46″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36°51′16.38″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3272DEB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S8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121°45′05.06″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36°51′16.89″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2DA1D0E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S9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121°45′05.47″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36°51′16.14″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3EC67F0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S10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121°45′07.25″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36°51′16.70″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5EF2E4D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S11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121°45′07.48″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36°51′16.27″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18D331F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S12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121°45′07.04″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36°51′16.12″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29318CB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S13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121°45′07.78″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36°51′14.79″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68E6D1F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S14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121°45′10.44″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36°51′15.43″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26870A6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S15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121°45′10.38″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36°51′15.79″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2AD7358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S16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121°45′13.40″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36°51′16.72″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3D75BF3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S17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121°45′13.57″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36°51′15.53″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69FAEAD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S18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121°45′15.72″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36°51′15.08″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348C533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S19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121°45′15.58″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36°51′14.70″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2293478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S20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121°45′12.53″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36°51′15.36″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766106E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S21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121°45′10.81″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36°51′15.01″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2870AE0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S22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121°45′09.42″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36°51′14.81″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N；</w:t>
      </w:r>
    </w:p>
    <w:p w14:paraId="2B3D592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S23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121°45′07.40″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eastAsia="zh-CN"/>
        </w:rPr>
        <w:t>E、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highlight w:val="none"/>
        </w:rPr>
        <w:t>36°51′14.23″</w:t>
      </w:r>
      <w:r>
        <w:rPr>
          <w:rFonts w:hint="eastAsia" w:ascii="仿宋_GB2312" w:hAnsi="仿宋_GB2312" w:cs="仿宋_GB2312"/>
          <w:color w:val="auto"/>
          <w:kern w:val="0"/>
          <w:sz w:val="32"/>
          <w:szCs w:val="32"/>
          <w:highlight w:val="none"/>
          <w:lang w:val="en-US" w:eastAsia="zh-CN"/>
        </w:rPr>
        <w:t>N。</w:t>
      </w:r>
    </w:p>
    <w:p w14:paraId="346F14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61" w:beforeLines="100" w:after="361" w:afterLines="100"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第三章</w:t>
      </w:r>
      <w:r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黑体" w:hAnsi="黑体" w:eastAsia="黑体" w:cs="黑体"/>
          <w:sz w:val="32"/>
          <w:szCs w:val="32"/>
          <w:highlight w:val="none"/>
        </w:rPr>
        <w:t>渔港管理机构</w:t>
      </w:r>
    </w:p>
    <w:p w14:paraId="7DBAE2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 xml:space="preserve">第八条  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eastAsia="zh-CN"/>
        </w:rPr>
        <w:t>乳山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市海洋发展局是本港的行政管理部门，负责组织编制渔港管理章程，对渔港安全和经营实施监督管理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eastAsia="zh-CN"/>
        </w:rPr>
        <w:t>；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负责指导监督航标规划、建设及维护管理；负责参与渔业船舶水上交通事故、渔事纠纷的调查处理，参与海上抢险救助；负责渔业港口管理建设、认定、经营许可审核等工作。</w:t>
      </w:r>
    </w:p>
    <w:p w14:paraId="3C6D00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九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乳山市公安局白沙滩边防所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派出所负责本港治安管理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。</w:t>
      </w:r>
    </w:p>
    <w:p w14:paraId="0D991F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61" w:beforeLines="100" w:after="361" w:afterLines="100"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第四章 渔港设施</w:t>
      </w:r>
    </w:p>
    <w:p w14:paraId="61ABFAE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第十条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>本港码头总长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val="en-US" w:eastAsia="zh-CN"/>
        </w:rPr>
        <w:t>479米，前沿顶面高程+3.0米，前沿水深-3.0米，设计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>泊位7个，最大可靠泊150吨级船舶。1号泊位为临时靠泊泊位；2号泊位为加油泊位；3号泊位为加冰泊位；4-6号泊位为渔船渔获物装卸泊位；7号泊位为临时维修泊位。</w:t>
      </w:r>
    </w:p>
    <w:p w14:paraId="6F08C2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第十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一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凤凰咀灯桩设于渔港西南，坐标为36°50′45＂N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121°44′53＂E，闪白，周期6秒，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桩体白色，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塔高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米，灯高1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米，射程6海里。</w:t>
      </w:r>
    </w:p>
    <w:p w14:paraId="385FAAD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61" w:beforeLines="100" w:after="361" w:afterLines="100"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第五章</w:t>
      </w:r>
      <w:r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黑体" w:hAnsi="黑体" w:eastAsia="黑体" w:cs="黑体"/>
          <w:sz w:val="32"/>
          <w:szCs w:val="32"/>
          <w:highlight w:val="none"/>
        </w:rPr>
        <w:t>渔船进出港</w:t>
      </w:r>
    </w:p>
    <w:p w14:paraId="0F473DA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第十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二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本港专门为渔业生产服务。未经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乳山市海洋发展局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同意，非渔船不得进入本港。</w:t>
      </w:r>
    </w:p>
    <w:p w14:paraId="576EB5C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第十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三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拟进出本港的渔船应当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使用规定的系统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向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乳山市海洋发展局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报告，并采用适当方式向本港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报告船名、进出港时间、进出港目的等。</w:t>
      </w:r>
    </w:p>
    <w:p w14:paraId="0990EC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第十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四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渔船进出港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靠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右侧航行，航速不得超过5节。进港船避让出港船，小型船避让大型船，机动船避让非机动船；拖带船、驳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船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及其他物体应当显示拖带信号，采用旁拖方式，旁拖船数不得超过两艘；拖带舢板、小艇可采用尾拖方式，保持拖缆牢固。</w:t>
      </w:r>
    </w:p>
    <w:p w14:paraId="76DE8AC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十五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渔船进港后和出港前，应当在指定泊位停泊，泊稳后通知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登记进出港信息，登记完成后，方可进行码头作业或者驶离码头。</w:t>
      </w:r>
    </w:p>
    <w:p w14:paraId="7D7C8D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第十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六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登记渔船进出港信息，应当使用全省统一的渔船进出港登记系统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如实填报渔船数据，发现进出港渔船有下列情形之一的，立即向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乳山市海洋发展局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报告，并限制渔船离港：</w:t>
      </w:r>
    </w:p>
    <w:p w14:paraId="2C78FE9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一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进出港登记检查不合格的；</w:t>
      </w:r>
    </w:p>
    <w:p w14:paraId="2A4965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二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违反休渔管理规定的；</w:t>
      </w:r>
    </w:p>
    <w:p w14:paraId="4192BE1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三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禁止离港或者扣押期间离港的；</w:t>
      </w:r>
    </w:p>
    <w:p w14:paraId="790CB9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四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被渔业行政主管部门通报核查的。</w:t>
      </w:r>
    </w:p>
    <w:p w14:paraId="35D5CA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十七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登记渔船进港信息，应当核验渔船身份，查验渔船证书，校验船名、船名牌、船籍港等是否与渔船证书记载相符，利用渔船进出港登记信息系统核实渔船船位是否在本港。</w:t>
      </w:r>
    </w:p>
    <w:p w14:paraId="07A6C07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十八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登记渔船出港信息，应当检查渔船安全状况，具体包括：</w:t>
      </w:r>
    </w:p>
    <w:p w14:paraId="4163934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一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职务船员配备、船员持证以及是否超员；</w:t>
      </w:r>
    </w:p>
    <w:p w14:paraId="13C3550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二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救生消防设备是否齐全有效；</w:t>
      </w:r>
    </w:p>
    <w:p w14:paraId="259F6DA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三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AIS、北斗设备完好性及注册信息准确性。</w:t>
      </w:r>
    </w:p>
    <w:p w14:paraId="12D58D8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十九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禁渔期内，未经渔业主管部门批准，休渔渔船不得进出本港。</w:t>
      </w:r>
    </w:p>
    <w:p w14:paraId="1AD916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61" w:beforeLines="100" w:after="361" w:afterLines="100"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第六章</w:t>
      </w:r>
      <w:r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黑体" w:hAnsi="黑体" w:eastAsia="黑体" w:cs="黑体"/>
          <w:sz w:val="32"/>
          <w:szCs w:val="32"/>
          <w:highlight w:val="none"/>
        </w:rPr>
        <w:t>渔船停泊和作业</w:t>
      </w:r>
    </w:p>
    <w:p w14:paraId="41E816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第二十条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渔船进入本港后，应当及时向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报告动态，服从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调度和指挥，在指定地点停泊或者作业。</w:t>
      </w:r>
    </w:p>
    <w:p w14:paraId="089ECC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应当根据船舶种类、码头作业类别以及泊位功能等合理安排渔船停泊或者作业泊位。</w:t>
      </w:r>
    </w:p>
    <w:p w14:paraId="2E323F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第二十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一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渔船停泊应当留有紧急疏散通道，系泊方式可采用单船单锚或者多船并排单锚。</w:t>
      </w:r>
    </w:p>
    <w:p w14:paraId="0CF71F0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第二十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二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渔船停泊期间，应当留足值班船员，及时应对突发事件。</w:t>
      </w:r>
    </w:p>
    <w:p w14:paraId="3934AB9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color w:val="0000FF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第二十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三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渔船在本港装卸渔获物的，应报告渔获物品种、数量等信息。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船载渔获物应当采用箱装或者袋装方式上岸。使用移动式链条运输机等起重机械装卸的，须向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报备；作业期间，船方应当指定专人做好现场安全防护，防止无关人员靠近作业区域。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>渔获物在本港上交易时，有溯源管理要求的，应取得相关合法标签。</w:t>
      </w:r>
    </w:p>
    <w:p w14:paraId="0A39C4B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二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十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四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进港装运渔获物的车辆应当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根据相关收费标准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，缴纳货物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费，并经本港门卫查验缴费单据后，方可离港。</w:t>
      </w:r>
    </w:p>
    <w:p w14:paraId="254C32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二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十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五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渔船进行电焊、气焊、喷灯等明火作业，须向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报备。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应当查验承接作业单位资质、作业人员资质、作业周边环境等是否符合国家有关规定和技术标准要求。</w:t>
      </w:r>
    </w:p>
    <w:p w14:paraId="7654AA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明火作业期间，施工方及船方应当加强现场值守，划定作业隔离区，配备相应的应急消防设备。</w:t>
      </w:r>
    </w:p>
    <w:p w14:paraId="613CAE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二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十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六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渔船加油须向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报备。使用加油车辆加油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的，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加油车辆应当经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检查，核验并登记加油车辆、驾驶人员、操作人员资质以及受油船舶信息，留存油品来源证明。</w:t>
      </w:r>
    </w:p>
    <w:p w14:paraId="1C2E8F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渔船加油期间，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应当加强现场安全管理，配备相应的应急消防和防治污染设备。</w:t>
      </w:r>
    </w:p>
    <w:p w14:paraId="51DD95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二十七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渔船进行潜水割摆作业，须向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报备。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应当加强作业现场管理，防止其他船舶靠近作业区域；船方应当安排人员值守，保障作业安全。</w:t>
      </w:r>
    </w:p>
    <w:p w14:paraId="6D53A78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二十八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渔船结束码头作业，应当立即驶离，在指定地点停泊，不得长时间占用作业泊位。</w:t>
      </w:r>
    </w:p>
    <w:p w14:paraId="239985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61" w:beforeLines="100" w:after="361" w:afterLines="100"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第七章</w:t>
      </w:r>
      <w:r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黑体" w:hAnsi="黑体" w:eastAsia="黑体" w:cs="黑体"/>
          <w:sz w:val="32"/>
          <w:szCs w:val="32"/>
          <w:highlight w:val="none"/>
        </w:rPr>
        <w:t>渔港经营与服务</w:t>
      </w:r>
    </w:p>
    <w:p w14:paraId="3D32B14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二十九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在本港从事经营活动，应当遵守有关法律、法规和规章的规定，为客户提供公平、良好服务，不得强买强卖或者为涉渔“三无”船舶提供服务。</w:t>
      </w:r>
    </w:p>
    <w:p w14:paraId="647115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第三十条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本港经营人为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乳山市金海蓝湾综合开发有限公司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，已取得威海市海洋发展局颁发的《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渔业港口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经营许可证》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内设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和尚洞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渔港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服务中心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具体负责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管理。</w:t>
      </w:r>
    </w:p>
    <w:p w14:paraId="786617B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第三十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一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渔港经营人应当加强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管理，维护港区生产经营秩序，定期维护渔港设施，保障设施正常运行。本港可为到港渔船提供下列经营项目：</w:t>
      </w:r>
    </w:p>
    <w:p w14:paraId="08C475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（一）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渔获物装卸、交易；</w:t>
      </w:r>
    </w:p>
    <w:p w14:paraId="2DD9A6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（二）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岸电使用；</w:t>
      </w:r>
    </w:p>
    <w:p w14:paraId="2BABE8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（三）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溢油防治。</w:t>
      </w:r>
    </w:p>
    <w:p w14:paraId="396D8B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本港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经营收费项目和收费标准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按照有关部门批文执行，并在渔港服务中心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公示。</w:t>
      </w:r>
    </w:p>
    <w:p w14:paraId="7D5739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三十二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本港之外的单位进入本港为渔船提供燃油补给、渔获物装卸等经营活动，须经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同意；作业过程中，应当服从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调度和指挥。</w:t>
      </w:r>
    </w:p>
    <w:p w14:paraId="1E0B83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61" w:beforeLines="100" w:after="361" w:afterLines="100"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第八章</w:t>
      </w:r>
      <w:r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黑体" w:hAnsi="黑体" w:eastAsia="黑体" w:cs="黑体"/>
          <w:sz w:val="32"/>
          <w:szCs w:val="32"/>
          <w:highlight w:val="none"/>
        </w:rPr>
        <w:t>渔港安全与环境保护</w:t>
      </w:r>
    </w:p>
    <w:p w14:paraId="09E5C2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三十三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本港从事生产经营活动的单位、船舶和人员应当接受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乳山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市海洋发展局依法实施的安全监督检查，不得拒绝、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阻挠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或者隐匿、谎报有关情况和资料。</w:t>
      </w:r>
    </w:p>
    <w:p w14:paraId="6FA2D7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三十四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 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乳山市金海蓝湾综合开发有限公司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是本港安全生产的责任主体，负有组织机构保障、规章制度保障、安全生产投入保障、教育培训保障、安全管理保障、事故报告和应急救援等主体责任。</w:t>
      </w:r>
    </w:p>
    <w:p w14:paraId="16C8D80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三十五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任何单位和个人不得破坏渔港设施。船舶触碰航道浮标，应当立即向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报告；造成损坏的，承担相应的赔偿责任。</w:t>
      </w:r>
    </w:p>
    <w:p w14:paraId="6128F28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color w:val="auto"/>
          <w:sz w:val="32"/>
          <w:szCs w:val="32"/>
          <w:highlight w:val="none"/>
          <w:lang w:eastAsia="zh-CN"/>
        </w:rPr>
        <w:t>三十六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本港码头前水域波高大于0.5米时，任何渔船不得进行码头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装卸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作业。</w:t>
      </w:r>
    </w:p>
    <w:p w14:paraId="6203771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三十七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车辆进入港区应当谨慎通行，限速20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>K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m/h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；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除公务车辆和码头作业车辆外，其他车辆不得驶入码头，在指定的停车场所停放。</w:t>
      </w:r>
    </w:p>
    <w:p w14:paraId="0B2986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三十八条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在本港水域新建、改建、扩建各种设施，或者进行其他水上水下作业，施工单位应当依法向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乳山市海洋发展局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申请通航安全审核，取得《渔业港口水上水下作业许可证》。</w:t>
      </w:r>
    </w:p>
    <w:p w14:paraId="43B3CB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施工单位应当按照许可的时间、范围作业；必要时，可向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乳山市海洋发展局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申请划定作业安全区和设置专用航标；作业结束，及时清除碍航物。</w:t>
      </w:r>
    </w:p>
    <w:p w14:paraId="22AF4E7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三十九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在本港水域遗留碍航物的所有人、经营人或者管理人，应当及时设置警示标志，向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乳山市海洋发展局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报告碍航物的名称、形状、尺寸、位置和深度等信息，并在其限定的期限内打捞清除。</w:t>
      </w:r>
    </w:p>
    <w:p w14:paraId="278802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第四十条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 到港船舶发生火灾事故，应当立即向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报告。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接报后，应当迅速组织救援，疏散事发区域船舶和人员。</w:t>
      </w:r>
    </w:p>
    <w:p w14:paraId="5E1DA9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第四十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一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渔港经营人应当制定防治渔港水域污染的管理制度，配备污染物接收、处理设施，并采取有效措施，防治船舶污染物和陆源污染物污染渔港水域。</w:t>
      </w:r>
    </w:p>
    <w:p w14:paraId="77BDED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第四十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二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到港渔船应当将船舶垃圾、生活污水、含油污水排入本港污染物接收、处理设施。</w:t>
      </w:r>
    </w:p>
    <w:p w14:paraId="046D9D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四十三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应当监督到港渔船排放船舶垃圾、生活污水、含油污水，如实记录船舶污染物接收、处理或转运台账，并及时清除本港水域内的生活垃圾和废弃物。对未按规定排放船舶污染物的渔船，不得允许其进行码头作业。</w:t>
      </w:r>
    </w:p>
    <w:p w14:paraId="4C35B4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四十四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到港渔船发生油类、油类混合物或者其他有毒、有害物质泄漏造成本港水域污染的，应当立即控制和消除污染，并向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报告。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接报后，应当迅速采取应急处置措施。</w:t>
      </w:r>
    </w:p>
    <w:p w14:paraId="3F768F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61" w:beforeLines="100" w:after="361" w:afterLines="100"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第九章</w:t>
      </w:r>
      <w:r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黑体" w:hAnsi="黑体" w:eastAsia="黑体" w:cs="黑体"/>
          <w:sz w:val="32"/>
          <w:szCs w:val="32"/>
          <w:highlight w:val="none"/>
        </w:rPr>
        <w:t>渔港应急事件处置</w:t>
      </w:r>
    </w:p>
    <w:p w14:paraId="5D113B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四十五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渔港经营人应当依法制定港口生产安全事故、预防自然灾害等应急预案，保障组织实施，并定期组织演练。</w:t>
      </w:r>
    </w:p>
    <w:p w14:paraId="6D8D4A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四十六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 渔船在本港水域发生水上安全事故，应当立即向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乳山市海洋发展局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报告，按照指令在指定地点停泊，接受调查处理。拒不服从指令或者危害水上交通安全的，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乳山市海洋发展局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有权对其采取强制性处置措施。</w:t>
      </w:r>
    </w:p>
    <w:p w14:paraId="2D02C3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四十七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 渔船在本港水域发生污染事故，应当立即向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乳山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市海洋发展局报告，接受调查处理。为减轻污染损害，事故调查机关有权采取清除、打捞、拖航、过驳等必要措施，相关费用由造成渔港水域污染的渔船或者作业单位承担。</w:t>
      </w:r>
    </w:p>
    <w:p w14:paraId="44AD8D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四十八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 有下列情形之一的，渔港经营人应当立即采取疏港措施，港内船舶、车辆和人员必须配合：</w:t>
      </w:r>
    </w:p>
    <w:p w14:paraId="153FE5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一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遭遇台风、风暴潮等极端恶劣天气，超过本港设计避险能力的；</w:t>
      </w:r>
    </w:p>
    <w:p w14:paraId="0103622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二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港区突发重大公共卫生事件的；</w:t>
      </w:r>
    </w:p>
    <w:p w14:paraId="4ADECBD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三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发生火灾、爆炸事故对港口运营产生重大影响的；</w:t>
      </w:r>
    </w:p>
    <w:p w14:paraId="7978C6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四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其他可能危及港内船舶和人员安全的。</w:t>
      </w:r>
    </w:p>
    <w:p w14:paraId="3918305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四十九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 大风红色预警，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应当采取一切可能的方式通知港内渔船，督促渔船所有人或者经营人立即将船上人员全部转移上岸，合理调度渔船停泊避风。对拒不服从政府指令或者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调度的，及时向驻港渔业执法机构和公安机关报告。</w:t>
      </w:r>
    </w:p>
    <w:p w14:paraId="22C551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61" w:beforeLines="100" w:after="361" w:afterLines="100"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第十章</w:t>
      </w:r>
      <w:r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黑体" w:hAnsi="黑体" w:eastAsia="黑体" w:cs="黑体"/>
          <w:sz w:val="32"/>
          <w:szCs w:val="32"/>
          <w:highlight w:val="none"/>
        </w:rPr>
        <w:t>禁止与限制性规定</w:t>
      </w:r>
    </w:p>
    <w:p w14:paraId="447577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第五十条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通航安全禁止与限制：</w:t>
      </w:r>
    </w:p>
    <w:p w14:paraId="73E660C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一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禁止在本港水域从事捕捞、养殖、垂钓、试航等活动；</w:t>
      </w:r>
    </w:p>
    <w:p w14:paraId="07A7490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二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禁止在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港区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追逐、竞驶；</w:t>
      </w:r>
    </w:p>
    <w:p w14:paraId="509A20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三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禁止在港区燃放烟花爆竹；</w:t>
      </w:r>
    </w:p>
    <w:p w14:paraId="42BAC01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四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禁止小型船舶靠泊渔船搭载人员或者物资；</w:t>
      </w:r>
    </w:p>
    <w:p w14:paraId="3DEB987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五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禁止盗窃、损坏渔业航标或者影响渔业航标工作效能；</w:t>
      </w:r>
    </w:p>
    <w:p w14:paraId="3D5E51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六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禁止无关船舶驶入水上水下作业安全区。</w:t>
      </w:r>
    </w:p>
    <w:p w14:paraId="756444D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第五十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一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 码头作业禁止与限制：</w:t>
      </w:r>
    </w:p>
    <w:p w14:paraId="7FF50C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一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禁止在码头作业区域堆放货物，设摊经营，晾晒或者弃置渔具、渔获物等；</w:t>
      </w:r>
    </w:p>
    <w:p w14:paraId="1E8ED4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二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渔船加油期间，影响区域内禁止明火；</w:t>
      </w:r>
    </w:p>
    <w:p w14:paraId="1B0E37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三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禁止装卸易燃、易爆、有毒等危险货物；</w:t>
      </w:r>
    </w:p>
    <w:p w14:paraId="756479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四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禁渔期内，禁止向休渔渔船供油、供冰；</w:t>
      </w:r>
    </w:p>
    <w:p w14:paraId="71D965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五十二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环境保护禁止与限制：</w:t>
      </w:r>
    </w:p>
    <w:p w14:paraId="7A1FA5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一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禁止向本港水域倾倒淤泥、垃圾和排放船舶污染物；</w:t>
      </w:r>
    </w:p>
    <w:p w14:paraId="64D06F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二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禁止在本港水域从事船舶除锈、油漆、驳油等作业；</w:t>
      </w:r>
    </w:p>
    <w:p w14:paraId="1E891F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三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禁止在本港水域拆船。</w:t>
      </w:r>
    </w:p>
    <w:p w14:paraId="625F24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五十三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治安管理禁止与限制：</w:t>
      </w:r>
    </w:p>
    <w:p w14:paraId="10CCEF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一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禁止无证或者酒后驾驶船舶；</w:t>
      </w:r>
    </w:p>
    <w:p w14:paraId="1931B0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二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禁止伪造、变造船舶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号牌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；</w:t>
      </w:r>
    </w:p>
    <w:p w14:paraId="72343B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三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不得强买强卖、强迫他人提供或者接受服务；</w:t>
      </w:r>
    </w:p>
    <w:p w14:paraId="362379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四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紧急状态情况下县级以上人民政府依法发布的决定、命令，港内船舶、车辆和人员不得拒绝执行。</w:t>
      </w:r>
    </w:p>
    <w:p w14:paraId="421FCA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61" w:beforeLines="100" w:after="361" w:afterLines="100"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第十一章</w:t>
      </w:r>
      <w:r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黑体" w:hAnsi="黑体" w:eastAsia="黑体" w:cs="黑体"/>
          <w:sz w:val="32"/>
          <w:szCs w:val="32"/>
          <w:highlight w:val="none"/>
        </w:rPr>
        <w:t>附则</w:t>
      </w:r>
    </w:p>
    <w:p w14:paraId="69DAC32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eastAsia="zh-CN"/>
        </w:rPr>
        <w:t>五十四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本章程由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乳山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市海洋发展局组织编制，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乳山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市人民政府批准。港口资料统计截止时间为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>2024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月。</w:t>
      </w:r>
    </w:p>
    <w:p w14:paraId="4E35ED4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第</w:t>
      </w:r>
      <w:r>
        <w:rPr>
          <w:rFonts w:hint="eastAsia" w:ascii="仿宋_GB2312" w:hAnsi="仿宋_GB2312" w:cs="仿宋_GB2312"/>
          <w:b/>
          <w:bCs/>
          <w:sz w:val="32"/>
          <w:szCs w:val="32"/>
          <w:highlight w:val="none"/>
          <w:lang w:eastAsia="zh-CN"/>
        </w:rPr>
        <w:t>五十五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港章自发布之日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起施行。</w:t>
      </w:r>
    </w:p>
    <w:p w14:paraId="6A54E50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</w:p>
    <w:p w14:paraId="15AC9C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附件：1.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和尚洞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渔港管理机构及经营服务单位名录</w:t>
      </w:r>
    </w:p>
    <w:p w14:paraId="6B222B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1600" w:firstLineChars="5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2.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和尚洞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渔港</w:t>
      </w:r>
      <w:r>
        <w:rPr>
          <w:rFonts w:hint="eastAsia" w:ascii="仿宋_GB2312" w:hAnsi="仿宋_GB2312" w:cs="仿宋_GB2312"/>
          <w:sz w:val="32"/>
          <w:szCs w:val="32"/>
          <w:highlight w:val="none"/>
          <w:lang w:eastAsia="zh-CN"/>
        </w:rPr>
        <w:t>港界图</w:t>
      </w:r>
    </w:p>
    <w:p w14:paraId="43BA27A2">
      <w:pPr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br w:type="page"/>
      </w:r>
    </w:p>
    <w:p w14:paraId="6FEA49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附件1</w:t>
      </w:r>
    </w:p>
    <w:p w14:paraId="7B06E269">
      <w:pPr>
        <w:pStyle w:val="2"/>
        <w:bidi w:val="0"/>
        <w:rPr>
          <w:rFonts w:hint="eastAsia"/>
          <w:sz w:val="36"/>
          <w:szCs w:val="22"/>
          <w:highlight w:val="none"/>
        </w:rPr>
      </w:pPr>
      <w:r>
        <w:rPr>
          <w:rFonts w:hint="eastAsia"/>
          <w:sz w:val="36"/>
          <w:szCs w:val="22"/>
          <w:highlight w:val="none"/>
          <w:lang w:eastAsia="zh-CN"/>
        </w:rPr>
        <w:t>和尚洞</w:t>
      </w:r>
      <w:r>
        <w:rPr>
          <w:rFonts w:hint="eastAsia"/>
          <w:sz w:val="36"/>
          <w:szCs w:val="22"/>
          <w:highlight w:val="none"/>
        </w:rPr>
        <w:t>渔港管理机构及经营服务单位名录</w:t>
      </w:r>
    </w:p>
    <w:p w14:paraId="450C786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361" w:afterLines="100" w:line="560" w:lineRule="exact"/>
        <w:jc w:val="left"/>
        <w:textAlignment w:val="auto"/>
        <w:rPr>
          <w:rFonts w:hint="eastAsia" w:ascii="黑体" w:hAnsi="黑体" w:eastAsia="黑体" w:cs="黑体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一、渔港管理机构</w:t>
      </w:r>
    </w:p>
    <w:tbl>
      <w:tblPr>
        <w:tblStyle w:val="8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2"/>
        <w:gridCol w:w="3746"/>
        <w:gridCol w:w="1853"/>
      </w:tblGrid>
      <w:tr w14:paraId="5B53A0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</w:trPr>
        <w:tc>
          <w:tcPr>
            <w:tcW w:w="2189" w:type="pct"/>
            <w:vAlign w:val="center"/>
          </w:tcPr>
          <w:p w14:paraId="039BBA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  <w:t>名称</w:t>
            </w:r>
          </w:p>
        </w:tc>
        <w:tc>
          <w:tcPr>
            <w:tcW w:w="1880" w:type="pct"/>
            <w:vAlign w:val="center"/>
          </w:tcPr>
          <w:p w14:paraId="0FB44F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  <w:t>位置</w:t>
            </w:r>
          </w:p>
        </w:tc>
        <w:tc>
          <w:tcPr>
            <w:tcW w:w="930" w:type="pct"/>
            <w:vAlign w:val="center"/>
          </w:tcPr>
          <w:p w14:paraId="6552BD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  <w:t>电话</w:t>
            </w:r>
          </w:p>
        </w:tc>
      </w:tr>
      <w:tr w14:paraId="1CDE33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89" w:type="pct"/>
            <w:vAlign w:val="center"/>
          </w:tcPr>
          <w:p w14:paraId="2DF465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lang w:eastAsia="zh-CN"/>
              </w:rPr>
              <w:t>乳山市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  <w:t>海洋发展局</w:t>
            </w:r>
          </w:p>
        </w:tc>
        <w:tc>
          <w:tcPr>
            <w:tcW w:w="1880" w:type="pct"/>
            <w:vAlign w:val="center"/>
          </w:tcPr>
          <w:p w14:paraId="5728D2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  <w:t>乳山市府前路4号</w:t>
            </w:r>
          </w:p>
        </w:tc>
        <w:tc>
          <w:tcPr>
            <w:tcW w:w="930" w:type="pct"/>
            <w:vAlign w:val="center"/>
          </w:tcPr>
          <w:p w14:paraId="24E371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  <w:t>0631-6651473</w:t>
            </w:r>
          </w:p>
        </w:tc>
      </w:tr>
      <w:tr w14:paraId="5B490B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89" w:type="pct"/>
            <w:vAlign w:val="center"/>
          </w:tcPr>
          <w:p w14:paraId="336DBE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lang w:eastAsia="zh-CN"/>
              </w:rPr>
              <w:t>乳山市白沙滩边防派出所</w:t>
            </w:r>
          </w:p>
        </w:tc>
        <w:tc>
          <w:tcPr>
            <w:tcW w:w="1880" w:type="pct"/>
            <w:vAlign w:val="center"/>
          </w:tcPr>
          <w:p w14:paraId="078001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  <w:t>山东省威海市乳山市淮河路48号</w:t>
            </w:r>
          </w:p>
        </w:tc>
        <w:tc>
          <w:tcPr>
            <w:tcW w:w="930" w:type="pct"/>
            <w:vAlign w:val="center"/>
          </w:tcPr>
          <w:p w14:paraId="3CFEEF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  <w:t>0631-6731219</w:t>
            </w:r>
          </w:p>
        </w:tc>
      </w:tr>
    </w:tbl>
    <w:p w14:paraId="100B08E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61" w:beforeLines="100" w:after="361" w:afterLines="100" w:line="560" w:lineRule="exact"/>
        <w:jc w:val="left"/>
        <w:textAlignment w:val="auto"/>
        <w:rPr>
          <w:rFonts w:hint="eastAsia" w:ascii="黑体" w:hAnsi="黑体" w:eastAsia="黑体" w:cs="黑体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二、渔港经营服务单位</w:t>
      </w:r>
    </w:p>
    <w:tbl>
      <w:tblPr>
        <w:tblStyle w:val="8"/>
        <w:tblW w:w="4998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86"/>
        <w:gridCol w:w="2992"/>
        <w:gridCol w:w="2520"/>
        <w:gridCol w:w="1859"/>
      </w:tblGrid>
      <w:tr w14:paraId="5D57C5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98" w:type="pct"/>
            <w:vAlign w:val="center"/>
          </w:tcPr>
          <w:p w14:paraId="0ADE1B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  <w:t>名称</w:t>
            </w:r>
          </w:p>
        </w:tc>
        <w:tc>
          <w:tcPr>
            <w:tcW w:w="1502" w:type="pct"/>
            <w:vAlign w:val="center"/>
          </w:tcPr>
          <w:p w14:paraId="285678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  <w:t>经营服务项目</w:t>
            </w:r>
          </w:p>
        </w:tc>
        <w:tc>
          <w:tcPr>
            <w:tcW w:w="1265" w:type="pct"/>
            <w:vAlign w:val="center"/>
          </w:tcPr>
          <w:p w14:paraId="1B02A1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  <w:t>位置</w:t>
            </w:r>
          </w:p>
        </w:tc>
        <w:tc>
          <w:tcPr>
            <w:tcW w:w="933" w:type="pct"/>
            <w:vAlign w:val="center"/>
          </w:tcPr>
          <w:p w14:paraId="449520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</w:rPr>
              <w:t>电话</w:t>
            </w:r>
          </w:p>
        </w:tc>
      </w:tr>
      <w:tr w14:paraId="5B03CB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98" w:type="pct"/>
            <w:vAlign w:val="center"/>
          </w:tcPr>
          <w:p w14:paraId="197FAE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eastAsia="zh-CN"/>
              </w:rPr>
              <w:t>和尚洞渔港服务中心</w:t>
            </w:r>
          </w:p>
        </w:tc>
        <w:tc>
          <w:tcPr>
            <w:tcW w:w="1502" w:type="pct"/>
            <w:vAlign w:val="center"/>
          </w:tcPr>
          <w:p w14:paraId="44786B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  <w:t>泊位调度</w:t>
            </w:r>
          </w:p>
          <w:p w14:paraId="371D0A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  <w:t>渔船进出港登记</w:t>
            </w:r>
          </w:p>
          <w:p w14:paraId="70D118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  <w:t>码头作业管理</w:t>
            </w:r>
          </w:p>
          <w:p w14:paraId="565945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  <w:t>岸电使用</w:t>
            </w:r>
          </w:p>
          <w:p w14:paraId="1BC9CC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</w:rPr>
              <w:t>溢油防治</w:t>
            </w:r>
          </w:p>
        </w:tc>
        <w:tc>
          <w:tcPr>
            <w:tcW w:w="1265" w:type="pct"/>
            <w:vAlign w:val="center"/>
          </w:tcPr>
          <w:p w14:paraId="2DF4D1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eastAsia="zh-CN"/>
              </w:rPr>
              <w:t>乳山市浪暖口湾西侧和尚洞渔港码头入口处</w:t>
            </w:r>
          </w:p>
        </w:tc>
        <w:tc>
          <w:tcPr>
            <w:tcW w:w="933" w:type="pct"/>
            <w:vAlign w:val="center"/>
          </w:tcPr>
          <w:p w14:paraId="580156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  <w:t>15006315557</w:t>
            </w:r>
          </w:p>
        </w:tc>
      </w:tr>
    </w:tbl>
    <w:p w14:paraId="2FF1A0F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</w:p>
    <w:p w14:paraId="065620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sectPr>
          <w:footerReference r:id="rId5" w:type="default"/>
          <w:pgSz w:w="11905" w:h="16838"/>
          <w:pgMar w:top="1270" w:right="1080" w:bottom="1270" w:left="1080" w:header="720" w:footer="720" w:gutter="0"/>
          <w:pgNumType w:fmt="decimal"/>
          <w:cols w:space="0" w:num="1"/>
          <w:rtlGutter w:val="0"/>
          <w:docGrid w:linePitch="360" w:charSpace="0"/>
        </w:sectPr>
      </w:pPr>
    </w:p>
    <w:p w14:paraId="735897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358775</wp:posOffset>
            </wp:positionH>
            <wp:positionV relativeFrom="paragraph">
              <wp:posOffset>304165</wp:posOffset>
            </wp:positionV>
            <wp:extent cx="8534400" cy="5729605"/>
            <wp:effectExtent l="0" t="0" r="0" b="4445"/>
            <wp:wrapNone/>
            <wp:docPr id="1" name="图片 1" descr="和尚洞(3)_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和尚洞(3)_00"/>
                    <pic:cNvPicPr>
                      <a:picLocks noChangeAspect="1"/>
                    </pic:cNvPicPr>
                  </pic:nvPicPr>
                  <pic:blipFill>
                    <a:blip r:embed="rId7"/>
                    <a:srcRect l="3325" t="5565" r="2884" b="5347"/>
                    <a:stretch>
                      <a:fillRect/>
                    </a:stretch>
                  </pic:blipFill>
                  <pic:spPr>
                    <a:xfrm>
                      <a:off x="0" y="0"/>
                      <a:ext cx="8534400" cy="57296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附件2</w:t>
      </w:r>
    </w:p>
    <w:p w14:paraId="2189C5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</w:p>
    <w:sectPr>
      <w:pgSz w:w="16838" w:h="11905" w:orient="landscape"/>
      <w:pgMar w:top="1134" w:right="1134" w:bottom="1134" w:left="1134" w:header="567" w:footer="567" w:gutter="0"/>
      <w:pgNumType w:fmt="decimal"/>
      <w:cols w:space="0" w:num="1"/>
      <w:rtlGutter w:val="0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12B73C0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35E318F">
                          <w:pPr>
                            <w:pStyle w:val="4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uow4Kz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35E318F">
                    <w:pPr>
                      <w:pStyle w:val="4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2699EAE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8088EC5">
                          <w:pPr>
                            <w:pStyle w:val="4"/>
                            <w:rPr>
                              <w:rFonts w:hint="eastAsia" w:asciiTheme="minorEastAsia" w:hAnsiTheme="minorEastAsia" w:eastAsiaTheme="minorEastAsia" w:cstheme="minorEastAsia"/>
                              <w:sz w:val="24"/>
                              <w:szCs w:val="48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4"/>
                              <w:szCs w:val="48"/>
                            </w:rPr>
                            <w:t xml:space="preserve">—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4"/>
                              <w:szCs w:val="4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4"/>
                              <w:szCs w:val="4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4"/>
                              <w:szCs w:val="4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4"/>
                              <w:szCs w:val="4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4"/>
                              <w:szCs w:val="48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4"/>
                              <w:szCs w:val="4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8088EC5">
                    <w:pPr>
                      <w:pStyle w:val="4"/>
                      <w:rPr>
                        <w:rFonts w:hint="eastAsia" w:asciiTheme="minorEastAsia" w:hAnsiTheme="minorEastAsia" w:eastAsiaTheme="minorEastAsia" w:cstheme="minorEastAsia"/>
                        <w:sz w:val="24"/>
                        <w:szCs w:val="48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4"/>
                        <w:szCs w:val="48"/>
                      </w:rPr>
                      <w:t xml:space="preserve">—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4"/>
                        <w:szCs w:val="4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4"/>
                        <w:szCs w:val="4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4"/>
                        <w:szCs w:val="4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4"/>
                        <w:szCs w:val="48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4"/>
                        <w:szCs w:val="48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4"/>
                        <w:szCs w:val="4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A76A5B6">
    <w:pPr>
      <w:pStyle w:val="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ZjMzkxOGY5NzhlOTBkYTJjYzA5NTFhZTExNDU0OWUifQ=="/>
  </w:docVars>
  <w:rsids>
    <w:rsidRoot w:val="75503108"/>
    <w:rsid w:val="0035517E"/>
    <w:rsid w:val="00DC22C0"/>
    <w:rsid w:val="01237CBA"/>
    <w:rsid w:val="01636938"/>
    <w:rsid w:val="01C74429"/>
    <w:rsid w:val="01D22B31"/>
    <w:rsid w:val="02C71D75"/>
    <w:rsid w:val="0350044F"/>
    <w:rsid w:val="03B63B6A"/>
    <w:rsid w:val="04074FB1"/>
    <w:rsid w:val="04677BE3"/>
    <w:rsid w:val="04FE3979"/>
    <w:rsid w:val="050339CA"/>
    <w:rsid w:val="057C588D"/>
    <w:rsid w:val="05D432EE"/>
    <w:rsid w:val="05EA6938"/>
    <w:rsid w:val="05F45070"/>
    <w:rsid w:val="06B867FC"/>
    <w:rsid w:val="06BB0AD8"/>
    <w:rsid w:val="07000BDB"/>
    <w:rsid w:val="073262AA"/>
    <w:rsid w:val="076F5347"/>
    <w:rsid w:val="07F13FAE"/>
    <w:rsid w:val="081B648D"/>
    <w:rsid w:val="0A3A02C0"/>
    <w:rsid w:val="0A640748"/>
    <w:rsid w:val="0BEE573F"/>
    <w:rsid w:val="0C960420"/>
    <w:rsid w:val="0CAE603F"/>
    <w:rsid w:val="0CE265BB"/>
    <w:rsid w:val="0D4C612B"/>
    <w:rsid w:val="0D6276FC"/>
    <w:rsid w:val="0DCA5C92"/>
    <w:rsid w:val="0E2829C4"/>
    <w:rsid w:val="0E8A3480"/>
    <w:rsid w:val="0EBB1B9F"/>
    <w:rsid w:val="0EDB32C2"/>
    <w:rsid w:val="100827DD"/>
    <w:rsid w:val="103B2931"/>
    <w:rsid w:val="109717C5"/>
    <w:rsid w:val="10AD5B42"/>
    <w:rsid w:val="11826A24"/>
    <w:rsid w:val="118F65E6"/>
    <w:rsid w:val="119D6F55"/>
    <w:rsid w:val="120B3B89"/>
    <w:rsid w:val="12905D43"/>
    <w:rsid w:val="129B29FA"/>
    <w:rsid w:val="12A549E0"/>
    <w:rsid w:val="13211947"/>
    <w:rsid w:val="13C83D5C"/>
    <w:rsid w:val="13D749A0"/>
    <w:rsid w:val="142E3F48"/>
    <w:rsid w:val="14663E36"/>
    <w:rsid w:val="157E175C"/>
    <w:rsid w:val="16B770F0"/>
    <w:rsid w:val="16ED4959"/>
    <w:rsid w:val="172D2B29"/>
    <w:rsid w:val="17FE48E7"/>
    <w:rsid w:val="186E51A7"/>
    <w:rsid w:val="18BF1EA7"/>
    <w:rsid w:val="18BF5A03"/>
    <w:rsid w:val="19832B7B"/>
    <w:rsid w:val="1A0F4768"/>
    <w:rsid w:val="1A6C4519"/>
    <w:rsid w:val="1B157B5C"/>
    <w:rsid w:val="1B1D51D5"/>
    <w:rsid w:val="1B283D33"/>
    <w:rsid w:val="1B8D1DE8"/>
    <w:rsid w:val="1BEE3D1A"/>
    <w:rsid w:val="1C4A7CD9"/>
    <w:rsid w:val="1CA96D1A"/>
    <w:rsid w:val="1CF0262F"/>
    <w:rsid w:val="1D6628F1"/>
    <w:rsid w:val="1D686669"/>
    <w:rsid w:val="1D7A22CE"/>
    <w:rsid w:val="1D9B4492"/>
    <w:rsid w:val="1DA17DCD"/>
    <w:rsid w:val="1E2F362A"/>
    <w:rsid w:val="1F691D3E"/>
    <w:rsid w:val="204B0952"/>
    <w:rsid w:val="20C067BC"/>
    <w:rsid w:val="20CF4C51"/>
    <w:rsid w:val="20FF67CF"/>
    <w:rsid w:val="21333432"/>
    <w:rsid w:val="21A734D8"/>
    <w:rsid w:val="21C771CB"/>
    <w:rsid w:val="21D267A7"/>
    <w:rsid w:val="22F8197D"/>
    <w:rsid w:val="23EF5C64"/>
    <w:rsid w:val="25063F87"/>
    <w:rsid w:val="251D41DD"/>
    <w:rsid w:val="25381017"/>
    <w:rsid w:val="255A0F8D"/>
    <w:rsid w:val="255E41D9"/>
    <w:rsid w:val="257F4864"/>
    <w:rsid w:val="25826736"/>
    <w:rsid w:val="258417B0"/>
    <w:rsid w:val="25A5657F"/>
    <w:rsid w:val="2636270B"/>
    <w:rsid w:val="26B537A3"/>
    <w:rsid w:val="26C65938"/>
    <w:rsid w:val="273E5B72"/>
    <w:rsid w:val="28546167"/>
    <w:rsid w:val="29DA6B40"/>
    <w:rsid w:val="2A0A4F4C"/>
    <w:rsid w:val="2A1C0F07"/>
    <w:rsid w:val="2A353074"/>
    <w:rsid w:val="2B836D64"/>
    <w:rsid w:val="2C1B0D4A"/>
    <w:rsid w:val="2C9F7BCD"/>
    <w:rsid w:val="2D0C42C1"/>
    <w:rsid w:val="2D233B39"/>
    <w:rsid w:val="2D377E06"/>
    <w:rsid w:val="2D880661"/>
    <w:rsid w:val="2D903FCE"/>
    <w:rsid w:val="2DCB7FB8"/>
    <w:rsid w:val="2E642E7C"/>
    <w:rsid w:val="2EE52969"/>
    <w:rsid w:val="2F1513B0"/>
    <w:rsid w:val="2FAC6889"/>
    <w:rsid w:val="2FB13E9F"/>
    <w:rsid w:val="311E37B6"/>
    <w:rsid w:val="31FE3C23"/>
    <w:rsid w:val="32696CB3"/>
    <w:rsid w:val="327411B4"/>
    <w:rsid w:val="32F81DE5"/>
    <w:rsid w:val="33511857"/>
    <w:rsid w:val="33A930DF"/>
    <w:rsid w:val="33D61A8A"/>
    <w:rsid w:val="3407106E"/>
    <w:rsid w:val="34574ACF"/>
    <w:rsid w:val="34C839CB"/>
    <w:rsid w:val="34D80120"/>
    <w:rsid w:val="35577297"/>
    <w:rsid w:val="36891AAE"/>
    <w:rsid w:val="36A31726"/>
    <w:rsid w:val="36F01751"/>
    <w:rsid w:val="373709C9"/>
    <w:rsid w:val="37F27B20"/>
    <w:rsid w:val="38037262"/>
    <w:rsid w:val="381A7687"/>
    <w:rsid w:val="38F372D7"/>
    <w:rsid w:val="392A081F"/>
    <w:rsid w:val="393A3157"/>
    <w:rsid w:val="39B53A46"/>
    <w:rsid w:val="3B5F6EA5"/>
    <w:rsid w:val="3B9E5248"/>
    <w:rsid w:val="3C59493B"/>
    <w:rsid w:val="3CB13731"/>
    <w:rsid w:val="3CBC7580"/>
    <w:rsid w:val="3CF23E82"/>
    <w:rsid w:val="3D502759"/>
    <w:rsid w:val="3D793569"/>
    <w:rsid w:val="3DF7E132"/>
    <w:rsid w:val="3E4D6700"/>
    <w:rsid w:val="3E8B44BA"/>
    <w:rsid w:val="3ED41958"/>
    <w:rsid w:val="3EF23B8C"/>
    <w:rsid w:val="3FC17120"/>
    <w:rsid w:val="3FD17C46"/>
    <w:rsid w:val="3FE26563"/>
    <w:rsid w:val="40A16AF0"/>
    <w:rsid w:val="41572C26"/>
    <w:rsid w:val="4187348A"/>
    <w:rsid w:val="421C10AE"/>
    <w:rsid w:val="4233451A"/>
    <w:rsid w:val="42352EC3"/>
    <w:rsid w:val="43175CD8"/>
    <w:rsid w:val="43B34232"/>
    <w:rsid w:val="43DB4947"/>
    <w:rsid w:val="44A1408B"/>
    <w:rsid w:val="44DC673E"/>
    <w:rsid w:val="4577128F"/>
    <w:rsid w:val="458A0FC3"/>
    <w:rsid w:val="45A73923"/>
    <w:rsid w:val="45AA51C1"/>
    <w:rsid w:val="45D65FB6"/>
    <w:rsid w:val="45E71F71"/>
    <w:rsid w:val="462027DB"/>
    <w:rsid w:val="46D85E72"/>
    <w:rsid w:val="46E97F6B"/>
    <w:rsid w:val="473F7B8B"/>
    <w:rsid w:val="47A84CFD"/>
    <w:rsid w:val="47C43AD8"/>
    <w:rsid w:val="47E54182"/>
    <w:rsid w:val="48A27589"/>
    <w:rsid w:val="49D106E1"/>
    <w:rsid w:val="49E24D81"/>
    <w:rsid w:val="4A2770A9"/>
    <w:rsid w:val="4ABB577A"/>
    <w:rsid w:val="4AE740D8"/>
    <w:rsid w:val="4B5D6832"/>
    <w:rsid w:val="4B7C315C"/>
    <w:rsid w:val="4BCF3BD3"/>
    <w:rsid w:val="4CF80F08"/>
    <w:rsid w:val="4D0A29E9"/>
    <w:rsid w:val="4DDE1EAC"/>
    <w:rsid w:val="4E0E3F2D"/>
    <w:rsid w:val="4E4F3A53"/>
    <w:rsid w:val="4E5008D0"/>
    <w:rsid w:val="4E7E71EB"/>
    <w:rsid w:val="4E962F5E"/>
    <w:rsid w:val="4E9C50B5"/>
    <w:rsid w:val="4F372A93"/>
    <w:rsid w:val="4FBD688A"/>
    <w:rsid w:val="50474A26"/>
    <w:rsid w:val="509448C9"/>
    <w:rsid w:val="537A08C9"/>
    <w:rsid w:val="53AD33B3"/>
    <w:rsid w:val="53CC27A6"/>
    <w:rsid w:val="53D658A9"/>
    <w:rsid w:val="53EE096F"/>
    <w:rsid w:val="540B32CF"/>
    <w:rsid w:val="54722B2B"/>
    <w:rsid w:val="55A82D9F"/>
    <w:rsid w:val="55AC44DD"/>
    <w:rsid w:val="56BC0894"/>
    <w:rsid w:val="56E11ADD"/>
    <w:rsid w:val="574A05B2"/>
    <w:rsid w:val="57566F57"/>
    <w:rsid w:val="57C02622"/>
    <w:rsid w:val="57E013BB"/>
    <w:rsid w:val="598D29D8"/>
    <w:rsid w:val="59A0270B"/>
    <w:rsid w:val="59C12681"/>
    <w:rsid w:val="5A0709DC"/>
    <w:rsid w:val="5AB33F92"/>
    <w:rsid w:val="5ACE63A1"/>
    <w:rsid w:val="5AF14E1D"/>
    <w:rsid w:val="5B3650FE"/>
    <w:rsid w:val="5B4D241F"/>
    <w:rsid w:val="5BE30FD5"/>
    <w:rsid w:val="5C6E4D42"/>
    <w:rsid w:val="5D107BA8"/>
    <w:rsid w:val="5D185C9C"/>
    <w:rsid w:val="5D6A52BE"/>
    <w:rsid w:val="5DAA5696"/>
    <w:rsid w:val="5DFE6770"/>
    <w:rsid w:val="5E2A6A47"/>
    <w:rsid w:val="5E6C2174"/>
    <w:rsid w:val="5FE570CA"/>
    <w:rsid w:val="602F470D"/>
    <w:rsid w:val="60B46A9C"/>
    <w:rsid w:val="61B72CE8"/>
    <w:rsid w:val="61D90EB0"/>
    <w:rsid w:val="62976675"/>
    <w:rsid w:val="62CC27C3"/>
    <w:rsid w:val="63996C58"/>
    <w:rsid w:val="63A23B1D"/>
    <w:rsid w:val="63B708AF"/>
    <w:rsid w:val="64033FC2"/>
    <w:rsid w:val="64CA1EE8"/>
    <w:rsid w:val="66546082"/>
    <w:rsid w:val="669E4597"/>
    <w:rsid w:val="67486190"/>
    <w:rsid w:val="67E61788"/>
    <w:rsid w:val="68442FC0"/>
    <w:rsid w:val="692534D8"/>
    <w:rsid w:val="694E2184"/>
    <w:rsid w:val="69977A8C"/>
    <w:rsid w:val="69EE0B66"/>
    <w:rsid w:val="6A5C442C"/>
    <w:rsid w:val="6A8541C2"/>
    <w:rsid w:val="6AB9187F"/>
    <w:rsid w:val="6AF843D4"/>
    <w:rsid w:val="6B887396"/>
    <w:rsid w:val="6BBF1117"/>
    <w:rsid w:val="6C5E3963"/>
    <w:rsid w:val="6C7A6DEC"/>
    <w:rsid w:val="6CB33807"/>
    <w:rsid w:val="6CD02EB0"/>
    <w:rsid w:val="6D25144D"/>
    <w:rsid w:val="6D5533B5"/>
    <w:rsid w:val="6DA02882"/>
    <w:rsid w:val="6DAA55F0"/>
    <w:rsid w:val="6ED554AF"/>
    <w:rsid w:val="6FBF6F46"/>
    <w:rsid w:val="6FC70FB4"/>
    <w:rsid w:val="70DC0075"/>
    <w:rsid w:val="718445CA"/>
    <w:rsid w:val="72E0571D"/>
    <w:rsid w:val="73BB5C5C"/>
    <w:rsid w:val="73F74CFC"/>
    <w:rsid w:val="75422005"/>
    <w:rsid w:val="75503108"/>
    <w:rsid w:val="75D605ED"/>
    <w:rsid w:val="76781F92"/>
    <w:rsid w:val="76806F06"/>
    <w:rsid w:val="76854D0B"/>
    <w:rsid w:val="76866FD1"/>
    <w:rsid w:val="7735228D"/>
    <w:rsid w:val="783267CC"/>
    <w:rsid w:val="78484AC5"/>
    <w:rsid w:val="78BE5FE3"/>
    <w:rsid w:val="794F33AE"/>
    <w:rsid w:val="7A1A1C0E"/>
    <w:rsid w:val="7B54475A"/>
    <w:rsid w:val="7B7943AD"/>
    <w:rsid w:val="7BDB4D5F"/>
    <w:rsid w:val="7BFA3AA5"/>
    <w:rsid w:val="7C0A3959"/>
    <w:rsid w:val="7C4D7C5D"/>
    <w:rsid w:val="7C7C6FF4"/>
    <w:rsid w:val="7CFB083E"/>
    <w:rsid w:val="7DC9372F"/>
    <w:rsid w:val="7EC81C39"/>
    <w:rsid w:val="7ED24865"/>
    <w:rsid w:val="7F286B7B"/>
    <w:rsid w:val="7F4339B5"/>
    <w:rsid w:val="7F58120E"/>
    <w:rsid w:val="7FC13285"/>
    <w:rsid w:val="7FD12EDF"/>
    <w:rsid w:val="7FFF828B"/>
    <w:rsid w:val="BF395B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仿宋_GB2312" w:cs="仿宋_GB2312" w:asciiTheme="minorHAnsi" w:hAnsiTheme="minorHAnsi"/>
      <w:kern w:val="2"/>
      <w:sz w:val="32"/>
      <w:szCs w:val="32"/>
      <w:lang w:val="en-US" w:eastAsia="zh-CN" w:bidi="ar-SA"/>
    </w:rPr>
  </w:style>
  <w:style w:type="paragraph" w:styleId="2">
    <w:name w:val="heading 1"/>
    <w:basedOn w:val="3"/>
    <w:next w:val="1"/>
    <w:link w:val="11"/>
    <w:qFormat/>
    <w:uiPriority w:val="0"/>
    <w:pPr>
      <w:keepNext/>
      <w:keepLines/>
      <w:adjustRightInd w:val="0"/>
      <w:snapToGrid w:val="0"/>
      <w:spacing w:beforeLines="0" w:beforeAutospacing="0" w:afterLines="0" w:afterAutospacing="0" w:line="560" w:lineRule="exact"/>
      <w:jc w:val="center"/>
      <w:outlineLvl w:val="0"/>
    </w:pPr>
    <w:rPr>
      <w:rFonts w:eastAsia="方正小标宋简体" w:cs="宋体" w:asciiTheme="minorAscii" w:hAnsiTheme="minorAscii"/>
      <w:snapToGrid w:val="0"/>
      <w:color w:val="000000"/>
      <w:kern w:val="24"/>
      <w:sz w:val="44"/>
      <w:szCs w:val="28"/>
    </w:rPr>
  </w:style>
  <w:style w:type="character" w:default="1" w:styleId="9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0"/>
    <w:pPr>
      <w:spacing w:after="120" w:afterLines="0" w:afterAutospacing="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Title"/>
    <w:basedOn w:val="1"/>
    <w:qFormat/>
    <w:uiPriority w:val="0"/>
    <w:pPr>
      <w:spacing w:before="240" w:beforeLines="0" w:beforeAutospacing="0" w:after="60" w:afterLines="0" w:afterAutospacing="0"/>
      <w:jc w:val="center"/>
      <w:outlineLvl w:val="0"/>
    </w:pPr>
    <w:rPr>
      <w:rFonts w:ascii="Arial" w:hAnsi="Arial"/>
      <w:b/>
      <w:sz w:val="32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0">
    <w:name w:val="!正文"/>
    <w:basedOn w:val="1"/>
    <w:qFormat/>
    <w:uiPriority w:val="0"/>
    <w:pPr>
      <w:spacing w:line="480" w:lineRule="exact"/>
      <w:ind w:firstLine="200" w:firstLineChars="200"/>
    </w:pPr>
    <w:rPr>
      <w:bCs/>
      <w:sz w:val="28"/>
      <w:szCs w:val="32"/>
    </w:rPr>
  </w:style>
  <w:style w:type="character" w:customStyle="1" w:styleId="11">
    <w:name w:val="标题 1 Char"/>
    <w:link w:val="2"/>
    <w:qFormat/>
    <w:uiPriority w:val="0"/>
    <w:rPr>
      <w:rFonts w:eastAsia="方正小标宋简体" w:cs="宋体" w:asciiTheme="minorAscii" w:hAnsiTheme="minorAscii"/>
      <w:snapToGrid w:val="0"/>
      <w:color w:val="000000"/>
      <w:kern w:val="24"/>
      <w:sz w:val="44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1.jpeg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16</Pages>
  <Words>6104</Words>
  <Characters>7294</Characters>
  <Lines>0</Lines>
  <Paragraphs>0</Paragraphs>
  <TotalTime>13</TotalTime>
  <ScaleCrop>false</ScaleCrop>
  <LinksUpToDate>false</LinksUpToDate>
  <CharactersWithSpaces>7450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2024-06-25T18:59:00Z</dcterms:created>
  <dc:creator>不忘初心</dc:creator>
  <cp:lastModifiedBy>国家一级海底捞运动员</cp:lastModifiedBy>
  <cp:lastPrinted>2024-07-29T23:49:00Z</cp:lastPrinted>
  <dcterms:modified xsi:type="dcterms:W3CDTF">2024-10-25T10:44:52Z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2ACE60EFAC2E4A03944AD709BCB361CF_13</vt:lpwstr>
  </property>
</Properties>
</file>