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numPr>
          <w:ilvl w:val="0"/>
          <w:numId w:val="2"/>
        </w:numPr>
        <w:spacing w:line="640" w:lineRule="exact"/>
        <w:jc w:val="center"/>
        <w:outlineLvl w:val="0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</w:pPr>
      <w:bookmarkStart w:id="0" w:name="DYNAMIC—DWXX—tAj_dwmc"/>
      <w:r>
        <w:rPr>
          <w:rFonts w:hint="default" w:ascii="方正小标宋简体" w:hAnsi="方正小标宋简体" w:eastAsia="方正小标宋简体" w:cs="方正小标宋简体"/>
          <w:color w:val="000000"/>
          <w:sz w:val="44"/>
          <w:u w:val="none"/>
        </w:rPr>
        <w:t>乳山市市场监督管理局</w:t>
      </w:r>
      <w:bookmarkEnd w:id="0"/>
    </w:p>
    <w:p>
      <w:pPr>
        <w:pStyle w:val="3"/>
        <w:keepNext w:val="0"/>
        <w:numPr>
          <w:ilvl w:val="0"/>
          <w:numId w:val="2"/>
        </w:numPr>
        <w:spacing w:before="0" w:after="0" w:line="640" w:lineRule="exact"/>
        <w:jc w:val="center"/>
        <w:rPr>
          <w:rFonts w:hint="eastAsia" w:eastAsia="方正小标宋简体" w:cs="方正小标宋简体"/>
          <w:color w:val="auto"/>
          <w:sz w:val="44"/>
          <w:szCs w:val="44"/>
        </w:rPr>
      </w:pPr>
      <w:bookmarkStart w:id="1" w:name="_Toc76683344"/>
      <w:r>
        <w:rPr>
          <w:rFonts w:hint="eastAsia" w:hAnsi="方正小标宋简体" w:eastAsia="方正小标宋简体" w:cs="方正小标宋简体"/>
          <w:color w:val="000000"/>
          <w:sz w:val="44"/>
          <w:szCs w:val="44"/>
          <w:u w:val="none"/>
          <w:lang w:val="en-US"/>
        </w:rPr>
        <w:t>行政处罚告知书</w:t>
      </w:r>
      <w:bookmarkEnd w:id="1"/>
    </w:p>
    <w:p>
      <w:pPr>
        <w:spacing w:line="560" w:lineRule="exact"/>
        <w:jc w:val="center"/>
        <w:outlineLvl w:val="1"/>
        <w:rPr>
          <w:rFonts w:hint="eastAsia" w:ascii="Times New Roman" w:hAnsi="Times New Roman" w:eastAsia="仿宋_GB2312" w:cs="仿宋"/>
          <w:color w:val="auto"/>
          <w:sz w:val="32"/>
          <w:szCs w:val="32"/>
        </w:rPr>
      </w:pPr>
      <w:bookmarkStart w:id="2" w:name="tAj_wh"/>
      <w:r>
        <w:rPr>
          <w:rFonts w:hint="default" w:ascii="Times New Roman" w:hAnsi="Times New Roman" w:eastAsia="仿宋_GB2312" w:cs="仿宋"/>
          <w:color w:val="000000"/>
          <w:sz w:val="32"/>
          <w:u w:val="none"/>
        </w:rPr>
        <w:t>乳市监罚告〔202</w:t>
      </w:r>
      <w:r>
        <w:rPr>
          <w:rFonts w:hint="eastAsia" w:ascii="Times New Roman" w:hAnsi="Times New Roman" w:eastAsia="仿宋_GB2312" w:cs="仿宋"/>
          <w:color w:val="000000"/>
          <w:sz w:val="32"/>
          <w:u w:val="none"/>
          <w:lang w:val="en-US" w:eastAsia="zh-CN"/>
        </w:rPr>
        <w:t>5</w:t>
      </w:r>
      <w:r>
        <w:rPr>
          <w:rFonts w:hint="default" w:ascii="Times New Roman" w:hAnsi="Times New Roman" w:eastAsia="仿宋_GB2312" w:cs="仿宋"/>
          <w:color w:val="000000"/>
          <w:sz w:val="32"/>
          <w:u w:val="none"/>
        </w:rPr>
        <w:t>〕</w:t>
      </w:r>
      <w:r>
        <w:rPr>
          <w:rFonts w:hint="eastAsia" w:ascii="Times New Roman" w:hAnsi="Times New Roman" w:eastAsia="仿宋_GB2312" w:cs="仿宋"/>
          <w:color w:val="000000"/>
          <w:sz w:val="32"/>
          <w:u w:val="none"/>
          <w:lang w:val="en-US" w:eastAsia="zh-CN"/>
        </w:rPr>
        <w:t>57</w:t>
      </w:r>
      <w:r>
        <w:rPr>
          <w:rFonts w:hint="default" w:ascii="Times New Roman" w:hAnsi="Times New Roman" w:eastAsia="仿宋_GB2312" w:cs="仿宋"/>
          <w:color w:val="000000"/>
          <w:sz w:val="32"/>
          <w:u w:val="none"/>
        </w:rPr>
        <w:t>号</w:t>
      </w:r>
      <w:bookmarkEnd w:id="2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Times New Roman" w:hAnsi="Times New Roman" w:eastAsia="仿宋_GB2312" w:cs="仿宋"/>
          <w:sz w:val="32"/>
          <w:szCs w:val="32"/>
          <w:u w:val="none"/>
        </w:rPr>
      </w:pPr>
      <w:bookmarkStart w:id="3" w:name="OLE_LINK6"/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乳山市全汇电子科技有限公司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</w:rPr>
        <w:t>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仿宋"/>
          <w:sz w:val="32"/>
          <w:szCs w:val="32"/>
          <w:u w:val="none"/>
          <w:lang w:val="en-US" w:eastAsia="zh-CN"/>
        </w:rPr>
      </w:pPr>
      <w:bookmarkStart w:id="4" w:name="OLE_LINK19"/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</w:rPr>
        <w:t>由本局立案调查的你单位涉嫌开业后自行停业连续六个月以上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案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</w:rPr>
        <w:t>，已调查终结。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val="en-US" w:eastAsia="zh-CN"/>
        </w:rPr>
        <w:t xml:space="preserve">依据《中华人民共和国行政处罚法》第四十四条的规定，现将本局拟作出行政处罚的事实、理由、依据及处罚内容告知如下：                              </w:t>
      </w:r>
    </w:p>
    <w:bookmarkEnd w:id="4"/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</w:rPr>
      </w:pPr>
      <w:bookmarkStart w:id="5" w:name="OLE_LINK17"/>
      <w:bookmarkStart w:id="6" w:name="OLE_LINK1"/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202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val="en-US" w:eastAsia="zh-CN"/>
        </w:rPr>
        <w:t>4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年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val="en-US" w:eastAsia="zh-CN"/>
        </w:rPr>
        <w:t>10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月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val="en-US" w:eastAsia="zh-CN"/>
        </w:rPr>
        <w:t>31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日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</w:rPr>
        <w:t>接我局信用监管科移交案件线索，根据监督检查发现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你单位未按规定提交20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val="en-US" w:eastAsia="zh-CN"/>
        </w:rPr>
        <w:t>16年度、2017年度、2018年度、2019年度、2020年度、2021年度、2022年度、2023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年度企业年度报告，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val="en-US" w:eastAsia="zh-CN"/>
        </w:rPr>
        <w:t>2024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年通过登记的住所或经营场所无法与企业取得联系，其行为涉嫌违反了《中华人民共和国公司法》第二百六十条之规定，为查明事实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</w:rPr>
        <w:t>，本局于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202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val="en-US" w:eastAsia="zh-CN"/>
        </w:rPr>
        <w:t>4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年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val="en-US" w:eastAsia="zh-CN"/>
        </w:rPr>
        <w:t>11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月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val="en-US" w:eastAsia="zh-CN"/>
        </w:rPr>
        <w:t>8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日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</w:rPr>
        <w:t>立案。在调查中，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我局执法人员对你单位的企业年报情况、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</w:rPr>
        <w:t>在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乳山市行政审批服务局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</w:rPr>
        <w:t>登记情况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、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</w:rPr>
        <w:t>在国家税务总局乳山市税务局税务报税情况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、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</w:rPr>
        <w:t>在乳山市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人力资源和社会保障局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</w:rPr>
        <w:t>社会保险缴纳情况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val="en-US" w:eastAsia="zh-CN"/>
        </w:rPr>
        <w:t>进行调查，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</w:rPr>
        <w:t>对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你单位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</w:rPr>
        <w:t>进行了现场检查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。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</w:rPr>
        <w:t xml:space="preserve">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</w:pP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你单位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</w:rPr>
        <w:t>于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20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val="en-US" w:eastAsia="zh-CN"/>
        </w:rPr>
        <w:t>16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年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val="en-US" w:eastAsia="zh-CN"/>
        </w:rPr>
        <w:t>8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月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val="en-US" w:eastAsia="zh-CN"/>
        </w:rPr>
        <w:t>25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日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</w:rPr>
        <w:t>设立，因未按照《企业信息公示暂行条例》第八条规定的期限报送并公示年度报告，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于20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val="en-US" w:eastAsia="zh-CN"/>
        </w:rPr>
        <w:t>17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年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val="en-US" w:eastAsia="zh-CN"/>
        </w:rPr>
        <w:t>7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月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val="en-US" w:eastAsia="zh-CN"/>
        </w:rPr>
        <w:t>11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日、20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val="en-US" w:eastAsia="zh-CN"/>
        </w:rPr>
        <w:t>18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年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val="en-US" w:eastAsia="zh-CN"/>
        </w:rPr>
        <w:t>7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月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val="en-US" w:eastAsia="zh-CN"/>
        </w:rPr>
        <w:t>10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日、20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val="en-US" w:eastAsia="zh-CN"/>
        </w:rPr>
        <w:t>19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年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val="en-US" w:eastAsia="zh-CN"/>
        </w:rPr>
        <w:t>7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月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val="en-US" w:eastAsia="zh-CN"/>
        </w:rPr>
        <w:t>10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日、20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val="en-US" w:eastAsia="zh-CN"/>
        </w:rPr>
        <w:t>20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年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val="en-US" w:eastAsia="zh-CN"/>
        </w:rPr>
        <w:t>7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月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val="en-US" w:eastAsia="zh-CN"/>
        </w:rPr>
        <w:t>14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日、20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val="en-US" w:eastAsia="zh-CN"/>
        </w:rPr>
        <w:t>21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年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val="en-US" w:eastAsia="zh-CN"/>
        </w:rPr>
        <w:t>7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月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val="en-US" w:eastAsia="zh-CN"/>
        </w:rPr>
        <w:t>12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日、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val="en-US" w:eastAsia="zh-CN"/>
        </w:rPr>
        <w:t>2022年7月14日、2023年7月14日、2024年7月12日八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次被列入经营异常名录，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val="en-US" w:eastAsia="zh-CN"/>
        </w:rPr>
        <w:t>2020年7月21日、2021年7月12日、2022年7月25日、2023年7月18日四次列入严重违法失信名单（黑名单）信息。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202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val="en-US" w:eastAsia="zh-CN"/>
        </w:rPr>
        <w:t>4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年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val="en-US" w:eastAsia="zh-CN"/>
        </w:rPr>
        <w:t>11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月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val="en-US" w:eastAsia="zh-CN"/>
        </w:rPr>
        <w:t>6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日，本局对你单位登记的住所“山东省威海市乳山市城区东和平小区6-1-3号”进行了现场检查，你单位已不在该场所经营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val="en-US" w:eastAsia="zh-CN"/>
        </w:rPr>
        <w:t>,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现场拨打你单位联系电话，电话为空号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</w:rPr>
        <w:t>。另查明，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你单位自20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val="en-US" w:eastAsia="zh-CN"/>
        </w:rPr>
        <w:t>22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年1月1日至20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val="en-US" w:eastAsia="zh-CN"/>
        </w:rPr>
        <w:t>24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年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val="en-US" w:eastAsia="zh-CN"/>
        </w:rPr>
        <w:t>7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月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val="en-US" w:eastAsia="zh-CN"/>
        </w:rPr>
        <w:t>31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日在税务机关为无登记状态，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val="en-US" w:eastAsia="zh-CN"/>
        </w:rPr>
        <w:t>2022年1月1日至2024年7月31日未到人社部门缴纳社会保险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</w:rPr>
      </w:pP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</w:rPr>
        <w:t>通过以上事实，本局认为，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你单位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</w:rPr>
        <w:t>开业后已经自行停业连续六个月以上，该行为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涉嫌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</w:rPr>
        <w:t>构成《中华人民共和国公司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法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</w:rPr>
        <w:t>》第二百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六十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</w:rPr>
        <w:t>条第一款“公司成立后无正当理由超过六个月未开业的，或者开业后自行停业连续六个月以上的，公司登记机关可以吊销营业执照，但公司依法办理歇业的除外。”规定的开业后自行停业连续六个月以上的行为。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</w:rPr>
      </w:pP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</w:rPr>
        <w:t>鉴于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你单位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</w:rPr>
        <w:t>开业后连续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两个年度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</w:rPr>
        <w:t>以上未依法报送年度报告且未进行纳税申报等情形，属于《工商总局、税务总局关于清理长期停业未经营企业工作有关问题的通知》（工商企监字[2016]97号）（一）规定的应当列入清理范围的企业，适用于依法吊销营业执照的清理方式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</w:rPr>
      </w:pP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</w:rPr>
        <w:t>处理意见及依据：依据《中华人民共和国公司法》第二百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六十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</w:rPr>
        <w:t>条第一款“公司成立后无正当理由超过六个月未开业的，或者开业后自行停业连续六个月以上的，公司登记机关可以吊销营业执照，但公司依法办理歇业的除外。”之规定，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拟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</w:rPr>
        <w:t>处罚如下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：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</w:rPr>
        <w:t>吊销营业执照。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仿宋"/>
          <w:color w:val="auto"/>
          <w:sz w:val="32"/>
          <w:szCs w:val="32"/>
        </w:rPr>
      </w:pP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</w:rPr>
        <w:t>依</w:t>
      </w:r>
      <w:bookmarkStart w:id="7" w:name="OLE_LINK4"/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</w:rPr>
        <w:t>据《中华人民共和国行政处罚法》第四十四条、第四十五条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，以及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</w:rPr>
        <w:t>《市场监督管理行政处罚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程序规定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</w:rPr>
        <w:t>》第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五十七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</w:rPr>
        <w:t>条的规定，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你单位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</w:rPr>
        <w:t>有权进行陈述、申辩。自收</w:t>
      </w:r>
      <w:bookmarkEnd w:id="5"/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</w:rPr>
        <w:t>到本告知书之日起五个工作日内未行使陈述、申辩权的，视为放弃</w:t>
      </w:r>
      <w:bookmarkEnd w:id="7"/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</w:rPr>
        <w:t>此权利。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仿宋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val="en-US" w:eastAsia="zh-CN"/>
        </w:rPr>
        <w:t xml:space="preserve">联系人： </w:t>
      </w:r>
      <w:bookmarkStart w:id="8" w:name="OLE_LINK5"/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val="en-US" w:eastAsia="zh-CN"/>
        </w:rPr>
        <w:t xml:space="preserve">林国杰          联系电话：  6869301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仿宋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val="en-US" w:eastAsia="zh-CN"/>
        </w:rPr>
        <w:t>联系地址：乳山市府前路8号</w:t>
      </w:r>
      <w:bookmarkEnd w:id="3"/>
      <w:bookmarkEnd w:id="6"/>
      <w:bookmarkEnd w:id="8"/>
    </w:p>
    <w:p>
      <w:pPr>
        <w:pStyle w:val="2"/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Times New Roman" w:hAnsi="Times New Roman" w:eastAsia="仿宋_GB2312" w:cs="仿宋"/>
          <w:sz w:val="32"/>
          <w:szCs w:val="32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pacing w:line="560" w:lineRule="exact"/>
        <w:textAlignment w:val="auto"/>
        <w:rPr>
          <w:rFonts w:hint="eastAsia" w:ascii="Times New Roman" w:hAnsi="Times New Roman" w:eastAsia="仿宋_GB2312" w:cs="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pacing w:line="560" w:lineRule="exact"/>
        <w:ind w:right="640" w:firstLine="601"/>
        <w:jc w:val="right"/>
        <w:textAlignment w:val="auto"/>
        <w:rPr>
          <w:rFonts w:hint="eastAsia" w:ascii="Times New Roman" w:hAnsi="Times New Roman" w:eastAsia="仿宋_GB2312" w:cs="仿宋"/>
          <w:color w:val="auto"/>
          <w:sz w:val="32"/>
          <w:szCs w:val="32"/>
        </w:rPr>
      </w:pPr>
      <w:bookmarkStart w:id="9" w:name="DYNAMIC—DWXX—tAj_dwmc—0"/>
      <w:r>
        <w:rPr>
          <w:rFonts w:hint="eastAsia" w:ascii="Times New Roman" w:hAnsi="Times New Roman" w:eastAsia="仿宋_GB2312" w:cs="仿宋"/>
          <w:color w:val="000000"/>
          <w:sz w:val="32"/>
          <w:u w:val="none"/>
        </w:rPr>
        <w:t>乳山市市场监督管理局</w:t>
      </w:r>
      <w:bookmarkEnd w:id="9"/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</w:rPr>
        <w:t xml:space="preserve">    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pacing w:line="560" w:lineRule="exact"/>
        <w:ind w:firstLine="601"/>
        <w:jc w:val="right"/>
        <w:textAlignment w:val="auto"/>
        <w:outlineLvl w:val="1"/>
        <w:rPr>
          <w:rFonts w:hint="eastAsia" w:ascii="Times New Roman" w:hAnsi="Times New Roman" w:eastAsia="仿宋_GB2312" w:cs="仿宋"/>
          <w:color w:val="auto"/>
          <w:sz w:val="32"/>
          <w:szCs w:val="32"/>
        </w:rPr>
      </w:pP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</w:rPr>
        <w:t>（印 章）</w:t>
      </w:r>
      <w:r>
        <w:rPr>
          <w:rFonts w:hint="default" w:ascii="Times New Roman" w:hAnsi="Times New Roman" w:eastAsia="仿宋_GB2312" w:cs="仿宋"/>
          <w:color w:val="000000"/>
          <w:sz w:val="32"/>
          <w:szCs w:val="32"/>
          <w:u w:val="none"/>
        </w:rPr>
        <w:t xml:space="preserve">     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60" w:lineRule="exact"/>
        <w:ind w:right="567" w:firstLine="601"/>
        <w:jc w:val="center"/>
        <w:textAlignment w:val="auto"/>
        <w:rPr>
          <w:rFonts w:hint="eastAsia" w:ascii="仿宋_GB2312" w:hAnsi="Times New Roman" w:eastAsia="仿宋_GB2312" w:cs="仿宋"/>
          <w:color w:val="auto"/>
          <w:sz w:val="32"/>
          <w:szCs w:val="32"/>
        </w:rPr>
      </w:pPr>
      <w:bookmarkStart w:id="10" w:name="CALCULATE—TIME—NOW"/>
      <w:r>
        <w:rPr>
          <w:rFonts w:hint="eastAsia" w:ascii="仿宋_GB2312" w:hAnsi="仿宋_GB2312" w:eastAsia="仿宋_GB2312" w:cs="仿宋_GB2312"/>
          <w:sz w:val="32"/>
          <w:lang w:val="en-US" w:eastAsia="zh-CN"/>
        </w:rPr>
        <w:t xml:space="preserve">                           2025</w:t>
      </w:r>
      <w:r>
        <w:rPr>
          <w:rFonts w:ascii="仿宋_GB2312" w:hAnsi="仿宋_GB2312" w:eastAsia="仿宋_GB2312" w:cs="仿宋_GB2312"/>
          <w:sz w:val="32"/>
        </w:rPr>
        <w:t>年</w:t>
      </w:r>
      <w:r>
        <w:rPr>
          <w:rFonts w:hint="eastAsia" w:ascii="仿宋_GB2312" w:hAnsi="仿宋_GB2312" w:eastAsia="仿宋_GB2312" w:cs="仿宋_GB2312"/>
          <w:sz w:val="32"/>
          <w:lang w:val="en-US" w:eastAsia="zh-CN"/>
        </w:rPr>
        <w:t>1</w:t>
      </w:r>
      <w:r>
        <w:rPr>
          <w:rFonts w:ascii="仿宋_GB2312" w:hAnsi="仿宋_GB2312" w:eastAsia="仿宋_GB2312" w:cs="仿宋_GB2312"/>
          <w:sz w:val="32"/>
        </w:rPr>
        <w:t>月</w:t>
      </w:r>
      <w:r>
        <w:rPr>
          <w:rFonts w:hint="eastAsia" w:ascii="仿宋_GB2312" w:hAnsi="仿宋_GB2312" w:eastAsia="仿宋_GB2312" w:cs="仿宋_GB2312"/>
          <w:sz w:val="32"/>
          <w:lang w:val="en-US" w:eastAsia="zh-CN"/>
        </w:rPr>
        <w:t>22</w:t>
      </w:r>
      <w:r>
        <w:rPr>
          <w:rFonts w:ascii="仿宋_GB2312" w:hAnsi="仿宋_GB2312" w:eastAsia="仿宋_GB2312" w:cs="仿宋_GB2312"/>
          <w:sz w:val="32"/>
        </w:rPr>
        <w:t>日</w:t>
      </w:r>
      <w:bookmarkEnd w:id="10"/>
      <w:r>
        <w:rPr>
          <w:rFonts w:hint="eastAsia" w:ascii="仿宋_GB2312" w:hAnsi="Times New Roman" w:eastAsia="仿宋_GB2312" w:cs="仿宋"/>
          <w:color w:val="000000"/>
          <w:sz w:val="32"/>
          <w:szCs w:val="32"/>
          <w:u w:val="none"/>
          <w:lang w:val="en-US" w:eastAsia="zh-CN"/>
        </w:rPr>
        <w:t xml:space="preserve"> </w:t>
      </w:r>
    </w:p>
    <w:p>
      <w:pPr>
        <w:pStyle w:val="2"/>
        <w:rPr>
          <w:rFonts w:hint="eastAsia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</w:rPr>
      </w:pPr>
    </w:p>
    <w:p>
      <w:pPr>
        <w:pStyle w:val="2"/>
        <w:rPr>
          <w:rFonts w:hint="eastAsia" w:ascii="仿宋_GB2312" w:hAnsi="Times New Roman" w:eastAsia="仿宋_GB2312" w:cs="仿宋"/>
          <w:color w:val="auto"/>
          <w:sz w:val="32"/>
          <w:szCs w:val="32"/>
        </w:rPr>
      </w:pPr>
    </w:p>
    <w:p>
      <w:pPr>
        <w:pStyle w:val="2"/>
        <w:rPr>
          <w:rFonts w:hint="eastAsia" w:ascii="仿宋_GB2312" w:hAnsi="Times New Roman" w:eastAsia="仿宋_GB2312" w:cs="仿宋"/>
          <w:color w:val="auto"/>
          <w:sz w:val="32"/>
          <w:szCs w:val="32"/>
        </w:rPr>
      </w:pPr>
    </w:p>
    <w:p>
      <w:pPr>
        <w:pStyle w:val="2"/>
        <w:rPr>
          <w:rFonts w:hint="eastAsia" w:ascii="仿宋_GB2312" w:hAnsi="Times New Roman" w:eastAsia="仿宋_GB2312" w:cs="仿宋"/>
          <w:color w:val="auto"/>
          <w:sz w:val="32"/>
          <w:szCs w:val="32"/>
        </w:rPr>
      </w:pPr>
    </w:p>
    <w:p>
      <w:pPr>
        <w:pStyle w:val="2"/>
        <w:rPr>
          <w:rFonts w:hint="eastAsia" w:ascii="仿宋_GB2312" w:hAnsi="Times New Roman" w:eastAsia="仿宋_GB2312" w:cs="仿宋"/>
          <w:color w:val="auto"/>
          <w:sz w:val="32"/>
          <w:szCs w:val="32"/>
        </w:rPr>
      </w:pPr>
    </w:p>
    <w:p>
      <w:pPr>
        <w:pStyle w:val="2"/>
        <w:rPr>
          <w:rFonts w:hint="eastAsia" w:ascii="仿宋_GB2312" w:hAnsi="Times New Roman" w:eastAsia="仿宋_GB2312" w:cs="仿宋"/>
          <w:color w:val="auto"/>
          <w:sz w:val="32"/>
          <w:szCs w:val="32"/>
        </w:rPr>
      </w:pPr>
    </w:p>
    <w:p>
      <w:pPr>
        <w:pStyle w:val="2"/>
        <w:rPr>
          <w:rFonts w:hint="eastAsia" w:ascii="仿宋_GB2312" w:hAnsi="Times New Roman" w:eastAsia="仿宋_GB2312" w:cs="仿宋"/>
          <w:color w:val="auto"/>
          <w:sz w:val="32"/>
          <w:szCs w:val="32"/>
        </w:rPr>
      </w:pPr>
    </w:p>
    <w:p>
      <w:pPr>
        <w:pStyle w:val="2"/>
        <w:rPr>
          <w:rFonts w:hint="eastAsia" w:ascii="仿宋_GB2312" w:hAnsi="Times New Roman" w:eastAsia="仿宋_GB2312" w:cs="仿宋"/>
          <w:color w:val="auto"/>
          <w:sz w:val="32"/>
          <w:szCs w:val="32"/>
        </w:rPr>
      </w:pPr>
    </w:p>
    <w:p>
      <w:pPr>
        <w:pStyle w:val="2"/>
        <w:rPr>
          <w:rFonts w:hint="eastAsia" w:ascii="仿宋_GB2312" w:hAnsi="Times New Roman" w:eastAsia="仿宋_GB2312" w:cs="仿宋"/>
          <w:color w:val="auto"/>
          <w:sz w:val="32"/>
          <w:szCs w:val="32"/>
        </w:rPr>
      </w:pPr>
    </w:p>
    <w:p>
      <w:pPr>
        <w:pStyle w:val="2"/>
        <w:rPr>
          <w:rFonts w:hint="eastAsia" w:ascii="仿宋_GB2312" w:hAnsi="Times New Roman" w:eastAsia="仿宋_GB2312" w:cs="仿宋"/>
          <w:color w:val="auto"/>
          <w:sz w:val="32"/>
          <w:szCs w:val="32"/>
        </w:rPr>
      </w:pPr>
    </w:p>
    <w:p>
      <w:pPr>
        <w:pStyle w:val="2"/>
        <w:rPr>
          <w:rFonts w:hint="eastAsia" w:ascii="仿宋_GB2312" w:hAnsi="Times New Roman" w:eastAsia="仿宋_GB2312" w:cs="仿宋"/>
          <w:color w:val="auto"/>
          <w:sz w:val="32"/>
          <w:szCs w:val="32"/>
        </w:rPr>
      </w:pPr>
    </w:p>
    <w:p>
      <w:pPr>
        <w:pStyle w:val="2"/>
        <w:rPr>
          <w:rFonts w:hint="eastAsia" w:ascii="仿宋_GB2312" w:hAnsi="Times New Roman" w:eastAsia="仿宋_GB2312" w:cs="仿宋"/>
          <w:color w:val="auto"/>
          <w:sz w:val="32"/>
          <w:szCs w:val="32"/>
        </w:rPr>
      </w:pPr>
    </w:p>
    <w:p>
      <w:pPr>
        <w:pStyle w:val="2"/>
        <w:rPr>
          <w:rFonts w:hint="eastAsia" w:ascii="仿宋_GB2312" w:hAnsi="Times New Roman" w:eastAsia="仿宋_GB2312" w:cs="仿宋"/>
          <w:color w:val="auto"/>
          <w:sz w:val="32"/>
          <w:szCs w:val="32"/>
        </w:rPr>
      </w:pPr>
    </w:p>
    <w:p>
      <w:pPr>
        <w:pStyle w:val="2"/>
        <w:rPr>
          <w:rFonts w:hint="eastAsia" w:ascii="仿宋_GB2312" w:hAnsi="Times New Roman" w:eastAsia="仿宋_GB2312" w:cs="仿宋"/>
          <w:color w:val="auto"/>
          <w:sz w:val="32"/>
          <w:szCs w:val="32"/>
        </w:rPr>
      </w:pPr>
      <w:bookmarkStart w:id="12" w:name="_GoBack"/>
      <w:bookmarkEnd w:id="12"/>
    </w:p>
    <w:p>
      <w:pPr>
        <w:pStyle w:val="2"/>
        <w:rPr>
          <w:rFonts w:hint="eastAsia" w:ascii="仿宋_GB2312" w:hAnsi="Times New Roman" w:eastAsia="仿宋_GB2312" w:cs="仿宋"/>
          <w:color w:val="auto"/>
          <w:sz w:val="32"/>
          <w:szCs w:val="32"/>
        </w:rPr>
      </w:pPr>
    </w:p>
    <w:p>
      <w:pPr>
        <w:pStyle w:val="2"/>
        <w:rPr>
          <w:rFonts w:hint="eastAsia" w:ascii="仿宋_GB2312" w:hAnsi="Times New Roman" w:eastAsia="仿宋_GB2312" w:cs="仿宋"/>
          <w:color w:val="auto"/>
          <w:sz w:val="32"/>
          <w:szCs w:val="32"/>
        </w:rPr>
      </w:pPr>
    </w:p>
    <w:p>
      <w:pPr>
        <w:spacing w:before="157" w:beforeLines="50" w:line="500" w:lineRule="exact"/>
        <w:rPr>
          <w:rFonts w:hint="eastAsia" w:ascii="Times New Roman" w:hAnsi="Times New Roman" w:eastAsia="仿宋_GB2312" w:cs="Mongolian Baiti"/>
          <w:bCs/>
          <w:color w:val="auto"/>
          <w:sz w:val="32"/>
          <w:szCs w:val="32"/>
          <w:u w:val="none"/>
        </w:rPr>
      </w:pPr>
      <w:bookmarkStart w:id="11" w:name="OLE_LINK18"/>
      <w:r>
        <w:rPr>
          <w:rFonts w:hint="eastAsia" w:ascii="Times New Roman" w:hAnsi="Times New Roman" w:eastAsia="仿宋_GB2312"/>
          <w:color w:val="000000"/>
          <w:sz w:val="32"/>
          <w:u w:val="none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align>center</wp:align>
                </wp:positionH>
                <wp:positionV relativeFrom="paragraph">
                  <wp:posOffset>95250</wp:posOffset>
                </wp:positionV>
                <wp:extent cx="5550535" cy="635"/>
                <wp:effectExtent l="0" t="0" r="0" b="0"/>
                <wp:wrapNone/>
                <wp:docPr id="6" name="直接连接符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50535" cy="635"/>
                        </a:xfrm>
                        <a:prstGeom prst="line">
                          <a:avLst/>
                        </a:prstGeom>
                        <a:ln w="1587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top:7.5pt;height:0.05pt;width:437.05pt;mso-position-horizontal:center;z-index:251660288;mso-width-relative:page;mso-height-relative:page;" filled="f" stroked="t" coordsize="21600,21600" o:gfxdata="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">
                <v:fill on="f" focussize="0,0"/>
                <v:stroke weight="1.2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Times New Roman" w:hAnsi="Times New Roman" w:eastAsia="仿宋_GB2312" w:cs="仿宋"/>
          <w:bCs/>
          <w:color w:val="000000"/>
          <w:sz w:val="32"/>
          <w:szCs w:val="32"/>
          <w:u w:val="non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20807045</wp:posOffset>
                </wp:positionV>
                <wp:extent cx="5762625" cy="1270"/>
                <wp:effectExtent l="0" t="0" r="0" b="0"/>
                <wp:wrapNone/>
                <wp:docPr id="5" name="直接连接符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62625" cy="1270"/>
                        </a:xfrm>
                        <a:prstGeom prst="line">
                          <a:avLst/>
                        </a:prstGeom>
                        <a:ln w="9360" cap="sq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0pt;margin-top:1638.35pt;height:0.1pt;width:453.75pt;z-index:251659264;mso-width-relative:page;mso-height-relative:page;" filled="f" stroked="t" coordsize="21600,21600" o:gfxdata="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">
                <v:fill on="f" focussize="0,0"/>
                <v:stroke weight="0.737007874015748pt" color="#000000" joinstyle="round" endcap="square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</w:rPr>
        <w:t>本文书一式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三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</w:rPr>
        <w:t>份，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一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</w:rPr>
        <w:t>份送达，一份归档，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  <w:lang w:eastAsia="zh-CN"/>
        </w:rPr>
        <w:t>一份办案机构留存</w:t>
      </w:r>
      <w:r>
        <w:rPr>
          <w:rFonts w:hint="eastAsia" w:ascii="Times New Roman" w:hAnsi="Times New Roman" w:eastAsia="仿宋_GB2312" w:cs="仿宋"/>
          <w:color w:val="000000"/>
          <w:sz w:val="32"/>
          <w:szCs w:val="32"/>
          <w:u w:val="none"/>
        </w:rPr>
        <w:t>。</w:t>
      </w:r>
    </w:p>
    <w:bookmarkEnd w:id="11"/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ind w:left="0" w:leftChars="0" w:right="0" w:rightChars="0" w:firstLine="0" w:firstLineChars="0"/>
        <w:jc w:val="both"/>
        <w:textAlignment w:val="auto"/>
        <w:outlineLvl w:val="9"/>
        <w:rPr>
          <w:color w:val="auto"/>
        </w:rPr>
      </w:pPr>
    </w:p>
    <w:sectPr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Mangal">
    <w:panose1 w:val="02040503050203030202"/>
    <w:charset w:val="00"/>
    <w:family w:val="roman"/>
    <w:pitch w:val="default"/>
    <w:sig w:usb0="00008003" w:usb1="00000000" w:usb2="00000000" w:usb3="00000000" w:csb0="00000001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Mongolian Baiti">
    <w:panose1 w:val="03000500000000000000"/>
    <w:charset w:val="00"/>
    <w:family w:val="script"/>
    <w:pitch w:val="default"/>
    <w:sig w:usb0="80000023" w:usb1="00000000" w:usb2="0002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000008"/>
    <w:multiLevelType w:val="multilevel"/>
    <w:tmpl w:val="00000008"/>
    <w:lvl w:ilvl="0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1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2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3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4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5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6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7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8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</w:abstractNum>
  <w:abstractNum w:abstractNumId="1">
    <w:nsid w:val="0000000A"/>
    <w:multiLevelType w:val="multilevel"/>
    <w:tmpl w:val="0000000A"/>
    <w:lvl w:ilvl="0" w:tentative="0">
      <w:start w:val="1"/>
      <w:numFmt w:val="none"/>
      <w:pStyle w:val="3"/>
      <w:suff w:val="nothing"/>
      <w:lvlText w:val=""/>
      <w:lvlJc w:val="left"/>
      <w:pPr>
        <w:tabs>
          <w:tab w:val="left" w:pos="0"/>
        </w:tabs>
        <w:ind w:left="0" w:firstLine="0"/>
      </w:pPr>
    </w:lvl>
    <w:lvl w:ilvl="1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2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3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4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5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6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7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8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IwMDUxMDQyYzM0MzFmZGE1N2ZiNTUxNjlhMTAxYWYifQ=="/>
    <w:docVar w:name="KSO_WPS_MARK_KEY" w:val="82b036db-ec7a-4bad-abe5-1907531c951d"/>
  </w:docVars>
  <w:rsids>
    <w:rsidRoot w:val="5BA419F7"/>
    <w:rsid w:val="027F7268"/>
    <w:rsid w:val="030022A8"/>
    <w:rsid w:val="06E32638"/>
    <w:rsid w:val="0826168A"/>
    <w:rsid w:val="099A1FA0"/>
    <w:rsid w:val="0CBE3343"/>
    <w:rsid w:val="0DD4366D"/>
    <w:rsid w:val="0EF97BEC"/>
    <w:rsid w:val="0F3A0857"/>
    <w:rsid w:val="0F7E45C4"/>
    <w:rsid w:val="121656BA"/>
    <w:rsid w:val="13D47795"/>
    <w:rsid w:val="143E1E38"/>
    <w:rsid w:val="152E563E"/>
    <w:rsid w:val="1641063A"/>
    <w:rsid w:val="17D62BAF"/>
    <w:rsid w:val="19283C70"/>
    <w:rsid w:val="1A77254C"/>
    <w:rsid w:val="1E2A308C"/>
    <w:rsid w:val="1F073B50"/>
    <w:rsid w:val="1F8D46D8"/>
    <w:rsid w:val="1F976BCE"/>
    <w:rsid w:val="229871E5"/>
    <w:rsid w:val="23BC3EB3"/>
    <w:rsid w:val="23C7170B"/>
    <w:rsid w:val="24D95404"/>
    <w:rsid w:val="2A883AAE"/>
    <w:rsid w:val="2DE10173"/>
    <w:rsid w:val="2F6F5761"/>
    <w:rsid w:val="30CB57BC"/>
    <w:rsid w:val="32413C8F"/>
    <w:rsid w:val="32D76A6C"/>
    <w:rsid w:val="333B6EE8"/>
    <w:rsid w:val="33793162"/>
    <w:rsid w:val="348722BC"/>
    <w:rsid w:val="36E23B43"/>
    <w:rsid w:val="3A8A0DC9"/>
    <w:rsid w:val="3C244CA0"/>
    <w:rsid w:val="3CCF005B"/>
    <w:rsid w:val="3DBF2620"/>
    <w:rsid w:val="3F5C36FF"/>
    <w:rsid w:val="3FBE01FB"/>
    <w:rsid w:val="3FFF4CEC"/>
    <w:rsid w:val="42845635"/>
    <w:rsid w:val="44775C1F"/>
    <w:rsid w:val="46B37BF6"/>
    <w:rsid w:val="485F1904"/>
    <w:rsid w:val="496F3588"/>
    <w:rsid w:val="4EDA0F68"/>
    <w:rsid w:val="50BC3FFA"/>
    <w:rsid w:val="53B37061"/>
    <w:rsid w:val="54803B30"/>
    <w:rsid w:val="588C12CB"/>
    <w:rsid w:val="58FC7EFD"/>
    <w:rsid w:val="598A13F7"/>
    <w:rsid w:val="5BA419F7"/>
    <w:rsid w:val="5C73378B"/>
    <w:rsid w:val="5C8F50CD"/>
    <w:rsid w:val="5D7E7967"/>
    <w:rsid w:val="607B2305"/>
    <w:rsid w:val="612E7E8C"/>
    <w:rsid w:val="65DE7711"/>
    <w:rsid w:val="6A5F4CCD"/>
    <w:rsid w:val="6DDF8BBA"/>
    <w:rsid w:val="6E7FCB90"/>
    <w:rsid w:val="6FED452A"/>
    <w:rsid w:val="723133AF"/>
    <w:rsid w:val="724C2416"/>
    <w:rsid w:val="732108F2"/>
    <w:rsid w:val="73227AD9"/>
    <w:rsid w:val="735151C9"/>
    <w:rsid w:val="73C0428B"/>
    <w:rsid w:val="756A176A"/>
    <w:rsid w:val="79A73E07"/>
    <w:rsid w:val="7B785A20"/>
    <w:rsid w:val="7BA22844"/>
    <w:rsid w:val="7E1B3E99"/>
    <w:rsid w:val="7FD7BE73"/>
    <w:rsid w:val="BF965547"/>
    <w:rsid w:val="BFFD87AA"/>
    <w:rsid w:val="D7FF1B27"/>
    <w:rsid w:val="DA76FE71"/>
    <w:rsid w:val="DF9F7CF4"/>
    <w:rsid w:val="DFBFF95F"/>
    <w:rsid w:val="DFF944AD"/>
    <w:rsid w:val="EFFCA455"/>
    <w:rsid w:val="F7EC5959"/>
    <w:rsid w:val="FBFEF6F3"/>
    <w:rsid w:val="FDEF9929"/>
    <w:rsid w:val="FFDEF5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qFormat="1" w:uiPriority="99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keepNext/>
      <w:numPr>
        <w:ilvl w:val="0"/>
        <w:numId w:val="1"/>
      </w:numPr>
      <w:spacing w:before="240" w:after="120"/>
      <w:jc w:val="left"/>
      <w:outlineLvl w:val="0"/>
    </w:pPr>
    <w:rPr>
      <w:rFonts w:ascii="Times New Roman" w:hAnsi="Times New Roman" w:cs="Mangal"/>
      <w:color w:val="00000A"/>
      <w:sz w:val="24"/>
      <w:lang w:val="zh-CN" w:bidi="hi-IN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note text"/>
    <w:basedOn w:val="1"/>
    <w:unhideWhenUsed/>
    <w:qFormat/>
    <w:uiPriority w:val="99"/>
    <w:pPr>
      <w:snapToGrid w:val="0"/>
      <w:jc w:val="left"/>
    </w:pPr>
    <w:rPr>
      <w:sz w:val="18"/>
    </w:rPr>
  </w:style>
  <w:style w:type="paragraph" w:styleId="4">
    <w:name w:val="annotation text"/>
    <w:basedOn w:val="1"/>
    <w:qFormat/>
    <w:uiPriority w:val="0"/>
    <w:pPr>
      <w:jc w:val="left"/>
    </w:p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1227</Words>
  <Characters>1353</Characters>
  <Lines>0</Lines>
  <Paragraphs>0</Paragraphs>
  <TotalTime>2</TotalTime>
  <ScaleCrop>false</ScaleCrop>
  <LinksUpToDate>false</LinksUpToDate>
  <CharactersWithSpaces>1455</CharactersWithSpaces>
  <Application>WPS Office_11.1.0.15319_F1E327BC-269C-435d-A152-05C5408002CA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2021-07-27T02:04:00Z</dcterms:created>
  <dc:creator>胖林宝宝噜啦噜～</dc:creator>
  <cp:lastModifiedBy>Cathy</cp:lastModifiedBy>
  <dcterms:modified xsi:type="dcterms:W3CDTF">2025-01-22T03:04:34Z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2052-11.1.0.15319</vt:lpwstr>
  </property>
  <property fmtid="{D5CDD505-2E9C-101B-9397-08002B2CF9AE}" pid="3" name="ICV">
    <vt:lpwstr>4EC3AE0C527E4B78A5FD400FBFF5820E</vt:lpwstr>
  </property>
</Properties>
</file>