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Web"/>
        <w:keepNext w:val="false"/>
        <w:keepLines w:val="false"/>
        <w:pageBreakBefore w:val="false"/>
        <w:widowControl w:val="false"/>
        <w:kinsoku w:val="true"/>
        <w:overflowPunct w:val="true"/>
        <w:bidi w:val="0"/>
        <w:snapToGrid w:val="false"/>
        <w:spacing w:lineRule="exact" w:line="560"/>
        <w:ind w:firstLineChars="200" w:firstLine="0"/>
        <w:jc w:val="both"/>
        <w:textAlignment w:val="auto"/>
        <w:rPr>
          <w:rFonts w:ascii="宋体" w:hAnsi="宋体" w:eastAsia="方正小标宋简体" w:cs="方正小标宋简体"/>
          <w:color w:val="auto"/>
          <w:sz w:val="44"/>
          <w:szCs w:val="44"/>
        </w:rPr>
      </w:pPr>
      <w:r>
        <w:rPr>
          <w:rFonts w:ascii="宋体" w:hAnsi="宋体" w:cs="方正小标宋简体" w:eastAsia="方正小标宋简体"/>
          <w:color w:val="auto"/>
          <w:sz w:val="44"/>
          <w:szCs w:val="44"/>
          <w:lang w:val="en-US" w:eastAsia="zh-CN"/>
        </w:rPr>
        <w:t>乳山市新能源产业发展基金</w:t>
      </w:r>
      <w:r>
        <w:rPr>
          <w:rFonts w:ascii="宋体" w:hAnsi="宋体" w:cs="方正小标宋简体" w:eastAsia="方正小标宋简体"/>
          <w:color w:val="auto"/>
          <w:sz w:val="44"/>
          <w:szCs w:val="44"/>
        </w:rPr>
        <w:t>管理办法</w:t>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楷体_GB2312" w:cs="楷体_GB2312"/>
          <w:b w:val="false"/>
          <w:b w:val="false"/>
          <w:bCs w:val="false"/>
          <w:color w:val="auto"/>
          <w:sz w:val="32"/>
          <w:szCs w:val="32"/>
        </w:rPr>
      </w:pPr>
      <w:r>
        <w:rPr>
          <w:rFonts w:ascii="宋体" w:hAnsi="宋体" w:cs="楷体_GB2312" w:eastAsia="楷体_GB2312"/>
          <w:b w:val="false"/>
          <w:bCs w:val="false"/>
          <w:color w:val="auto"/>
          <w:sz w:val="32"/>
          <w:szCs w:val="32"/>
        </w:rPr>
        <w:t>（</w:t>
      </w:r>
      <w:r>
        <w:rPr>
          <w:rFonts w:ascii="宋体" w:hAnsi="宋体" w:cs="楷体_GB2312" w:eastAsia="楷体_GB2312"/>
          <w:b w:val="false"/>
          <w:bCs w:val="false"/>
          <w:color w:val="auto"/>
          <w:sz w:val="32"/>
          <w:szCs w:val="32"/>
          <w:lang w:val="en-US" w:eastAsia="zh-CN"/>
        </w:rPr>
        <w:t>征求意见稿</w:t>
      </w:r>
      <w:r>
        <w:rPr>
          <w:rFonts w:ascii="宋体" w:hAnsi="宋体" w:cs="楷体_GB2312" w:eastAsia="楷体_GB2312"/>
          <w:b w:val="false"/>
          <w:bCs w:val="false"/>
          <w:color w:val="auto"/>
          <w:sz w:val="32"/>
          <w:szCs w:val="32"/>
        </w:rPr>
        <w:t>）</w:t>
      </w:r>
    </w:p>
    <w:p>
      <w:pPr>
        <w:pStyle w:val="NormalWeb"/>
        <w:keepNext w:val="false"/>
        <w:keepLines w:val="false"/>
        <w:pageBreakBefore w:val="false"/>
        <w:widowControl w:val="false"/>
        <w:numPr>
          <w:ilvl w:val="0"/>
          <w:numId w:val="0"/>
        </w:numPr>
        <w:tabs>
          <w:tab w:val="clear" w:pos="420"/>
          <w:tab w:val="left" w:pos="3766" w:leader="none"/>
          <w:tab w:val="center" w:pos="5039" w:leader="none"/>
        </w:tabs>
        <w:kinsoku w:val="true"/>
        <w:overflowPunct w:val="true"/>
        <w:bidi w:val="0"/>
        <w:snapToGrid w:val="false"/>
        <w:spacing w:lineRule="exact" w:line="560"/>
        <w:ind w:firstLineChars="200" w:firstLine="0"/>
        <w:jc w:val="center"/>
        <w:textAlignment w:val="auto"/>
        <w:rPr>
          <w:rFonts w:ascii="宋体" w:hAnsi="宋体" w:eastAsia="仿宋_GB2312" w:cs="仿宋_GB2312"/>
          <w:color w:val="auto"/>
          <w:sz w:val="32"/>
          <w:szCs w:val="32"/>
        </w:rPr>
      </w:pPr>
      <w:r>
        <w:rPr>
          <w:rFonts w:eastAsia="仿宋_GB2312" w:cs="仿宋_GB2312" w:ascii="宋体" w:hAnsi="宋体"/>
          <w:color w:val="auto"/>
          <w:sz w:val="32"/>
          <w:szCs w:val="32"/>
        </w:rPr>
      </w:r>
    </w:p>
    <w:p>
      <w:pPr>
        <w:pStyle w:val="NormalWeb"/>
        <w:keepNext w:val="false"/>
        <w:keepLines w:val="false"/>
        <w:pageBreakBefore w:val="false"/>
        <w:widowControl w:val="false"/>
        <w:numPr>
          <w:ilvl w:val="0"/>
          <w:numId w:val="0"/>
        </w:numPr>
        <w:tabs>
          <w:tab w:val="clear" w:pos="420"/>
          <w:tab w:val="left" w:pos="3766" w:leader="none"/>
          <w:tab w:val="center" w:pos="5039" w:leader="none"/>
        </w:tabs>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ascii="宋体" w:hAnsi="宋体" w:cs="黑体" w:eastAsia="黑体"/>
          <w:color w:val="auto"/>
          <w:sz w:val="32"/>
          <w:szCs w:val="32"/>
        </w:rPr>
        <w:t>第一章 总则</w:t>
      </w:r>
    </w:p>
    <w:p>
      <w:pPr>
        <w:pStyle w:val="NormalWeb"/>
        <w:keepNext w:val="false"/>
        <w:keepLines w:val="false"/>
        <w:pageBreakBefore w:val="false"/>
        <w:widowControl w:val="false"/>
        <w:numPr>
          <w:ilvl w:val="0"/>
          <w:numId w:val="0"/>
        </w:numPr>
        <w:tabs>
          <w:tab w:val="clear" w:pos="420"/>
          <w:tab w:val="left" w:pos="3766" w:leader="none"/>
          <w:tab w:val="center" w:pos="5039" w:leader="none"/>
        </w:tabs>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eastAsia="黑体" w:cs="黑体" w:ascii="宋体" w:hAnsi="宋体"/>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第一条</w:t>
      </w:r>
      <w:r>
        <w:rPr>
          <w:rFonts w:ascii="宋体" w:hAnsi="宋体" w:cs="仿宋_GB2312" w:eastAsia="仿宋_GB2312"/>
          <w:color w:val="auto"/>
          <w:sz w:val="32"/>
          <w:szCs w:val="32"/>
        </w:rPr>
        <w:t xml:space="preserve"> 在</w:t>
      </w:r>
      <w:r>
        <w:rPr>
          <w:rFonts w:ascii="宋体" w:hAnsi="宋体" w:cs="仿宋_GB2312" w:eastAsia="仿宋_GB2312"/>
          <w:color w:val="auto"/>
          <w:sz w:val="32"/>
          <w:szCs w:val="32"/>
          <w:lang w:eastAsia="zh-CN"/>
        </w:rPr>
        <w:t>“碳达峰、碳中和”</w:t>
      </w:r>
      <w:r>
        <w:rPr>
          <w:rFonts w:ascii="宋体" w:hAnsi="宋体" w:cs="仿宋_GB2312" w:eastAsia="仿宋_GB2312"/>
          <w:color w:val="auto"/>
          <w:sz w:val="32"/>
          <w:szCs w:val="32"/>
        </w:rPr>
        <w:t>的国家宏观战略背景下，为</w:t>
      </w:r>
      <w:r>
        <w:rPr>
          <w:rFonts w:ascii="宋体" w:hAnsi="宋体" w:cs="仿宋_GB2312" w:eastAsia="仿宋_GB2312"/>
          <w:color w:val="auto"/>
          <w:sz w:val="32"/>
          <w:szCs w:val="32"/>
          <w:lang w:val="en-US" w:eastAsia="zh-CN"/>
        </w:rPr>
        <w:t>促进乳山市</w:t>
      </w:r>
      <w:r>
        <w:rPr>
          <w:rFonts w:ascii="宋体" w:hAnsi="宋体" w:cs="仿宋_GB2312" w:eastAsia="仿宋_GB2312"/>
          <w:color w:val="auto"/>
          <w:sz w:val="32"/>
          <w:szCs w:val="32"/>
        </w:rPr>
        <w:t>经济持续健康发展，乳山市恒泰交通投资发展集团有限公司</w:t>
      </w:r>
      <w:r>
        <w:rPr>
          <w:rFonts w:ascii="宋体" w:hAnsi="宋体" w:cs="仿宋_GB2312" w:eastAsia="仿宋_GB2312"/>
          <w:color w:val="auto"/>
          <w:sz w:val="32"/>
          <w:szCs w:val="32"/>
          <w:lang w:val="en-US" w:eastAsia="zh-CN"/>
        </w:rPr>
        <w:t>发起</w:t>
      </w:r>
      <w:r>
        <w:rPr>
          <w:rFonts w:ascii="宋体" w:hAnsi="宋体" w:cs="仿宋_GB2312" w:eastAsia="仿宋_GB2312"/>
          <w:color w:val="auto"/>
          <w:sz w:val="32"/>
          <w:szCs w:val="32"/>
        </w:rPr>
        <w:t>设立</w:t>
      </w:r>
      <w:r>
        <w:rPr>
          <w:rFonts w:ascii="宋体" w:hAnsi="宋体" w:cs="仿宋_GB2312" w:eastAsia="仿宋_GB2312"/>
          <w:color w:val="auto"/>
          <w:sz w:val="32"/>
          <w:szCs w:val="32"/>
          <w:lang w:val="en-US" w:eastAsia="zh-CN"/>
        </w:rPr>
        <w:t>了乳山市新能源产业发展基金</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rPr>
        <w:t>以下简称“</w:t>
      </w:r>
      <w:r>
        <w:rPr>
          <w:rFonts w:ascii="宋体" w:hAnsi="宋体" w:cs="仿宋_GB2312" w:eastAsia="仿宋_GB2312"/>
          <w:color w:val="auto"/>
          <w:sz w:val="32"/>
          <w:szCs w:val="32"/>
          <w:lang w:val="en-US" w:eastAsia="zh-CN"/>
        </w:rPr>
        <w:t>产业基金</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旨在通过产业基金</w:t>
      </w:r>
      <w:r>
        <w:rPr>
          <w:rFonts w:ascii="宋体" w:hAnsi="宋体" w:cs="仿宋_GB2312" w:eastAsia="仿宋_GB2312"/>
          <w:color w:val="auto"/>
          <w:sz w:val="32"/>
          <w:szCs w:val="32"/>
        </w:rPr>
        <w:t>股权融资的杠杆效应，</w:t>
      </w:r>
      <w:r>
        <w:rPr>
          <w:rFonts w:ascii="宋体" w:hAnsi="宋体" w:cs="仿宋_GB2312" w:eastAsia="仿宋_GB2312"/>
          <w:color w:val="auto"/>
          <w:sz w:val="32"/>
          <w:szCs w:val="32"/>
          <w:lang w:val="en-US" w:eastAsia="zh-CN"/>
        </w:rPr>
        <w:t>带动</w:t>
      </w:r>
      <w:r>
        <w:rPr>
          <w:rFonts w:ascii="宋体" w:hAnsi="宋体" w:cs="仿宋_GB2312" w:eastAsia="仿宋_GB2312"/>
          <w:color w:val="auto"/>
          <w:sz w:val="32"/>
          <w:szCs w:val="32"/>
        </w:rPr>
        <w:t>社会资本和金融机构</w:t>
      </w:r>
      <w:r>
        <w:rPr>
          <w:rFonts w:ascii="宋体" w:hAnsi="宋体" w:cs="仿宋_GB2312" w:eastAsia="仿宋_GB2312"/>
          <w:color w:val="auto"/>
          <w:sz w:val="32"/>
          <w:szCs w:val="32"/>
          <w:lang w:val="en-US" w:eastAsia="zh-CN"/>
        </w:rPr>
        <w:t>的</w:t>
      </w:r>
      <w:r>
        <w:rPr>
          <w:rFonts w:ascii="宋体" w:hAnsi="宋体" w:cs="仿宋_GB2312" w:eastAsia="仿宋_GB2312"/>
          <w:color w:val="auto"/>
          <w:sz w:val="32"/>
          <w:szCs w:val="32"/>
        </w:rPr>
        <w:t>资金集聚，助力</w:t>
      </w:r>
      <w:r>
        <w:rPr>
          <w:rFonts w:ascii="宋体" w:hAnsi="宋体" w:cs="仿宋_GB2312" w:eastAsia="仿宋_GB2312"/>
          <w:color w:val="auto"/>
          <w:sz w:val="32"/>
          <w:szCs w:val="32"/>
          <w:lang w:val="en-US" w:eastAsia="zh-CN"/>
        </w:rPr>
        <w:t>乳山市</w:t>
      </w:r>
      <w:r>
        <w:rPr>
          <w:rFonts w:ascii="宋体" w:hAnsi="宋体" w:cs="仿宋_GB2312" w:eastAsia="仿宋_GB2312"/>
          <w:color w:val="auto"/>
          <w:sz w:val="32"/>
          <w:szCs w:val="32"/>
        </w:rPr>
        <w:t>新能源产业</w:t>
      </w:r>
      <w:r>
        <w:rPr>
          <w:rFonts w:ascii="宋体" w:hAnsi="宋体" w:cs="仿宋_GB2312" w:eastAsia="仿宋_GB2312"/>
          <w:color w:val="auto"/>
          <w:sz w:val="32"/>
          <w:szCs w:val="32"/>
          <w:lang w:eastAsia="zh-CN"/>
        </w:rPr>
        <w:t>的</w:t>
      </w:r>
      <w:r>
        <w:rPr>
          <w:rFonts w:ascii="宋体" w:hAnsi="宋体" w:cs="仿宋_GB2312" w:eastAsia="仿宋_GB2312"/>
          <w:color w:val="auto"/>
          <w:sz w:val="32"/>
          <w:szCs w:val="32"/>
        </w:rPr>
        <w:t>发展</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lang w:val="en-US" w:eastAsia="zh-CN"/>
        </w:rPr>
        <w:t>为更好的规范、管理、运作产业基金，</w:t>
      </w:r>
      <w:r>
        <w:rPr>
          <w:rFonts w:ascii="宋体" w:hAnsi="宋体" w:cs="仿宋_GB2312" w:eastAsia="仿宋_GB2312"/>
          <w:color w:val="auto"/>
          <w:sz w:val="32"/>
          <w:szCs w:val="32"/>
        </w:rPr>
        <w:t>根据</w:t>
      </w:r>
      <w:r>
        <w:rPr>
          <w:rFonts w:ascii="宋体" w:hAnsi="宋体" w:cs="Times New Roman" w:eastAsia="仿宋_GB2312"/>
          <w:color w:val="auto"/>
          <w:sz w:val="32"/>
          <w:szCs w:val="32"/>
          <w:lang w:bidi="ar"/>
        </w:rPr>
        <w:t>《中华人民共和国民法典》</w:t>
      </w:r>
      <w:r>
        <w:rPr>
          <w:rFonts w:ascii="宋体" w:hAnsi="宋体" w:cs="仿宋_GB2312" w:eastAsia="仿宋_GB2312"/>
          <w:color w:val="auto"/>
          <w:sz w:val="32"/>
          <w:szCs w:val="32"/>
        </w:rPr>
        <w:t>等法律法规和有关文件规定，</w:t>
      </w:r>
      <w:r>
        <w:rPr>
          <w:rFonts w:ascii="宋体" w:hAnsi="宋体" w:cs="仿宋_GB2312" w:eastAsia="仿宋_GB2312"/>
          <w:color w:val="auto"/>
          <w:sz w:val="32"/>
          <w:szCs w:val="32"/>
          <w:lang w:val="en-US" w:eastAsia="zh-CN"/>
        </w:rPr>
        <w:t>结合乳山市实际情况，</w:t>
      </w:r>
      <w:r>
        <w:rPr>
          <w:rFonts w:ascii="宋体" w:hAnsi="宋体" w:cs="仿宋_GB2312" w:eastAsia="仿宋_GB2312"/>
          <w:color w:val="auto"/>
          <w:sz w:val="32"/>
          <w:szCs w:val="32"/>
        </w:rPr>
        <w:t>制定本管理办法。</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 xml:space="preserve">第二条 </w:t>
      </w:r>
      <w:r>
        <w:rPr>
          <w:rFonts w:ascii="宋体" w:hAnsi="宋体" w:cs="仿宋_GB2312" w:eastAsia="仿宋_GB2312"/>
          <w:color w:val="auto"/>
          <w:sz w:val="32"/>
          <w:szCs w:val="32"/>
          <w:lang w:val="en-US" w:eastAsia="zh-CN"/>
        </w:rPr>
        <w:t>产业基金目标规模</w:t>
      </w:r>
      <w:r>
        <w:rPr>
          <w:rFonts w:eastAsia="仿宋_GB2312" w:cs="仿宋_GB2312" w:ascii="宋体" w:hAnsi="宋体"/>
          <w:color w:val="auto"/>
          <w:sz w:val="32"/>
          <w:szCs w:val="32"/>
          <w:lang w:val="en-US" w:eastAsia="zh-CN"/>
        </w:rPr>
        <w:t>50</w:t>
      </w:r>
      <w:r>
        <w:rPr>
          <w:rFonts w:ascii="宋体" w:hAnsi="宋体" w:cs="仿宋_GB2312" w:eastAsia="仿宋_GB2312"/>
          <w:color w:val="auto"/>
          <w:sz w:val="32"/>
          <w:szCs w:val="32"/>
          <w:lang w:val="en-US" w:eastAsia="zh-CN"/>
        </w:rPr>
        <w:t>亿元，将重点对乳山市内新能源企业、新能源行业相关基础设施和城市更新项目、新能源产业园内优质存量企业和招引的外部优质企业等进行投资，打造新能源产业集群，完善产业链条</w:t>
      </w:r>
      <w:r>
        <w:rPr>
          <w:rFonts w:ascii="宋体" w:hAnsi="宋体" w:cs="仿宋_GB2312" w:eastAsia="仿宋_GB2312"/>
          <w:color w:val="auto"/>
          <w:sz w:val="32"/>
          <w:szCs w:val="32"/>
        </w:rPr>
        <w:t>。</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三</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val="en-US" w:eastAsia="zh-CN"/>
        </w:rPr>
        <w:t>产业基金</w:t>
      </w:r>
      <w:r>
        <w:rPr>
          <w:rFonts w:ascii="宋体" w:hAnsi="宋体" w:cs="仿宋_GB2312" w:eastAsia="仿宋_GB2312"/>
          <w:color w:val="auto"/>
          <w:sz w:val="32"/>
          <w:szCs w:val="32"/>
        </w:rPr>
        <w:t>实行决策与管理相分离的管理体制，按照“市场运作、科学决策、专业管理、防范风险、滚动发展”的原则进行投资运作。</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四</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val="en-US" w:eastAsia="zh-CN"/>
        </w:rPr>
        <w:t>产业基金</w:t>
      </w:r>
      <w:r>
        <w:rPr>
          <w:rFonts w:ascii="宋体" w:hAnsi="宋体" w:cs="仿宋_GB2312" w:eastAsia="仿宋_GB2312"/>
          <w:color w:val="auto"/>
          <w:sz w:val="32"/>
          <w:szCs w:val="32"/>
        </w:rPr>
        <w:t>存续期限暂定</w:t>
      </w:r>
      <w:r>
        <w:rPr>
          <w:rFonts w:eastAsia="仿宋_GB2312" w:cs="仿宋_GB2312" w:ascii="宋体" w:hAnsi="宋体"/>
          <w:color w:val="auto"/>
          <w:sz w:val="32"/>
          <w:szCs w:val="32"/>
          <w:lang w:val="en-US" w:eastAsia="zh-CN"/>
        </w:rPr>
        <w:t>20</w:t>
      </w:r>
      <w:r>
        <w:rPr>
          <w:rFonts w:ascii="宋体" w:hAnsi="宋体" w:cs="仿宋_GB2312" w:eastAsia="仿宋_GB2312"/>
          <w:color w:val="auto"/>
          <w:sz w:val="32"/>
          <w:szCs w:val="32"/>
        </w:rPr>
        <w:t>年，期满前根据实际需要</w:t>
      </w:r>
      <w:r>
        <w:rPr>
          <w:rFonts w:ascii="宋体" w:hAnsi="宋体" w:cs="仿宋_GB2312" w:eastAsia="仿宋_GB2312"/>
          <w:color w:val="auto"/>
          <w:sz w:val="32"/>
          <w:szCs w:val="32"/>
          <w:lang w:val="en-US" w:eastAsia="zh-CN"/>
        </w:rPr>
        <w:t>进行</w:t>
      </w:r>
      <w:r>
        <w:rPr>
          <w:rFonts w:ascii="宋体" w:hAnsi="宋体" w:cs="仿宋_GB2312" w:eastAsia="仿宋_GB2312"/>
          <w:color w:val="auto"/>
          <w:sz w:val="32"/>
          <w:szCs w:val="32"/>
        </w:rPr>
        <w:t>延长。</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lang w:val="en-US" w:eastAsia="zh-CN"/>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五</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val="en-US" w:eastAsia="zh-CN"/>
        </w:rPr>
        <w:t>产业基金</w:t>
      </w:r>
      <w:r>
        <w:rPr>
          <w:rFonts w:ascii="宋体" w:hAnsi="宋体" w:cs="仿宋_GB2312" w:eastAsia="仿宋_GB2312"/>
          <w:color w:val="auto"/>
          <w:sz w:val="32"/>
          <w:szCs w:val="32"/>
        </w:rPr>
        <w:t>主要通过直接投资方式</w:t>
      </w:r>
      <w:r>
        <w:rPr>
          <w:rFonts w:ascii="宋体" w:hAnsi="宋体" w:cs="仿宋_GB2312" w:eastAsia="仿宋_GB2312"/>
          <w:color w:val="auto"/>
          <w:sz w:val="32"/>
          <w:szCs w:val="32"/>
          <w:lang w:val="en-US" w:eastAsia="zh-CN"/>
        </w:rPr>
        <w:t>进行投资；也可通过参股方式，与社会资本合作设立城市更新类子基金和产业类子基金（以下简称“子基金”）。</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lang w:val="en-US" w:eastAsia="zh-CN"/>
        </w:rPr>
      </w:pPr>
      <w:r>
        <w:rPr>
          <w:rFonts w:eastAsia="仿宋_GB2312" w:cs="仿宋_GB2312" w:ascii="宋体" w:hAnsi="宋体"/>
          <w:color w:val="auto"/>
          <w:sz w:val="32"/>
          <w:szCs w:val="32"/>
          <w:lang w:val="en-US" w:eastAsia="zh-CN"/>
        </w:rPr>
      </w:r>
    </w:p>
    <w:p>
      <w:pPr>
        <w:pStyle w:val="NormalWeb"/>
        <w:keepNext w:val="false"/>
        <w:keepLines w:val="false"/>
        <w:pageBreakBefore w:val="false"/>
        <w:widowControl w:val="false"/>
        <w:numPr>
          <w:ilvl w:val="0"/>
          <w:numId w:val="2"/>
        </w:numPr>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ascii="宋体" w:hAnsi="宋体" w:cs="黑体" w:eastAsia="黑体"/>
          <w:color w:val="auto"/>
          <w:sz w:val="32"/>
          <w:szCs w:val="32"/>
        </w:rPr>
        <w:t>管理机构及职责</w:t>
      </w:r>
    </w:p>
    <w:p>
      <w:pPr>
        <w:pStyle w:val="NormalWeb"/>
        <w:keepNext w:val="false"/>
        <w:keepLines w:val="false"/>
        <w:pageBreakBefore w:val="false"/>
        <w:widowControl w:val="false"/>
        <w:numPr>
          <w:ilvl w:val="0"/>
          <w:numId w:val="0"/>
        </w:numPr>
        <w:kinsoku w:val="true"/>
        <w:overflowPunct w:val="true"/>
        <w:bidi w:val="0"/>
        <w:snapToGrid w:val="false"/>
        <w:spacing w:lineRule="exact" w:line="560"/>
        <w:ind w:firstLineChars="200" w:firstLine="0"/>
        <w:jc w:val="center"/>
        <w:textAlignment w:val="auto"/>
        <w:rPr>
          <w:rFonts w:ascii="宋体" w:hAnsi="宋体" w:eastAsia="仿宋_GB2312" w:cs="仿宋_GB2312"/>
          <w:b/>
          <w:b/>
          <w:bCs/>
          <w:color w:val="auto"/>
          <w:sz w:val="32"/>
          <w:szCs w:val="32"/>
          <w:lang w:val="en-US" w:eastAsia="zh-CN"/>
        </w:rPr>
      </w:pPr>
      <w:r>
        <w:rPr>
          <w:rFonts w:eastAsia="仿宋_GB2312" w:cs="仿宋_GB2312" w:ascii="宋体" w:hAnsi="宋体"/>
          <w:b/>
          <w:bCs/>
          <w:color w:val="auto"/>
          <w:sz w:val="32"/>
          <w:szCs w:val="32"/>
          <w:lang w:val="en-US" w:eastAsia="zh-CN"/>
        </w:rPr>
      </w:r>
    </w:p>
    <w:p>
      <w:pPr>
        <w:pStyle w:val="NormalWeb"/>
        <w:keepNext w:val="false"/>
        <w:keepLines w:val="false"/>
        <w:pageBreakBefore w:val="false"/>
        <w:widowControl w:val="false"/>
        <w:numPr>
          <w:ilvl w:val="0"/>
          <w:numId w:val="0"/>
        </w:numPr>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lang w:val="en-US" w:eastAsia="zh-CN"/>
        </w:rPr>
        <w:t xml:space="preserve">第六条 </w:t>
      </w:r>
      <w:r>
        <w:rPr>
          <w:rFonts w:ascii="宋体" w:hAnsi="宋体" w:cs="仿宋_GB2312" w:eastAsia="仿宋_GB2312"/>
          <w:color w:val="auto"/>
          <w:sz w:val="32"/>
          <w:szCs w:val="32"/>
          <w:lang w:val="en-US" w:eastAsia="zh-CN"/>
        </w:rPr>
        <w:t>产业基金</w:t>
      </w:r>
      <w:r>
        <w:rPr>
          <w:rFonts w:ascii="宋体" w:hAnsi="宋体" w:cs="仿宋_GB2312" w:eastAsia="仿宋_GB2312"/>
          <w:color w:val="auto"/>
          <w:sz w:val="32"/>
          <w:szCs w:val="32"/>
        </w:rPr>
        <w:t>设立方式为有限合伙制，注册地为</w:t>
      </w:r>
      <w:r>
        <w:rPr>
          <w:rFonts w:ascii="宋体" w:hAnsi="宋体" w:cs="仿宋_GB2312" w:eastAsia="仿宋_GB2312"/>
          <w:color w:val="auto"/>
          <w:sz w:val="32"/>
          <w:szCs w:val="32"/>
          <w:lang w:val="en-US" w:eastAsia="zh-CN"/>
        </w:rPr>
        <w:t>乳山市</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lang w:val="en-US" w:eastAsia="zh-CN"/>
        </w:rPr>
        <w:t>政府各职能</w:t>
      </w:r>
      <w:r>
        <w:rPr>
          <w:rFonts w:ascii="宋体" w:hAnsi="宋体" w:cs="仿宋_GB2312" w:eastAsia="仿宋_GB2312"/>
          <w:color w:val="auto"/>
          <w:sz w:val="32"/>
          <w:szCs w:val="32"/>
        </w:rPr>
        <w:t>部门在</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管理中分别承担以下职责：</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（一）市财政局</w:t>
      </w:r>
      <w:r>
        <w:rPr>
          <w:rFonts w:ascii="宋体" w:hAnsi="宋体" w:cs="仿宋_GB2312" w:eastAsia="仿宋_GB2312"/>
          <w:color w:val="auto"/>
          <w:sz w:val="32"/>
          <w:szCs w:val="32"/>
          <w:lang w:val="en-US"/>
        </w:rPr>
        <w:t>负责政策制度设计、资金筹集和拨付，</w:t>
      </w:r>
      <w:r>
        <w:rPr>
          <w:rFonts w:ascii="宋体" w:hAnsi="宋体" w:cs="仿宋_GB2312" w:eastAsia="仿宋_GB2312"/>
          <w:color w:val="auto"/>
          <w:sz w:val="32"/>
          <w:szCs w:val="32"/>
          <w:lang w:val="en-US" w:eastAsia="zh-CN"/>
        </w:rPr>
        <w:t>负责</w:t>
      </w:r>
      <w:r>
        <w:rPr>
          <w:rFonts w:ascii="宋体" w:hAnsi="宋体" w:cs="仿宋_GB2312" w:eastAsia="仿宋_GB2312"/>
          <w:color w:val="auto"/>
          <w:sz w:val="32"/>
          <w:szCs w:val="32"/>
        </w:rPr>
        <w:t>牵头组织开展</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绩效评价，选择</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托管银行，核定</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管理费，组织部门会商等工作</w:t>
      </w:r>
      <w:r>
        <w:rPr>
          <w:rFonts w:ascii="宋体" w:hAnsi="宋体" w:cs="仿宋_GB2312" w:eastAsia="仿宋_GB2312"/>
          <w:color w:val="auto"/>
          <w:sz w:val="32"/>
          <w:szCs w:val="32"/>
          <w:lang w:eastAsia="zh-CN"/>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lang w:val="en-US" w:eastAsia="zh-CN"/>
        </w:rPr>
        <w:t>二</w:t>
      </w: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lang w:val="en-US" w:eastAsia="zh-CN"/>
        </w:rPr>
        <w:t>市</w:t>
      </w:r>
      <w:r>
        <w:rPr>
          <w:rFonts w:ascii="宋体" w:hAnsi="宋体" w:cs="仿宋_GB2312" w:eastAsia="仿宋_GB2312"/>
          <w:color w:val="auto"/>
          <w:sz w:val="32"/>
          <w:szCs w:val="32"/>
        </w:rPr>
        <w:t>国资服务中心负责审核国有资本投资、退出等程序的规范性</w:t>
      </w:r>
      <w:r>
        <w:rPr>
          <w:rFonts w:ascii="宋体" w:hAnsi="宋体" w:cs="仿宋_GB2312" w:eastAsia="仿宋_GB2312"/>
          <w:color w:val="auto"/>
          <w:sz w:val="32"/>
          <w:szCs w:val="32"/>
          <w:lang w:eastAsia="zh-CN"/>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2"/>
          <w:sz w:val="32"/>
          <w:szCs w:val="32"/>
          <w:lang w:eastAsia="zh-CN"/>
        </w:rPr>
      </w:pP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三</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市</w:t>
      </w:r>
      <w:r>
        <w:rPr>
          <w:rFonts w:ascii="宋体" w:hAnsi="宋体" w:cs="仿宋_GB2312" w:eastAsia="仿宋_GB2312"/>
          <w:color w:val="auto"/>
          <w:sz w:val="32"/>
          <w:szCs w:val="32"/>
        </w:rPr>
        <w:t>发改局负责产业投向的政策符合性审查，</w:t>
      </w:r>
      <w:r>
        <w:rPr>
          <w:rFonts w:ascii="宋体" w:hAnsi="宋体" w:cs="仿宋_GB2312" w:eastAsia="仿宋_GB2312"/>
          <w:color w:val="auto"/>
          <w:kern w:val="0"/>
          <w:sz w:val="32"/>
          <w:szCs w:val="32"/>
        </w:rPr>
        <w:t>运用项目库，为</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lang w:val="en-US" w:eastAsia="zh-CN"/>
        </w:rPr>
        <w:t>和</w:t>
      </w:r>
      <w:r>
        <w:rPr>
          <w:rFonts w:ascii="宋体" w:hAnsi="宋体" w:cs="仿宋_GB2312" w:eastAsia="仿宋_GB2312"/>
          <w:color w:val="auto"/>
          <w:kern w:val="0"/>
          <w:sz w:val="32"/>
          <w:szCs w:val="32"/>
        </w:rPr>
        <w:t>子基金提供项目信息咨询和项目对接服务；</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lang w:val="en-US" w:eastAsia="zh-CN"/>
        </w:rPr>
        <w:t>四</w:t>
      </w:r>
      <w:r>
        <w:rPr>
          <w:rFonts w:ascii="宋体" w:hAnsi="宋体" w:cs="仿宋_GB2312" w:eastAsia="仿宋_GB2312"/>
          <w:color w:val="auto"/>
          <w:kern w:val="0"/>
          <w:sz w:val="32"/>
          <w:szCs w:val="32"/>
          <w:lang w:eastAsia="zh-CN"/>
        </w:rPr>
        <w:t>）</w:t>
      </w:r>
      <w:r>
        <w:rPr>
          <w:rFonts w:ascii="宋体" w:hAnsi="宋体" w:cs="仿宋_GB2312" w:eastAsia="仿宋_GB2312"/>
          <w:color w:val="auto"/>
          <w:sz w:val="32"/>
          <w:szCs w:val="32"/>
          <w:lang w:eastAsia="zh-CN"/>
        </w:rPr>
        <w:t>市</w:t>
      </w:r>
      <w:r>
        <w:rPr>
          <w:rFonts w:ascii="宋体" w:hAnsi="宋体" w:cs="仿宋_GB2312" w:eastAsia="仿宋_GB2312"/>
          <w:color w:val="auto"/>
          <w:sz w:val="32"/>
          <w:szCs w:val="32"/>
        </w:rPr>
        <w:t>地方金融</w:t>
      </w:r>
      <w:r>
        <w:rPr>
          <w:rFonts w:ascii="宋体" w:hAnsi="宋体" w:cs="仿宋_GB2312" w:eastAsia="仿宋_GB2312"/>
          <w:color w:val="auto"/>
          <w:sz w:val="32"/>
          <w:szCs w:val="32"/>
          <w:lang w:val="en-US" w:eastAsia="zh-CN"/>
        </w:rPr>
        <w:t>服务中心</w:t>
      </w:r>
      <w:r>
        <w:rPr>
          <w:rFonts w:ascii="宋体" w:hAnsi="宋体" w:cs="仿宋_GB2312" w:eastAsia="仿宋_GB2312"/>
          <w:color w:val="auto"/>
          <w:sz w:val="32"/>
          <w:szCs w:val="32"/>
        </w:rPr>
        <w:t>负责做好与山东证监局和中国证券投资基金业协会（以下简称“中基协”）的沟通对接，协助做好基金管理人日常管理工作，</w:t>
      </w:r>
      <w:r>
        <w:rPr>
          <w:rFonts w:ascii="宋体" w:hAnsi="宋体" w:cs="仿宋_GB2312" w:eastAsia="仿宋_GB2312"/>
          <w:color w:val="auto"/>
          <w:spacing w:val="-1"/>
          <w:sz w:val="32"/>
          <w:szCs w:val="32"/>
        </w:rPr>
        <w:t>向</w:t>
      </w:r>
      <w:r>
        <w:rPr>
          <w:rFonts w:ascii="宋体" w:hAnsi="宋体" w:cs="仿宋_GB2312" w:eastAsia="仿宋_GB2312"/>
          <w:color w:val="auto"/>
          <w:spacing w:val="-1"/>
          <w:sz w:val="32"/>
          <w:szCs w:val="32"/>
          <w:lang w:eastAsia="zh-CN"/>
        </w:rPr>
        <w:t>产业基金</w:t>
      </w:r>
      <w:r>
        <w:rPr>
          <w:rFonts w:ascii="宋体" w:hAnsi="宋体" w:cs="仿宋_GB2312" w:eastAsia="仿宋_GB2312"/>
          <w:color w:val="auto"/>
          <w:spacing w:val="-1"/>
          <w:sz w:val="32"/>
          <w:szCs w:val="32"/>
        </w:rPr>
        <w:t>开放拟上市企业项目库，</w:t>
      </w:r>
      <w:r>
        <w:rPr>
          <w:rFonts w:ascii="宋体" w:hAnsi="宋体" w:cs="仿宋_GB2312" w:eastAsia="仿宋_GB2312"/>
          <w:color w:val="auto"/>
          <w:spacing w:val="-5"/>
          <w:sz w:val="32"/>
          <w:szCs w:val="32"/>
        </w:rPr>
        <w:t>协调银行等金融机构通过</w:t>
      </w:r>
      <w:r>
        <w:rPr>
          <w:rFonts w:ascii="宋体" w:hAnsi="宋体" w:cs="仿宋_GB2312" w:eastAsia="仿宋_GB2312"/>
          <w:color w:val="auto"/>
          <w:spacing w:val="-110"/>
          <w:sz w:val="32"/>
          <w:szCs w:val="32"/>
        </w:rPr>
        <w:t xml:space="preserve"> </w:t>
      </w:r>
      <w:r>
        <w:rPr>
          <w:rFonts w:ascii="宋体" w:hAnsi="宋体" w:cs="仿宋_GB2312" w:eastAsia="仿宋_GB2312"/>
          <w:color w:val="auto"/>
          <w:spacing w:val="-5"/>
          <w:sz w:val="32"/>
          <w:szCs w:val="32"/>
        </w:rPr>
        <w:t>“投贷联动”放大基金投资效果，</w:t>
      </w:r>
      <w:r>
        <w:rPr>
          <w:rFonts w:ascii="宋体" w:hAnsi="宋体" w:cs="仿宋_GB2312" w:eastAsia="仿宋_GB2312"/>
          <w:color w:val="auto"/>
          <w:sz w:val="32"/>
          <w:szCs w:val="32"/>
        </w:rPr>
        <w:t>推动被投企业开展上市工作</w:t>
      </w:r>
      <w:r>
        <w:rPr>
          <w:rFonts w:ascii="宋体" w:hAnsi="宋体" w:cs="仿宋_GB2312" w:eastAsia="仿宋_GB2312"/>
          <w:color w:val="auto"/>
          <w:kern w:val="0"/>
          <w:sz w:val="32"/>
          <w:szCs w:val="32"/>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5"/>
          <w:kern w:val="2"/>
          <w:sz w:val="32"/>
          <w:szCs w:val="32"/>
          <w:lang w:eastAsia="zh-CN"/>
        </w:rPr>
      </w:pPr>
      <w:r>
        <w:rPr>
          <w:rFonts w:ascii="宋体" w:hAnsi="宋体" w:cs="仿宋_GB2312" w:eastAsia="仿宋_GB2312"/>
          <w:color w:val="auto"/>
          <w:spacing w:val="-5"/>
          <w:sz w:val="32"/>
          <w:szCs w:val="32"/>
          <w:lang w:eastAsia="zh-CN"/>
        </w:rPr>
        <w:t>（</w:t>
      </w:r>
      <w:r>
        <w:rPr>
          <w:rFonts w:ascii="宋体" w:hAnsi="宋体" w:cs="仿宋_GB2312" w:eastAsia="仿宋_GB2312"/>
          <w:color w:val="auto"/>
          <w:spacing w:val="-5"/>
          <w:sz w:val="32"/>
          <w:szCs w:val="32"/>
          <w:lang w:val="en-US" w:eastAsia="zh-CN"/>
        </w:rPr>
        <w:t>五</w:t>
      </w:r>
      <w:r>
        <w:rPr>
          <w:rFonts w:ascii="宋体" w:hAnsi="宋体" w:cs="仿宋_GB2312" w:eastAsia="仿宋_GB2312"/>
          <w:color w:val="auto"/>
          <w:spacing w:val="-5"/>
          <w:sz w:val="32"/>
          <w:szCs w:val="32"/>
          <w:lang w:eastAsia="zh-CN"/>
        </w:rPr>
        <w:t>）</w:t>
      </w:r>
      <w:r>
        <w:rPr>
          <w:rFonts w:ascii="宋体" w:hAnsi="宋体" w:cs="仿宋_GB2312" w:eastAsia="仿宋_GB2312"/>
          <w:color w:val="auto"/>
          <w:spacing w:val="-5"/>
          <w:sz w:val="32"/>
          <w:szCs w:val="32"/>
          <w:lang w:val="en-US" w:eastAsia="zh-CN"/>
        </w:rPr>
        <w:t>市</w:t>
      </w:r>
      <w:r>
        <w:rPr>
          <w:rFonts w:ascii="宋体" w:hAnsi="宋体" w:cs="仿宋_GB2312" w:eastAsia="仿宋_GB2312"/>
          <w:color w:val="auto"/>
          <w:spacing w:val="-5"/>
          <w:sz w:val="32"/>
          <w:szCs w:val="32"/>
        </w:rPr>
        <w:t>司法局协助做好引导基金投资规范决策</w:t>
      </w:r>
      <w:r>
        <w:rPr>
          <w:rFonts w:ascii="宋体" w:hAnsi="宋体" w:cs="仿宋_GB2312" w:eastAsia="仿宋_GB2312"/>
          <w:color w:val="auto"/>
          <w:spacing w:val="-5"/>
          <w:sz w:val="32"/>
          <w:szCs w:val="32"/>
          <w:lang w:eastAsia="zh-CN"/>
        </w:rPr>
        <w:t>；</w:t>
      </w:r>
      <w:bookmarkStart w:id="0" w:name="_GoBack"/>
      <w:bookmarkEnd w:id="0"/>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lang w:val="en-US" w:eastAsia="zh-CN"/>
        </w:rPr>
        <w:t>六）</w:t>
      </w:r>
      <w:r>
        <w:rPr>
          <w:rFonts w:ascii="宋体" w:hAnsi="宋体" w:cs="仿宋_GB2312" w:eastAsia="仿宋_GB2312"/>
          <w:color w:val="auto"/>
          <w:sz w:val="32"/>
          <w:szCs w:val="32"/>
        </w:rPr>
        <w:t>市审计局负责对</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lang w:val="en-US" w:eastAsia="zh-CN"/>
        </w:rPr>
        <w:t>运作和</w:t>
      </w:r>
      <w:r>
        <w:rPr>
          <w:rFonts w:ascii="宋体" w:hAnsi="宋体" w:cs="仿宋_GB2312" w:eastAsia="仿宋_GB2312"/>
          <w:color w:val="auto"/>
          <w:sz w:val="32"/>
          <w:szCs w:val="32"/>
        </w:rPr>
        <w:t>管理情况进行审计监督。</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lang w:val="en-US" w:eastAsia="zh-CN"/>
        </w:rPr>
        <w:t>第七条</w:t>
      </w:r>
      <w:r>
        <w:rPr>
          <w:rFonts w:ascii="宋体" w:hAnsi="宋体" w:cs="仿宋_GB2312" w:eastAsia="仿宋_GB2312"/>
          <w:color w:val="auto"/>
          <w:sz w:val="32"/>
          <w:szCs w:val="32"/>
          <w:lang w:val="en-US" w:eastAsia="zh-CN"/>
        </w:rPr>
        <w:t xml:space="preserve"> 产业基金</w:t>
      </w:r>
      <w:r>
        <w:rPr>
          <w:rFonts w:ascii="宋体" w:hAnsi="宋体" w:cs="仿宋_GB2312" w:eastAsia="仿宋_GB2312"/>
          <w:color w:val="auto"/>
          <w:sz w:val="32"/>
          <w:szCs w:val="32"/>
        </w:rPr>
        <w:t>设立投资决策委员会（以下简称“投委会”）</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rPr>
        <w:t>市主要领导</w:t>
      </w:r>
      <w:r>
        <w:rPr>
          <w:rFonts w:eastAsia="仿宋_GB2312" w:cs="仿宋_GB2312" w:ascii="宋体" w:hAnsi="宋体"/>
          <w:color w:val="auto"/>
          <w:sz w:val="32"/>
          <w:szCs w:val="32"/>
        </w:rPr>
        <w:t>1</w:t>
      </w:r>
      <w:r>
        <w:rPr>
          <w:rFonts w:ascii="宋体" w:hAnsi="宋体" w:cs="仿宋_GB2312" w:eastAsia="仿宋_GB2312"/>
          <w:color w:val="auto"/>
          <w:sz w:val="32"/>
          <w:szCs w:val="32"/>
        </w:rPr>
        <w:t>名担任投委会主任、市</w:t>
      </w:r>
      <w:r>
        <w:rPr>
          <w:rFonts w:ascii="宋体" w:hAnsi="宋体" w:cs="仿宋_GB2312" w:eastAsia="仿宋_GB2312"/>
          <w:color w:val="auto"/>
          <w:sz w:val="32"/>
          <w:szCs w:val="32"/>
          <w:lang w:val="en-US" w:eastAsia="zh-CN"/>
        </w:rPr>
        <w:t>财政局委派</w:t>
      </w:r>
      <w:r>
        <w:rPr>
          <w:rFonts w:eastAsia="仿宋_GB2312" w:cs="仿宋_GB2312" w:ascii="宋体" w:hAnsi="宋体"/>
          <w:color w:val="auto"/>
          <w:sz w:val="32"/>
          <w:szCs w:val="32"/>
        </w:rPr>
        <w:t>1</w:t>
      </w:r>
      <w:r>
        <w:rPr>
          <w:rFonts w:ascii="宋体" w:hAnsi="宋体" w:cs="仿宋_GB2312" w:eastAsia="仿宋_GB2312"/>
          <w:color w:val="auto"/>
          <w:sz w:val="32"/>
          <w:szCs w:val="32"/>
        </w:rPr>
        <w:t>名、</w:t>
      </w:r>
      <w:r>
        <w:rPr>
          <w:rFonts w:ascii="宋体" w:hAnsi="宋体" w:cs="仿宋_GB2312" w:eastAsia="仿宋_GB2312"/>
          <w:color w:val="auto"/>
          <w:sz w:val="32"/>
          <w:szCs w:val="32"/>
          <w:lang w:val="en-US" w:eastAsia="zh-CN"/>
        </w:rPr>
        <w:t>市国资服务中心委派</w:t>
      </w:r>
      <w:r>
        <w:rPr>
          <w:rFonts w:eastAsia="仿宋_GB2312" w:cs="仿宋_GB2312" w:ascii="宋体" w:hAnsi="宋体"/>
          <w:color w:val="auto"/>
          <w:sz w:val="32"/>
          <w:szCs w:val="32"/>
          <w:lang w:val="en-US" w:eastAsia="zh-CN"/>
        </w:rPr>
        <w:t>1</w:t>
      </w:r>
      <w:r>
        <w:rPr>
          <w:rFonts w:ascii="宋体" w:hAnsi="宋体" w:cs="仿宋_GB2312" w:eastAsia="仿宋_GB2312"/>
          <w:color w:val="auto"/>
          <w:sz w:val="32"/>
          <w:szCs w:val="32"/>
          <w:lang w:val="en-US" w:eastAsia="zh-CN"/>
        </w:rPr>
        <w:t>名、</w:t>
      </w:r>
      <w:r>
        <w:rPr>
          <w:rFonts w:ascii="宋体" w:hAnsi="宋体" w:cs="仿宋_GB2312" w:eastAsia="仿宋_GB2312"/>
          <w:color w:val="auto"/>
          <w:sz w:val="32"/>
          <w:szCs w:val="32"/>
        </w:rPr>
        <w:t>市</w:t>
      </w:r>
      <w:r>
        <w:rPr>
          <w:rFonts w:ascii="宋体" w:hAnsi="宋体" w:cs="仿宋_GB2312" w:eastAsia="仿宋_GB2312"/>
          <w:color w:val="auto"/>
          <w:sz w:val="32"/>
          <w:szCs w:val="32"/>
          <w:lang w:val="en-US" w:eastAsia="zh-CN"/>
        </w:rPr>
        <w:t>发改局委派</w:t>
      </w:r>
      <w:r>
        <w:rPr>
          <w:rFonts w:eastAsia="仿宋_GB2312" w:cs="仿宋_GB2312" w:ascii="宋体" w:hAnsi="宋体"/>
          <w:color w:val="auto"/>
          <w:sz w:val="32"/>
          <w:szCs w:val="32"/>
          <w:lang w:val="en-US" w:eastAsia="zh-CN"/>
        </w:rPr>
        <w:t>1</w:t>
      </w:r>
      <w:r>
        <w:rPr>
          <w:rFonts w:ascii="宋体" w:hAnsi="宋体" w:cs="仿宋_GB2312" w:eastAsia="仿宋_GB2312"/>
          <w:color w:val="auto"/>
          <w:sz w:val="32"/>
          <w:szCs w:val="32"/>
          <w:lang w:val="en-US" w:eastAsia="zh-CN"/>
        </w:rPr>
        <w:t>名、市地方金融服务中心委派</w:t>
      </w:r>
      <w:r>
        <w:rPr>
          <w:rFonts w:eastAsia="仿宋_GB2312" w:cs="仿宋_GB2312" w:ascii="宋体" w:hAnsi="宋体"/>
          <w:color w:val="auto"/>
          <w:sz w:val="32"/>
          <w:szCs w:val="32"/>
        </w:rPr>
        <w:t>1</w:t>
      </w:r>
      <w:r>
        <w:rPr>
          <w:rFonts w:ascii="宋体" w:hAnsi="宋体" w:cs="仿宋_GB2312" w:eastAsia="仿宋_GB2312"/>
          <w:color w:val="auto"/>
          <w:sz w:val="32"/>
          <w:szCs w:val="32"/>
        </w:rPr>
        <w:t>名、</w:t>
      </w:r>
      <w:r>
        <w:rPr>
          <w:rFonts w:ascii="宋体" w:hAnsi="宋体" w:cs="仿宋_GB2312" w:eastAsia="仿宋_GB2312"/>
          <w:color w:val="auto"/>
          <w:sz w:val="32"/>
          <w:szCs w:val="32"/>
          <w:lang w:val="en-US" w:eastAsia="zh-CN"/>
        </w:rPr>
        <w:t>市司法局委派</w:t>
      </w:r>
      <w:r>
        <w:rPr>
          <w:rFonts w:eastAsia="仿宋_GB2312" w:cs="仿宋_GB2312" w:ascii="宋体" w:hAnsi="宋体"/>
          <w:color w:val="auto"/>
          <w:sz w:val="32"/>
          <w:szCs w:val="32"/>
          <w:lang w:val="en-US" w:eastAsia="zh-CN"/>
        </w:rPr>
        <w:t>1</w:t>
      </w:r>
      <w:r>
        <w:rPr>
          <w:rFonts w:ascii="宋体" w:hAnsi="宋体" w:cs="仿宋_GB2312" w:eastAsia="仿宋_GB2312"/>
          <w:color w:val="auto"/>
          <w:sz w:val="32"/>
          <w:szCs w:val="32"/>
          <w:lang w:val="en-US" w:eastAsia="zh-CN"/>
        </w:rPr>
        <w:t>名、市恒泰交投公司委派</w:t>
      </w:r>
      <w:r>
        <w:rPr>
          <w:rFonts w:eastAsia="仿宋_GB2312" w:cs="仿宋_GB2312" w:ascii="宋体" w:hAnsi="宋体"/>
          <w:color w:val="auto"/>
          <w:sz w:val="32"/>
          <w:szCs w:val="32"/>
        </w:rPr>
        <w:t>1</w:t>
      </w:r>
      <w:r>
        <w:rPr>
          <w:rFonts w:ascii="宋体" w:hAnsi="宋体" w:cs="仿宋_GB2312" w:eastAsia="仿宋_GB2312"/>
          <w:color w:val="auto"/>
          <w:sz w:val="32"/>
          <w:szCs w:val="32"/>
        </w:rPr>
        <w:t>名</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lang w:val="en-US" w:eastAsia="zh-CN"/>
        </w:rPr>
        <w:t>上述全部委员下称“政府委派委员”</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基金管理人</w:t>
      </w:r>
      <w:r>
        <w:rPr>
          <w:rFonts w:ascii="宋体" w:hAnsi="宋体" w:cs="仿宋_GB2312" w:eastAsia="仿宋_GB2312"/>
          <w:color w:val="auto"/>
          <w:sz w:val="32"/>
          <w:szCs w:val="32"/>
        </w:rPr>
        <w:t>委派</w:t>
      </w:r>
      <w:r>
        <w:rPr>
          <w:rFonts w:eastAsia="仿宋_GB2312" w:cs="仿宋_GB2312" w:ascii="宋体" w:hAnsi="宋体"/>
          <w:color w:val="auto"/>
          <w:sz w:val="32"/>
          <w:szCs w:val="32"/>
          <w:lang w:val="en-US" w:eastAsia="zh-CN"/>
        </w:rPr>
        <w:t>2</w:t>
      </w:r>
      <w:r>
        <w:rPr>
          <w:rFonts w:ascii="宋体" w:hAnsi="宋体" w:cs="仿宋_GB2312" w:eastAsia="仿宋_GB2312"/>
          <w:color w:val="auto"/>
          <w:sz w:val="32"/>
          <w:szCs w:val="32"/>
        </w:rPr>
        <w:t>名</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lang w:val="en-US" w:eastAsia="zh-CN"/>
        </w:rPr>
        <w:t>其他出资人如有要求可酌情同意其委派委员，但须保证政府委派委员在投委会中占多数席位</w:t>
      </w:r>
      <w:r>
        <w:rPr>
          <w:rFonts w:ascii="宋体" w:hAnsi="宋体" w:cs="仿宋_GB2312" w:eastAsia="仿宋_GB2312"/>
          <w:color w:val="auto"/>
          <w:sz w:val="32"/>
          <w:szCs w:val="32"/>
        </w:rPr>
        <w:t>。</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八</w:t>
      </w:r>
      <w:r>
        <w:rPr>
          <w:rFonts w:ascii="宋体" w:hAnsi="宋体" w:cs="仿宋_GB2312" w:eastAsia="仿宋_GB2312"/>
          <w:b/>
          <w:bCs/>
          <w:color w:val="auto"/>
          <w:sz w:val="32"/>
          <w:szCs w:val="32"/>
        </w:rPr>
        <w:t xml:space="preserve">条 </w:t>
      </w:r>
      <w:r>
        <w:rPr>
          <w:rFonts w:ascii="宋体" w:hAnsi="宋体" w:cs="仿宋_GB2312" w:eastAsia="仿宋_GB2312"/>
          <w:b w:val="false"/>
          <w:bCs w:val="false"/>
          <w:color w:val="auto"/>
          <w:sz w:val="32"/>
          <w:szCs w:val="32"/>
          <w:lang w:val="en-US" w:eastAsia="zh-CN"/>
        </w:rPr>
        <w:t>产业基金</w:t>
      </w:r>
      <w:r>
        <w:rPr>
          <w:rFonts w:ascii="宋体" w:hAnsi="宋体" w:cs="仿宋_GB2312" w:eastAsia="仿宋_GB2312"/>
          <w:color w:val="auto"/>
          <w:sz w:val="32"/>
          <w:szCs w:val="32"/>
        </w:rPr>
        <w:t>投委会具体职责如下：</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（一）负责确定</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的资金筹集、支持方向；</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lang w:val="en-US" w:eastAsia="zh-CN"/>
        </w:rPr>
      </w:pPr>
      <w:r>
        <w:rPr>
          <w:rFonts w:ascii="宋体" w:hAnsi="宋体" w:cs="仿宋_GB2312" w:eastAsia="仿宋_GB2312"/>
          <w:color w:val="auto"/>
          <w:kern w:val="0"/>
          <w:sz w:val="32"/>
          <w:szCs w:val="32"/>
        </w:rPr>
        <w:t>（二）对</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直接投资项目进行决策。审议并决策直接股权投资方案及权益调整方案，直接股权投资方案包括但不限于投资金额、投资方式、股权比例、业绩承诺及估值调整、收益分配、退出条款等</w:t>
      </w: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rPr>
        <w:t>权益调整方案包括但不限于权益调整比例及金额、退出或追加投资方式、退出资金收益或追加投资成本、合规性审查等</w:t>
      </w: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lang w:val="en-US" w:eastAsia="zh-CN"/>
        </w:rPr>
        <w:t>对市内重要基础设施项目、城市更新项目的直接投资，可对投资方案及投委会决策流程进行简化，投委会通过投资议案即可进行投资。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（三）对</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参股子基金进行决策。审议并决策子基金设立、权益调整方案，设立方案包括但不限于投资方向、决策机制、管理费用、收益分配、让利方式、清算原则、风险防范等</w:t>
      </w: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rPr>
        <w:t>权益调整方案包括但不限于权益调整比例及金额、退出或追加投资方式、退出资金收益或追加投资成本、合规性审查等</w:t>
      </w:r>
      <w:r>
        <w:rPr>
          <w:rFonts w:ascii="宋体" w:hAnsi="宋体" w:cs="仿宋_GB2312" w:eastAsia="仿宋_GB2312"/>
          <w:color w:val="auto"/>
          <w:sz w:val="32"/>
          <w:szCs w:val="32"/>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（四）协调解决</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运作管理中的重大事项；</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（五）研究制定防范基金运作风险的措施；</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（六）审批子基金及直投项目的清算方案。</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九</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基金管理人主要负责投委会日常工作</w:t>
      </w:r>
      <w:r>
        <w:rPr>
          <w:rFonts w:ascii="宋体" w:hAnsi="宋体" w:cs="仿宋_GB2312" w:eastAsia="仿宋_GB2312"/>
          <w:color w:val="auto"/>
          <w:sz w:val="32"/>
          <w:szCs w:val="32"/>
          <w:lang w:eastAsia="zh-CN"/>
        </w:rPr>
        <w:t>，市恒泰交投公司负</w:t>
      </w:r>
      <w:r>
        <w:rPr>
          <w:rFonts w:ascii="宋体" w:hAnsi="宋体" w:cs="仿宋_GB2312" w:eastAsia="仿宋_GB2312"/>
          <w:color w:val="auto"/>
          <w:sz w:val="32"/>
          <w:szCs w:val="32"/>
        </w:rPr>
        <w:t>责投委会成员单位的沟通协调工作。</w:t>
      </w:r>
      <w:r>
        <w:rPr>
          <w:rFonts w:ascii="宋体" w:hAnsi="宋体" w:cs="仿宋_GB2312" w:eastAsia="仿宋_GB2312"/>
          <w:color w:val="auto"/>
          <w:sz w:val="32"/>
          <w:szCs w:val="32"/>
          <w:lang w:val="en-US" w:eastAsia="zh-CN"/>
        </w:rPr>
        <w:t>产业基金管理人</w:t>
      </w:r>
      <w:r>
        <w:rPr>
          <w:rFonts w:ascii="宋体" w:hAnsi="宋体" w:cs="仿宋_GB2312" w:eastAsia="仿宋_GB2312"/>
          <w:color w:val="auto"/>
          <w:sz w:val="32"/>
          <w:szCs w:val="32"/>
        </w:rPr>
        <w:t>职责具体包括：</w:t>
      </w:r>
    </w:p>
    <w:p>
      <w:pPr>
        <w:pStyle w:val="1"/>
        <w:keepNext w:val="false"/>
        <w:keepLines w:val="false"/>
        <w:pageBreakBefore w:val="false"/>
        <w:widowControl w:val="false"/>
        <w:tabs>
          <w:tab w:val="clear" w:pos="420"/>
          <w:tab w:val="left" w:pos="7267" w:leader="none"/>
        </w:tabs>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（一）负责</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运营管理工作；</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lang w:eastAsia="zh-CN"/>
        </w:rPr>
      </w:pPr>
      <w:r>
        <w:rPr>
          <w:rFonts w:ascii="宋体" w:hAnsi="宋体" w:cs="仿宋_GB2312" w:eastAsia="仿宋_GB2312"/>
          <w:color w:val="auto"/>
          <w:kern w:val="0"/>
          <w:sz w:val="32"/>
          <w:szCs w:val="32"/>
        </w:rPr>
        <w:t>（二）根据</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投委会决定，组织开展</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直接股权投资业务</w:t>
      </w:r>
      <w:r>
        <w:rPr>
          <w:rFonts w:ascii="宋体" w:hAnsi="宋体" w:cs="仿宋_GB2312" w:eastAsia="仿宋_GB2312"/>
          <w:color w:val="auto"/>
          <w:kern w:val="0"/>
          <w:sz w:val="32"/>
          <w:szCs w:val="32"/>
          <w:lang w:eastAsia="zh-CN"/>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三</w:t>
      </w:r>
      <w:r>
        <w:rPr>
          <w:rFonts w:ascii="宋体" w:hAnsi="宋体" w:cs="仿宋_GB2312" w:eastAsia="仿宋_GB2312"/>
          <w:color w:val="auto"/>
          <w:kern w:val="0"/>
          <w:sz w:val="32"/>
          <w:szCs w:val="32"/>
        </w:rPr>
        <w:t>）受理子基金管理人提交的子基金设立申请</w:t>
      </w:r>
      <w:r>
        <w:rPr>
          <w:rFonts w:ascii="宋体" w:hAnsi="宋体" w:cs="仿宋_GB2312" w:eastAsia="仿宋_GB2312"/>
          <w:color w:val="auto"/>
          <w:kern w:val="0"/>
          <w:sz w:val="32"/>
          <w:szCs w:val="32"/>
          <w:lang w:eastAsia="zh-CN"/>
        </w:rPr>
        <w:t>，</w:t>
      </w:r>
      <w:r>
        <w:rPr>
          <w:rFonts w:ascii="宋体" w:hAnsi="宋体" w:cs="仿宋_GB2312" w:eastAsia="仿宋_GB2312"/>
          <w:color w:val="auto"/>
          <w:kern w:val="0"/>
          <w:sz w:val="32"/>
          <w:szCs w:val="32"/>
        </w:rPr>
        <w:t>并对申请材料的完整性进行形式审查；</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四</w:t>
      </w:r>
      <w:r>
        <w:rPr>
          <w:rFonts w:ascii="宋体" w:hAnsi="宋体" w:cs="仿宋_GB2312" w:eastAsia="仿宋_GB2312"/>
          <w:color w:val="auto"/>
          <w:kern w:val="0"/>
          <w:sz w:val="32"/>
          <w:szCs w:val="32"/>
        </w:rPr>
        <w:t>）遴选子基金管理人，并开展尽职调查，形成尽职调查报告、子基金设立方案，报</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投委会审议决策；</w:t>
      </w:r>
    </w:p>
    <w:p>
      <w:pPr>
        <w:pStyle w:val="1"/>
        <w:keepNext w:val="false"/>
        <w:keepLines w:val="false"/>
        <w:pageBreakBefore w:val="false"/>
        <w:widowControl w:val="false"/>
        <w:tabs>
          <w:tab w:val="clear" w:pos="420"/>
          <w:tab w:val="left" w:pos="7535" w:leader="none"/>
        </w:tabs>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五</w:t>
      </w:r>
      <w:r>
        <w:rPr>
          <w:rFonts w:ascii="宋体" w:hAnsi="宋体" w:cs="仿宋_GB2312" w:eastAsia="仿宋_GB2312"/>
          <w:color w:val="auto"/>
          <w:kern w:val="0"/>
          <w:sz w:val="32"/>
          <w:szCs w:val="32"/>
        </w:rPr>
        <w:t>）对拟参股子基金有关情况进行公示；</w:t>
      </w:r>
      <w:r>
        <w:rPr>
          <w:rFonts w:eastAsia="仿宋_GB2312" w:cs="仿宋_GB2312" w:ascii="宋体" w:hAnsi="宋体"/>
          <w:color w:val="auto"/>
          <w:kern w:val="0"/>
          <w:sz w:val="32"/>
          <w:szCs w:val="32"/>
        </w:rPr>
        <w:tab/>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六</w:t>
      </w:r>
      <w:r>
        <w:rPr>
          <w:rFonts w:ascii="宋体" w:hAnsi="宋体" w:cs="仿宋_GB2312" w:eastAsia="仿宋_GB2312"/>
          <w:color w:val="auto"/>
          <w:kern w:val="0"/>
          <w:sz w:val="32"/>
          <w:szCs w:val="32"/>
        </w:rPr>
        <w:t>）拟定子基金权益调整方案，报</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投委会审议决策；</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七</w:t>
      </w:r>
      <w:r>
        <w:rPr>
          <w:rFonts w:ascii="宋体" w:hAnsi="宋体" w:cs="仿宋_GB2312" w:eastAsia="仿宋_GB2312"/>
          <w:color w:val="auto"/>
          <w:kern w:val="0"/>
          <w:sz w:val="32"/>
          <w:szCs w:val="32"/>
        </w:rPr>
        <w:t>）落实</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投委会核准的子基金设立方案或权益调整方案，与子基金管理人及其他出资人开展谈判并签订基金合同（含合伙协议或公司章程，下同）；</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八</w:t>
      </w:r>
      <w:r>
        <w:rPr>
          <w:rFonts w:ascii="宋体" w:hAnsi="宋体" w:cs="仿宋_GB2312" w:eastAsia="仿宋_GB2312"/>
          <w:color w:val="auto"/>
          <w:kern w:val="0"/>
          <w:sz w:val="32"/>
          <w:szCs w:val="32"/>
        </w:rPr>
        <w:t>）按照</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资金托管协议，对</w:t>
      </w:r>
      <w:r>
        <w:rPr>
          <w:rFonts w:ascii="宋体" w:hAnsi="宋体" w:cs="仿宋_GB2312" w:eastAsia="仿宋_GB2312"/>
          <w:color w:val="auto"/>
          <w:kern w:val="0"/>
          <w:sz w:val="32"/>
          <w:szCs w:val="32"/>
          <w:lang w:val="en-US" w:eastAsia="zh-CN"/>
        </w:rPr>
        <w:t>产业基金</w:t>
      </w:r>
      <w:r>
        <w:rPr>
          <w:rFonts w:ascii="宋体" w:hAnsi="宋体" w:cs="仿宋_GB2312" w:eastAsia="仿宋_GB2312"/>
          <w:color w:val="auto"/>
          <w:kern w:val="0"/>
          <w:sz w:val="32"/>
          <w:szCs w:val="32"/>
        </w:rPr>
        <w:t>实行专户管理、专账核算，并根据基金合同约定，将</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认缴款及时拨付子基金托管银行账户；</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九</w:t>
      </w:r>
      <w:r>
        <w:rPr>
          <w:rFonts w:ascii="宋体" w:hAnsi="宋体" w:cs="仿宋_GB2312" w:eastAsia="仿宋_GB2312"/>
          <w:color w:val="auto"/>
          <w:kern w:val="0"/>
          <w:sz w:val="32"/>
          <w:szCs w:val="32"/>
        </w:rPr>
        <w:t>）代表</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向子基金委派投委会委员、观察员等方式，监督子基金投向；</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w:t>
      </w:r>
      <w:r>
        <w:rPr>
          <w:rFonts w:ascii="宋体" w:hAnsi="宋体" w:cs="仿宋_GB2312" w:eastAsia="仿宋_GB2312"/>
          <w:color w:val="auto"/>
          <w:kern w:val="0"/>
          <w:sz w:val="32"/>
          <w:szCs w:val="32"/>
          <w:lang w:val="en-US" w:eastAsia="zh-CN"/>
        </w:rPr>
        <w:t>十</w:t>
      </w:r>
      <w:r>
        <w:rPr>
          <w:rFonts w:ascii="宋体" w:hAnsi="宋体" w:cs="仿宋_GB2312" w:eastAsia="仿宋_GB2312"/>
          <w:color w:val="auto"/>
          <w:kern w:val="0"/>
          <w:sz w:val="32"/>
          <w:szCs w:val="32"/>
        </w:rPr>
        <w:t>）负责对子基金投资方向、投资进度、投资收益、资金托管和使用等情况进行综合绩效评价；</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（十一）加强对子基金和直投项目的监管，密切跟踪其经营和财务状况，防范财务风险；定期向</w:t>
      </w:r>
      <w:r>
        <w:rPr>
          <w:rFonts w:ascii="宋体" w:hAnsi="宋体" w:cs="仿宋_GB2312" w:eastAsia="仿宋_GB2312"/>
          <w:color w:val="auto"/>
          <w:kern w:val="0"/>
          <w:sz w:val="32"/>
          <w:szCs w:val="32"/>
          <w:lang w:val="en-US" w:eastAsia="zh-CN"/>
        </w:rPr>
        <w:t>投委会</w:t>
      </w:r>
      <w:r>
        <w:rPr>
          <w:rFonts w:ascii="宋体" w:hAnsi="宋体" w:cs="仿宋_GB2312" w:eastAsia="仿宋_GB2312"/>
          <w:color w:val="auto"/>
          <w:kern w:val="0"/>
          <w:sz w:val="32"/>
          <w:szCs w:val="32"/>
        </w:rPr>
        <w:t>报告</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和子基金投资运作情况及其他重大事项；</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（十二）建立健全投资管理制度和风险防控机制，及时发现异常情况并提出处置建议；</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（十三）与子基金或直投项目协商拟定清算方案；</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（十四）</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投委会委托的其他事项。</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eastAsia="仿宋_GB2312" w:cs="仿宋_GB2312" w:ascii="宋体" w:hAnsi="宋体"/>
          <w:color w:val="auto"/>
          <w:kern w:val="0"/>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ascii="宋体" w:hAnsi="宋体" w:cs="黑体" w:eastAsia="黑体"/>
          <w:color w:val="auto"/>
          <w:sz w:val="32"/>
          <w:szCs w:val="32"/>
        </w:rPr>
        <w:t>第三章  投资原则</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重点投资于以下方向：</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lang w:eastAsia="zh-CN"/>
        </w:rPr>
      </w:pPr>
      <w:r>
        <w:rPr>
          <w:rFonts w:ascii="宋体" w:hAnsi="宋体" w:cs="仿宋_GB2312" w:eastAsia="仿宋_GB2312"/>
          <w:color w:val="auto"/>
          <w:sz w:val="32"/>
          <w:szCs w:val="32"/>
        </w:rPr>
        <w:t>（一）</w:t>
      </w:r>
      <w:r>
        <w:rPr>
          <w:rFonts w:ascii="宋体" w:hAnsi="宋体" w:cs="仿宋_GB2312" w:eastAsia="仿宋_GB2312"/>
          <w:color w:val="auto"/>
          <w:sz w:val="32"/>
          <w:szCs w:val="32"/>
          <w:lang w:val="en-US" w:eastAsia="zh-CN"/>
        </w:rPr>
        <w:t>乳山市内新能源企业、新能源行业相关基础设施和城市更新项目</w:t>
      </w:r>
      <w:r>
        <w:rPr>
          <w:rFonts w:ascii="宋体" w:hAnsi="宋体" w:cs="仿宋_GB2312" w:eastAsia="仿宋_GB2312"/>
          <w:color w:val="auto"/>
          <w:sz w:val="32"/>
          <w:szCs w:val="32"/>
          <w:lang w:eastAsia="zh-CN"/>
        </w:rPr>
        <w:t>；</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1"/>
          <w:sz w:val="32"/>
          <w:szCs w:val="32"/>
        </w:rPr>
      </w:pPr>
      <w:r>
        <w:rPr>
          <w:rFonts w:ascii="宋体" w:hAnsi="宋体" w:cs="仿宋_GB2312" w:eastAsia="仿宋_GB2312"/>
          <w:color w:val="auto"/>
          <w:sz w:val="32"/>
          <w:szCs w:val="32"/>
          <w:lang w:val="en-US" w:eastAsia="zh-CN"/>
        </w:rPr>
        <w:t>（二）乳山市“</w:t>
      </w:r>
      <w:r>
        <w:rPr>
          <w:rFonts w:eastAsia="仿宋_GB2312" w:cs="仿宋_GB2312" w:ascii="宋体" w:hAnsi="宋体"/>
          <w:color w:val="auto"/>
          <w:sz w:val="32"/>
          <w:szCs w:val="32"/>
          <w:lang w:val="en-US" w:eastAsia="zh-CN"/>
        </w:rPr>
        <w:t>3+3</w:t>
      </w:r>
      <w:r>
        <w:rPr>
          <w:rFonts w:ascii="宋体" w:hAnsi="宋体" w:cs="仿宋_GB2312" w:eastAsia="仿宋_GB2312"/>
          <w:color w:val="auto"/>
          <w:sz w:val="32"/>
          <w:szCs w:val="32"/>
          <w:lang w:val="en-US" w:eastAsia="zh-CN"/>
        </w:rPr>
        <w:t>”</w:t>
      </w:r>
      <w:r>
        <w:rPr>
          <w:rFonts w:ascii="宋体" w:hAnsi="宋体" w:cs="仿宋_GB2312" w:eastAsia="仿宋_GB2312"/>
          <w:color w:val="auto"/>
          <w:spacing w:val="-16"/>
          <w:sz w:val="32"/>
          <w:szCs w:val="32"/>
        </w:rPr>
        <w:t>产业体系</w:t>
      </w:r>
      <w:r>
        <w:rPr>
          <w:rFonts w:ascii="宋体" w:hAnsi="宋体" w:cs="仿宋_GB2312" w:eastAsia="仿宋_GB2312"/>
          <w:color w:val="auto"/>
          <w:spacing w:val="-16"/>
          <w:sz w:val="32"/>
          <w:szCs w:val="32"/>
          <w:lang w:eastAsia="zh-CN"/>
        </w:rPr>
        <w:t>：</w:t>
      </w:r>
      <w:r>
        <w:rPr>
          <w:rFonts w:ascii="宋体" w:hAnsi="宋体" w:cs="仿宋_GB2312" w:eastAsia="仿宋_GB2312"/>
          <w:color w:val="auto"/>
          <w:spacing w:val="-16"/>
          <w:sz w:val="32"/>
          <w:szCs w:val="32"/>
        </w:rPr>
        <w:t>装备制造、食品加工、纺织服装三大传统产业集群，健康文旅、现代海洋、新能源三大新兴产业集群</w:t>
      </w:r>
      <w:r>
        <w:rPr>
          <w:rFonts w:ascii="宋体" w:hAnsi="宋体" w:cs="仿宋_GB2312" w:eastAsia="仿宋_GB2312"/>
          <w:color w:val="auto"/>
          <w:spacing w:val="-1"/>
          <w:sz w:val="32"/>
          <w:szCs w:val="32"/>
        </w:rPr>
        <w:t>；</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三</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乳山市新能源行业的</w:t>
      </w:r>
      <w:r>
        <w:rPr>
          <w:rFonts w:ascii="宋体" w:hAnsi="宋体" w:cs="仿宋_GB2312" w:eastAsia="仿宋_GB2312"/>
          <w:color w:val="auto"/>
          <w:sz w:val="32"/>
          <w:szCs w:val="32"/>
        </w:rPr>
        <w:t>新技术、新业态、新模式项目，突出支持各类创新型企业和重点人才创新创业项目；</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四</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乳山市新能源行业的</w:t>
      </w:r>
      <w:r>
        <w:rPr>
          <w:rFonts w:ascii="宋体" w:hAnsi="宋体" w:cs="仿宋_GB2312" w:eastAsia="仿宋_GB2312"/>
          <w:color w:val="auto"/>
          <w:sz w:val="32"/>
          <w:szCs w:val="32"/>
        </w:rPr>
        <w:t>冲击新目标企业新上项目和转型升级项目；</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五</w:t>
      </w:r>
      <w:r>
        <w:rPr>
          <w:rFonts w:ascii="宋体" w:hAnsi="宋体" w:cs="仿宋_GB2312" w:eastAsia="仿宋_GB2312"/>
          <w:color w:val="auto"/>
          <w:sz w:val="32"/>
          <w:szCs w:val="32"/>
        </w:rPr>
        <w:t>）</w:t>
      </w:r>
      <w:r>
        <w:rPr>
          <w:rFonts w:ascii="宋体" w:hAnsi="宋体" w:cs="仿宋_GB2312" w:eastAsia="仿宋_GB2312"/>
          <w:color w:val="auto"/>
          <w:sz w:val="32"/>
          <w:szCs w:val="32"/>
          <w:lang w:val="en-US" w:eastAsia="zh-CN"/>
        </w:rPr>
        <w:t>乳山市新能源行业的</w:t>
      </w:r>
      <w:r>
        <w:rPr>
          <w:rFonts w:ascii="宋体" w:hAnsi="宋体" w:cs="仿宋_GB2312" w:eastAsia="仿宋_GB2312"/>
          <w:color w:val="auto"/>
          <w:sz w:val="32"/>
          <w:szCs w:val="32"/>
        </w:rPr>
        <w:t>招商引资、招才引智、产融结合、行业并购项目。</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一</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对子基金的出资比例一般不超过子基金规模的</w:t>
      </w:r>
      <w:r>
        <w:rPr>
          <w:rFonts w:eastAsia="仿宋_GB2312" w:cs="仿宋_GB2312" w:ascii="宋体" w:hAnsi="宋体"/>
          <w:color w:val="auto"/>
          <w:spacing w:val="-4"/>
          <w:sz w:val="32"/>
          <w:szCs w:val="32"/>
        </w:rPr>
        <w:t>25%</w:t>
      </w:r>
      <w:r>
        <w:rPr>
          <w:rFonts w:ascii="宋体" w:hAnsi="宋体" w:cs="仿宋_GB2312" w:eastAsia="仿宋_GB2312"/>
          <w:color w:val="auto"/>
          <w:spacing w:val="-4"/>
          <w:sz w:val="32"/>
          <w:szCs w:val="32"/>
        </w:rPr>
        <w:t>；创投类子基金可以达到</w:t>
      </w:r>
      <w:r>
        <w:rPr>
          <w:rFonts w:eastAsia="仿宋_GB2312" w:cs="仿宋_GB2312" w:ascii="宋体" w:hAnsi="宋体"/>
          <w:color w:val="auto"/>
          <w:spacing w:val="-4"/>
          <w:sz w:val="32"/>
          <w:szCs w:val="32"/>
        </w:rPr>
        <w:t>30%</w:t>
      </w:r>
      <w:r>
        <w:rPr>
          <w:rFonts w:ascii="宋体" w:hAnsi="宋体" w:cs="仿宋_GB2312" w:eastAsia="仿宋_GB2312"/>
          <w:color w:val="auto"/>
          <w:spacing w:val="-4"/>
          <w:sz w:val="32"/>
          <w:szCs w:val="32"/>
        </w:rPr>
        <w:t>；现代海洋产业领域子基金可以达到</w:t>
      </w:r>
      <w:r>
        <w:rPr>
          <w:rFonts w:eastAsia="仿宋_GB2312" w:cs="仿宋_GB2312" w:ascii="宋体" w:hAnsi="宋体"/>
          <w:color w:val="auto"/>
          <w:spacing w:val="-4"/>
          <w:sz w:val="32"/>
          <w:szCs w:val="32"/>
        </w:rPr>
        <w:t>35%</w:t>
      </w:r>
      <w:r>
        <w:rPr>
          <w:rFonts w:ascii="宋体" w:hAnsi="宋体" w:cs="仿宋_GB2312" w:eastAsia="仿宋_GB2312"/>
          <w:color w:val="auto"/>
          <w:spacing w:val="-4"/>
          <w:sz w:val="32"/>
          <w:szCs w:val="32"/>
        </w:rPr>
        <w:t>；</w:t>
      </w:r>
      <w:r>
        <w:rPr>
          <w:rFonts w:ascii="宋体" w:hAnsi="宋体" w:cs="仿宋_GB2312" w:eastAsia="仿宋_GB2312"/>
          <w:color w:val="auto"/>
          <w:sz w:val="32"/>
          <w:szCs w:val="32"/>
        </w:rPr>
        <w:t>特殊性质子基金（如专项子基金）可以根据实际需要放宽比例。</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二</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可安排不超过总规模</w:t>
      </w:r>
      <w:r>
        <w:rPr>
          <w:rFonts w:eastAsia="仿宋_GB2312" w:cs="仿宋_GB2312" w:ascii="宋体" w:hAnsi="宋体"/>
          <w:color w:val="auto"/>
          <w:sz w:val="32"/>
          <w:szCs w:val="32"/>
          <w:lang w:val="en-US" w:eastAsia="zh-CN"/>
        </w:rPr>
        <w:t>60</w:t>
      </w:r>
      <w:r>
        <w:rPr>
          <w:rFonts w:eastAsia="仿宋_GB2312" w:cs="仿宋_GB2312" w:ascii="宋体" w:hAnsi="宋体"/>
          <w:color w:val="auto"/>
          <w:sz w:val="32"/>
          <w:szCs w:val="32"/>
        </w:rPr>
        <w:t>%</w:t>
      </w:r>
      <w:r>
        <w:rPr>
          <w:rFonts w:ascii="宋体" w:hAnsi="宋体" w:cs="仿宋_GB2312" w:eastAsia="仿宋_GB2312"/>
          <w:color w:val="auto"/>
          <w:sz w:val="32"/>
          <w:szCs w:val="32"/>
        </w:rPr>
        <w:t>的比例用于直接投资企业项目。</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三</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直接投资企业项目</w:t>
      </w:r>
      <w:r>
        <w:rPr>
          <w:rFonts w:ascii="宋体" w:hAnsi="宋体" w:cs="仿宋_GB2312" w:eastAsia="仿宋_GB2312"/>
          <w:color w:val="auto"/>
          <w:sz w:val="32"/>
          <w:szCs w:val="32"/>
          <w:lang w:val="en-US" w:eastAsia="zh-CN"/>
        </w:rPr>
        <w:t>或</w:t>
      </w:r>
      <w:r>
        <w:rPr>
          <w:rFonts w:ascii="宋体" w:hAnsi="宋体" w:cs="仿宋_GB2312" w:eastAsia="仿宋_GB2312"/>
          <w:color w:val="auto"/>
          <w:sz w:val="32"/>
          <w:szCs w:val="32"/>
        </w:rPr>
        <w:t>新设立子基金时，</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与其他出资人的资金应同步到位，共享收益，共担风险，</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承担的投资风险以出资额为限。</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四</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子基金采用市场化方式运作，基金投资者须为具备相应风险识别能力和风险承受能力的合格投资者，基金投资者数量累计不得超过法律规定的特定数量，子基金可分若干期募集。子基金的设立还应满足下列要求：</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（一）子基金应在</w:t>
      </w:r>
      <w:r>
        <w:rPr>
          <w:rFonts w:ascii="宋体" w:hAnsi="宋体" w:cs="仿宋_GB2312" w:eastAsia="仿宋_GB2312"/>
          <w:color w:val="auto"/>
          <w:sz w:val="32"/>
          <w:szCs w:val="32"/>
          <w:lang w:eastAsia="zh-CN"/>
        </w:rPr>
        <w:t>乳山市</w:t>
      </w:r>
      <w:r>
        <w:rPr>
          <w:rFonts w:ascii="宋体" w:hAnsi="宋体" w:cs="仿宋_GB2312" w:eastAsia="仿宋_GB2312"/>
          <w:color w:val="auto"/>
          <w:sz w:val="32"/>
          <w:szCs w:val="32"/>
        </w:rPr>
        <w:t>注册；</w:t>
      </w:r>
    </w:p>
    <w:p>
      <w:pPr>
        <w:pStyle w:val="NormalWeb"/>
        <w:keepNext w:val="false"/>
        <w:keepLines w:val="false"/>
        <w:pageBreakBefore w:val="false"/>
        <w:widowControl w:val="false"/>
        <w:tabs>
          <w:tab w:val="clear" w:pos="420"/>
          <w:tab w:val="left" w:pos="7669" w:leader="none"/>
        </w:tabs>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（二）</w:t>
      </w:r>
      <w:r>
        <w:rPr>
          <w:rFonts w:ascii="宋体" w:hAnsi="宋体" w:cs="仿宋_GB2312" w:eastAsia="仿宋_GB2312"/>
          <w:color w:val="auto"/>
          <w:spacing w:val="-1"/>
          <w:sz w:val="32"/>
          <w:szCs w:val="32"/>
        </w:rPr>
        <w:t>除专项子基金外，其他类子基金对单个企业的投资，一般不超过子基金总规模的</w:t>
      </w:r>
      <w:r>
        <w:rPr>
          <w:rFonts w:eastAsia="仿宋_GB2312" w:cs="仿宋_GB2312" w:ascii="宋体" w:hAnsi="宋体"/>
          <w:color w:val="auto"/>
          <w:spacing w:val="-1"/>
          <w:sz w:val="32"/>
          <w:szCs w:val="32"/>
        </w:rPr>
        <w:t>20%</w:t>
      </w:r>
      <w:r>
        <w:rPr>
          <w:rFonts w:ascii="宋体" w:hAnsi="宋体" w:cs="仿宋_GB2312" w:eastAsia="仿宋_GB2312"/>
          <w:color w:val="auto"/>
          <w:spacing w:val="-1"/>
          <w:sz w:val="32"/>
          <w:szCs w:val="32"/>
        </w:rPr>
        <w:t>；</w:t>
      </w:r>
      <w:r>
        <w:rPr>
          <w:rFonts w:eastAsia="仿宋_GB2312" w:cs="仿宋_GB2312" w:ascii="宋体" w:hAnsi="宋体"/>
          <w:color w:val="auto"/>
          <w:spacing w:val="-1"/>
          <w:sz w:val="32"/>
          <w:szCs w:val="32"/>
        </w:rPr>
        <w:tab/>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lang w:bidi="ar"/>
        </w:rPr>
      </w:pPr>
      <w:r>
        <w:rPr>
          <w:rFonts w:ascii="宋体" w:hAnsi="宋体" w:cs="仿宋_GB2312" w:eastAsia="仿宋_GB2312"/>
          <w:color w:val="auto"/>
          <w:sz w:val="32"/>
          <w:szCs w:val="32"/>
        </w:rPr>
        <w:t>（三）</w:t>
      </w:r>
      <w:r>
        <w:rPr>
          <w:rFonts w:ascii="宋体" w:hAnsi="宋体" w:cs="仿宋_GB2312" w:eastAsia="仿宋_GB2312"/>
          <w:color w:val="auto"/>
          <w:spacing w:val="5"/>
          <w:sz w:val="32"/>
          <w:szCs w:val="32"/>
        </w:rPr>
        <w:t>子基金投资于</w:t>
      </w:r>
      <w:r>
        <w:rPr>
          <w:rFonts w:ascii="宋体" w:hAnsi="宋体" w:cs="仿宋_GB2312" w:eastAsia="仿宋_GB2312"/>
          <w:color w:val="auto"/>
          <w:spacing w:val="5"/>
          <w:sz w:val="32"/>
          <w:szCs w:val="32"/>
          <w:lang w:eastAsia="zh-CN"/>
        </w:rPr>
        <w:t>市内</w:t>
      </w:r>
      <w:r>
        <w:rPr>
          <w:rFonts w:ascii="宋体" w:hAnsi="宋体" w:cs="仿宋_GB2312" w:eastAsia="仿宋_GB2312"/>
          <w:color w:val="auto"/>
          <w:spacing w:val="5"/>
          <w:sz w:val="32"/>
          <w:szCs w:val="32"/>
        </w:rPr>
        <w:t>企业的资金应不低于</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出资额的</w:t>
      </w:r>
      <w:r>
        <w:rPr>
          <w:rFonts w:eastAsia="仿宋_GB2312" w:cs="仿宋_GB2312" w:ascii="宋体" w:hAnsi="宋体"/>
          <w:color w:val="auto"/>
          <w:spacing w:val="-5"/>
          <w:sz w:val="32"/>
          <w:szCs w:val="32"/>
        </w:rPr>
        <w:t>1.2</w:t>
      </w:r>
      <w:r>
        <w:rPr>
          <w:rFonts w:ascii="宋体" w:hAnsi="宋体" w:cs="仿宋_GB2312" w:eastAsia="仿宋_GB2312"/>
          <w:color w:val="auto"/>
          <w:spacing w:val="-5"/>
          <w:sz w:val="32"/>
          <w:szCs w:val="32"/>
        </w:rPr>
        <w:t>倍，认定标准包括：</w:t>
      </w:r>
      <w:r>
        <w:rPr>
          <w:rFonts w:ascii="宋体" w:hAnsi="宋体" w:cs="仿宋_GB2312" w:eastAsia="仿宋_GB2312"/>
          <w:color w:val="auto"/>
          <w:kern w:val="0"/>
          <w:sz w:val="32"/>
          <w:szCs w:val="32"/>
          <w:lang w:bidi="ar"/>
        </w:rPr>
        <w:t>子基金直接投资于注册在</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内的企业；子基金所投资市外（含境外，下同）企业将注册地迁往</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内、被</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内企业收购或其研发生产基地及主要功能性子公司落户</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内，可视为</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内投资；子基金投资于市外企业，再由市外企业将资金投入到</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内子公司的投资额，可视为</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内投资；子基金将市外企业引进</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内注册经营，同时未对该企业开展投资的，被引进企业在</w:t>
      </w:r>
      <w:r>
        <w:rPr>
          <w:rFonts w:ascii="宋体" w:hAnsi="宋体" w:cs="仿宋_GB2312" w:eastAsia="仿宋_GB2312"/>
          <w:color w:val="auto"/>
          <w:kern w:val="0"/>
          <w:sz w:val="32"/>
          <w:szCs w:val="32"/>
          <w:lang w:val="en-US" w:eastAsia="zh-CN" w:bidi="ar"/>
        </w:rPr>
        <w:t>市</w:t>
      </w:r>
      <w:r>
        <w:rPr>
          <w:rFonts w:ascii="宋体" w:hAnsi="宋体" w:cs="仿宋_GB2312" w:eastAsia="仿宋_GB2312"/>
          <w:color w:val="auto"/>
          <w:kern w:val="0"/>
          <w:sz w:val="32"/>
          <w:szCs w:val="32"/>
          <w:lang w:bidi="ar"/>
        </w:rPr>
        <w:t>内实际投资额，可视为</w:t>
      </w:r>
      <w:r>
        <w:rPr>
          <w:rFonts w:ascii="宋体" w:hAnsi="宋体" w:cs="仿宋_GB2312" w:eastAsia="仿宋_GB2312"/>
          <w:color w:val="auto"/>
          <w:kern w:val="0"/>
          <w:sz w:val="32"/>
          <w:szCs w:val="32"/>
          <w:lang w:eastAsia="zh-CN" w:bidi="ar"/>
        </w:rPr>
        <w:t>市内</w:t>
      </w:r>
      <w:r>
        <w:rPr>
          <w:rFonts w:ascii="宋体" w:hAnsi="宋体" w:cs="仿宋_GB2312" w:eastAsia="仿宋_GB2312"/>
          <w:color w:val="auto"/>
          <w:kern w:val="0"/>
          <w:sz w:val="32"/>
          <w:szCs w:val="32"/>
          <w:lang w:bidi="ar"/>
        </w:rPr>
        <w:t>投资；子基金投资到</w:t>
      </w:r>
      <w:r>
        <w:rPr>
          <w:rFonts w:ascii="宋体" w:hAnsi="宋体" w:cs="仿宋_GB2312" w:eastAsia="仿宋_GB2312"/>
          <w:color w:val="auto"/>
          <w:kern w:val="0"/>
          <w:sz w:val="32"/>
          <w:szCs w:val="32"/>
          <w:lang w:eastAsia="zh-CN" w:bidi="ar"/>
        </w:rPr>
        <w:t>市内</w:t>
      </w:r>
      <w:r>
        <w:rPr>
          <w:rFonts w:ascii="宋体" w:hAnsi="宋体" w:cs="仿宋_GB2312" w:eastAsia="仿宋_GB2312"/>
          <w:color w:val="auto"/>
          <w:kern w:val="0"/>
          <w:sz w:val="32"/>
          <w:szCs w:val="32"/>
          <w:lang w:bidi="ar"/>
        </w:rPr>
        <w:t>企业在</w:t>
      </w:r>
      <w:r>
        <w:rPr>
          <w:rFonts w:ascii="宋体" w:hAnsi="宋体" w:cs="仿宋_GB2312" w:eastAsia="仿宋_GB2312"/>
          <w:color w:val="auto"/>
          <w:kern w:val="0"/>
          <w:sz w:val="32"/>
          <w:szCs w:val="32"/>
          <w:lang w:val="en-US" w:eastAsia="zh-CN" w:bidi="ar"/>
        </w:rPr>
        <w:t>市外</w:t>
      </w:r>
      <w:r>
        <w:rPr>
          <w:rFonts w:ascii="宋体" w:hAnsi="宋体" w:cs="仿宋_GB2312" w:eastAsia="仿宋_GB2312"/>
          <w:color w:val="auto"/>
          <w:kern w:val="0"/>
          <w:sz w:val="32"/>
          <w:szCs w:val="32"/>
          <w:lang w:bidi="ar"/>
        </w:rPr>
        <w:t>控股子公司的，可按照控股比例折算为</w:t>
      </w:r>
      <w:r>
        <w:rPr>
          <w:rFonts w:ascii="宋体" w:hAnsi="宋体" w:cs="仿宋_GB2312" w:eastAsia="仿宋_GB2312"/>
          <w:color w:val="auto"/>
          <w:kern w:val="0"/>
          <w:sz w:val="32"/>
          <w:szCs w:val="32"/>
          <w:lang w:eastAsia="zh-CN" w:bidi="ar"/>
        </w:rPr>
        <w:t>市内</w:t>
      </w:r>
      <w:r>
        <w:rPr>
          <w:rFonts w:ascii="宋体" w:hAnsi="宋体" w:cs="仿宋_GB2312" w:eastAsia="仿宋_GB2312"/>
          <w:color w:val="auto"/>
          <w:kern w:val="0"/>
          <w:sz w:val="32"/>
          <w:szCs w:val="32"/>
          <w:lang w:bidi="ar"/>
        </w:rPr>
        <w:t>投资；</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投委会</w:t>
      </w:r>
      <w:r>
        <w:rPr>
          <w:rFonts w:ascii="宋体" w:hAnsi="宋体" w:cs="仿宋_GB2312" w:eastAsia="仿宋_GB2312"/>
          <w:color w:val="auto"/>
          <w:kern w:val="0"/>
          <w:sz w:val="32"/>
          <w:szCs w:val="32"/>
          <w:lang w:bidi="ar"/>
        </w:rPr>
        <w:t>认定的其他情形</w:t>
      </w:r>
      <w:r>
        <w:rPr>
          <w:rFonts w:ascii="宋体" w:hAnsi="宋体" w:cs="仿宋_GB2312" w:eastAsia="仿宋_GB2312"/>
          <w:color w:val="auto"/>
          <w:kern w:val="0"/>
          <w:sz w:val="32"/>
          <w:szCs w:val="32"/>
          <w:lang w:val="en" w:bidi="ar"/>
        </w:rPr>
        <w:t>；</w:t>
      </w:r>
      <w:r>
        <w:rPr>
          <w:rFonts w:ascii="宋体" w:hAnsi="宋体" w:cs="仿宋_GB2312" w:eastAsia="仿宋_GB2312"/>
          <w:color w:val="auto"/>
          <w:kern w:val="0"/>
          <w:sz w:val="32"/>
          <w:szCs w:val="32"/>
          <w:lang w:bidi="ar"/>
        </w:rPr>
        <w:t xml:space="preserve"> </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（四）子基金应在具备基金托管资质的银行进行托管；</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lang w:val="en"/>
        </w:rPr>
      </w:pPr>
      <w:r>
        <w:rPr>
          <w:rFonts w:ascii="宋体" w:hAnsi="宋体" w:cs="仿宋_GB2312" w:eastAsia="仿宋_GB2312"/>
          <w:color w:val="auto"/>
          <w:sz w:val="32"/>
          <w:szCs w:val="32"/>
        </w:rPr>
        <w:t>（五）子基金存续期限一般不超过</w:t>
      </w:r>
      <w:r>
        <w:rPr>
          <w:rFonts w:eastAsia="仿宋_GB2312" w:cs="仿宋_GB2312" w:ascii="宋体" w:hAnsi="宋体"/>
          <w:color w:val="auto"/>
          <w:sz w:val="32"/>
          <w:szCs w:val="32"/>
        </w:rPr>
        <w:t>10</w:t>
      </w:r>
      <w:r>
        <w:rPr>
          <w:rFonts w:ascii="宋体" w:hAnsi="宋体" w:cs="仿宋_GB2312" w:eastAsia="仿宋_GB2312"/>
          <w:color w:val="auto"/>
          <w:sz w:val="32"/>
          <w:szCs w:val="32"/>
        </w:rPr>
        <w:t>年。如需延长至</w:t>
      </w:r>
      <w:r>
        <w:rPr>
          <w:rFonts w:eastAsia="仿宋_GB2312" w:cs="仿宋_GB2312" w:ascii="宋体" w:hAnsi="宋体"/>
          <w:color w:val="auto"/>
          <w:sz w:val="32"/>
          <w:szCs w:val="32"/>
        </w:rPr>
        <w:t>10</w:t>
      </w:r>
      <w:r>
        <w:rPr>
          <w:rFonts w:ascii="宋体" w:hAnsi="宋体" w:cs="仿宋_GB2312" w:eastAsia="仿宋_GB2312"/>
          <w:color w:val="auto"/>
          <w:sz w:val="32"/>
          <w:szCs w:val="32"/>
        </w:rPr>
        <w:t>年以上的，应在</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投委会批准后，按基金合同约定的程序办理</w:t>
      </w:r>
      <w:r>
        <w:rPr>
          <w:rFonts w:ascii="宋体" w:hAnsi="宋体" w:cs="仿宋_GB2312" w:eastAsia="仿宋_GB2312"/>
          <w:color w:val="auto"/>
          <w:sz w:val="32"/>
          <w:szCs w:val="32"/>
          <w:lang w:val="en"/>
        </w:rPr>
        <w:t>。</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五</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、子基金应加强与银行金融机构对接，通过投贷联动，放大政策效果。</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第十</w:t>
      </w:r>
      <w:r>
        <w:rPr>
          <w:rFonts w:ascii="宋体" w:hAnsi="宋体" w:cs="仿宋_GB2312" w:eastAsia="仿宋_GB2312"/>
          <w:b/>
          <w:bCs/>
          <w:color w:val="auto"/>
          <w:sz w:val="32"/>
          <w:szCs w:val="32"/>
          <w:lang w:val="en-US" w:eastAsia="zh-CN"/>
        </w:rPr>
        <w:t>六</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可以进行跟投。</w:t>
      </w:r>
      <w:r>
        <w:rPr>
          <w:rFonts w:ascii="宋体" w:hAnsi="宋体" w:cs="仿宋_GB2312" w:eastAsia="仿宋_GB2312"/>
          <w:color w:val="auto"/>
          <w:spacing w:val="6"/>
          <w:sz w:val="32"/>
          <w:szCs w:val="32"/>
        </w:rPr>
        <w:t>子基金投资的政府重点扶持或鼓励的特定产</w:t>
      </w:r>
      <w:r>
        <w:rPr>
          <w:rFonts w:ascii="宋体" w:hAnsi="宋体" w:cs="仿宋_GB2312" w:eastAsia="仿宋_GB2312"/>
          <w:color w:val="auto"/>
          <w:spacing w:val="-5"/>
          <w:sz w:val="32"/>
          <w:szCs w:val="32"/>
        </w:rPr>
        <w:t>业或创业期企业，</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可以按适当股权比例向该企业跟投</w:t>
      </w:r>
      <w:r>
        <w:rPr>
          <w:rFonts w:ascii="宋体" w:hAnsi="宋体" w:cs="仿宋_GB2312" w:eastAsia="仿宋_GB2312"/>
          <w:color w:val="auto"/>
          <w:spacing w:val="-6"/>
          <w:sz w:val="32"/>
          <w:szCs w:val="32"/>
        </w:rPr>
        <w:t>，跟进投资一般不超过子基金对该企业实际投资额的</w:t>
      </w:r>
      <w:r>
        <w:rPr>
          <w:rFonts w:ascii="宋体" w:hAnsi="宋体" w:cs="仿宋_GB2312" w:eastAsia="仿宋_GB2312"/>
          <w:color w:val="auto"/>
          <w:spacing w:val="-59"/>
          <w:sz w:val="32"/>
          <w:szCs w:val="32"/>
        </w:rPr>
        <w:t xml:space="preserve"> </w:t>
      </w:r>
      <w:r>
        <w:rPr>
          <w:rFonts w:eastAsia="仿宋_GB2312" w:cs="仿宋_GB2312" w:ascii="宋体" w:hAnsi="宋体"/>
          <w:color w:val="auto"/>
          <w:spacing w:val="-6"/>
          <w:sz w:val="32"/>
          <w:szCs w:val="32"/>
        </w:rPr>
        <w:t>50%</w:t>
      </w:r>
      <w:r>
        <w:rPr>
          <w:rFonts w:ascii="宋体" w:hAnsi="宋体" w:cs="仿宋_GB2312" w:eastAsia="仿宋_GB2312"/>
          <w:color w:val="auto"/>
          <w:spacing w:val="-6"/>
          <w:sz w:val="32"/>
          <w:szCs w:val="32"/>
        </w:rPr>
        <w:t>。</w:t>
      </w:r>
      <w:r>
        <w:rPr>
          <w:rFonts w:ascii="宋体" w:hAnsi="宋体" w:cs="仿宋_GB2312" w:eastAsia="仿宋_GB2312"/>
          <w:color w:val="auto"/>
          <w:sz w:val="32"/>
          <w:szCs w:val="32"/>
        </w:rPr>
        <w:t>对</w:t>
      </w:r>
      <w:r>
        <w:rPr>
          <w:rFonts w:ascii="宋体" w:hAnsi="宋体" w:cs="仿宋_GB2312" w:eastAsia="仿宋_GB2312"/>
          <w:color w:val="auto"/>
          <w:sz w:val="32"/>
          <w:szCs w:val="32"/>
          <w:lang w:val="en-US" w:eastAsia="zh-CN"/>
        </w:rPr>
        <w:t>市</w:t>
      </w:r>
      <w:r>
        <w:rPr>
          <w:rFonts w:ascii="宋体" w:hAnsi="宋体" w:cs="仿宋_GB2312" w:eastAsia="仿宋_GB2312"/>
          <w:color w:val="auto"/>
          <w:sz w:val="32"/>
          <w:szCs w:val="32"/>
        </w:rPr>
        <w:t>委、</w:t>
      </w:r>
      <w:r>
        <w:rPr>
          <w:rFonts w:ascii="宋体" w:hAnsi="宋体" w:cs="仿宋_GB2312" w:eastAsia="仿宋_GB2312"/>
          <w:color w:val="auto"/>
          <w:sz w:val="32"/>
          <w:szCs w:val="32"/>
          <w:lang w:val="en-US" w:eastAsia="zh-CN"/>
        </w:rPr>
        <w:t>市</w:t>
      </w:r>
      <w:r>
        <w:rPr>
          <w:rFonts w:ascii="宋体" w:hAnsi="宋体" w:cs="仿宋_GB2312" w:eastAsia="仿宋_GB2312"/>
          <w:color w:val="auto"/>
          <w:sz w:val="32"/>
          <w:szCs w:val="32"/>
        </w:rPr>
        <w:t>政府确定的重点项目，投资额度可适当放宽。</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eastAsia="仿宋_GB2312" w:cs="仿宋_GB2312" w:ascii="宋体" w:hAnsi="宋体"/>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 xml:space="preserve">                  </w:t>
      </w:r>
      <w:r>
        <w:rPr>
          <w:rFonts w:ascii="宋体" w:hAnsi="宋体" w:cs="黑体" w:eastAsia="黑体"/>
          <w:color w:val="auto"/>
          <w:sz w:val="32"/>
          <w:szCs w:val="32"/>
        </w:rPr>
        <w:t>第四章 投资决策</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3"/>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十七</w:t>
      </w:r>
      <w:r>
        <w:rPr>
          <w:rFonts w:ascii="宋体" w:hAnsi="宋体" w:cs="仿宋_GB2312" w:eastAsia="仿宋_GB2312"/>
          <w:b/>
          <w:bCs/>
          <w:color w:val="auto"/>
          <w:sz w:val="32"/>
          <w:szCs w:val="32"/>
        </w:rPr>
        <w:t xml:space="preserve">条 </w:t>
      </w:r>
      <w:r>
        <w:rPr>
          <w:rFonts w:ascii="宋体" w:hAnsi="宋体" w:cs="仿宋_GB2312" w:eastAsia="仿宋_GB2312"/>
          <w:color w:val="auto"/>
          <w:spacing w:val="6"/>
          <w:sz w:val="32"/>
          <w:szCs w:val="32"/>
        </w:rPr>
        <w:t>在中国大陆注册的投资管理机构可以作为申</w:t>
      </w:r>
      <w:r>
        <w:rPr>
          <w:rFonts w:ascii="宋体" w:hAnsi="宋体" w:cs="仿宋_GB2312" w:eastAsia="仿宋_GB2312"/>
          <w:color w:val="auto"/>
          <w:spacing w:val="-5"/>
          <w:sz w:val="32"/>
          <w:szCs w:val="32"/>
        </w:rPr>
        <w:t>请人，向</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lang w:val="en-US" w:eastAsia="zh-CN"/>
        </w:rPr>
        <w:t>管理人</w:t>
      </w:r>
      <w:r>
        <w:rPr>
          <w:rFonts w:ascii="宋体" w:hAnsi="宋体" w:cs="仿宋_GB2312" w:eastAsia="仿宋_GB2312"/>
          <w:color w:val="auto"/>
          <w:spacing w:val="-5"/>
          <w:sz w:val="32"/>
          <w:szCs w:val="32"/>
        </w:rPr>
        <w:t>申请设立子基金。多家投资管理机构拟共</w:t>
      </w:r>
      <w:r>
        <w:rPr>
          <w:rFonts w:ascii="宋体" w:hAnsi="宋体" w:cs="仿宋_GB2312" w:eastAsia="仿宋_GB2312"/>
          <w:color w:val="auto"/>
          <w:spacing w:val="-3"/>
          <w:sz w:val="32"/>
          <w:szCs w:val="32"/>
        </w:rPr>
        <w:t>同发起设立子基金的，应推举</w:t>
      </w:r>
      <w:r>
        <w:rPr>
          <w:rFonts w:eastAsia="仿宋_GB2312" w:cs="仿宋_GB2312" w:ascii="宋体" w:hAnsi="宋体"/>
          <w:color w:val="auto"/>
          <w:spacing w:val="-3"/>
          <w:sz w:val="32"/>
          <w:szCs w:val="32"/>
        </w:rPr>
        <w:t>1</w:t>
      </w:r>
      <w:r>
        <w:rPr>
          <w:rFonts w:ascii="宋体" w:hAnsi="宋体" w:cs="仿宋_GB2312" w:eastAsia="仿宋_GB2312"/>
          <w:color w:val="auto"/>
          <w:spacing w:val="-3"/>
          <w:sz w:val="32"/>
          <w:szCs w:val="32"/>
        </w:rPr>
        <w:t>家投资管理机构作为子基金管理人向</w:t>
      </w:r>
      <w:r>
        <w:rPr>
          <w:rFonts w:ascii="宋体" w:hAnsi="宋体" w:cs="仿宋_GB2312" w:eastAsia="仿宋_GB2312"/>
          <w:color w:val="auto"/>
          <w:spacing w:val="-3"/>
          <w:sz w:val="32"/>
          <w:szCs w:val="32"/>
          <w:lang w:eastAsia="zh-CN"/>
        </w:rPr>
        <w:t>产业基金</w:t>
      </w:r>
      <w:r>
        <w:rPr>
          <w:rFonts w:ascii="宋体" w:hAnsi="宋体" w:cs="仿宋_GB2312" w:eastAsia="仿宋_GB2312"/>
          <w:color w:val="auto"/>
          <w:spacing w:val="-3"/>
          <w:sz w:val="32"/>
          <w:szCs w:val="32"/>
          <w:lang w:val="en-US" w:eastAsia="zh-CN"/>
        </w:rPr>
        <w:t>管理人</w:t>
      </w:r>
      <w:r>
        <w:rPr>
          <w:rFonts w:ascii="宋体" w:hAnsi="宋体" w:cs="仿宋_GB2312" w:eastAsia="仿宋_GB2312"/>
          <w:color w:val="auto"/>
          <w:spacing w:val="-3"/>
          <w:sz w:val="32"/>
          <w:szCs w:val="32"/>
        </w:rPr>
        <w:t>提交申请。提交的申请材料应包括但不限于：申请</w:t>
      </w:r>
      <w:r>
        <w:rPr>
          <w:rFonts w:ascii="宋体" w:hAnsi="宋体" w:cs="仿宋_GB2312" w:eastAsia="仿宋_GB2312"/>
          <w:color w:val="auto"/>
          <w:spacing w:val="-3"/>
          <w:sz w:val="32"/>
          <w:szCs w:val="32"/>
          <w:lang w:eastAsia="zh-CN"/>
        </w:rPr>
        <w:t>产业基金</w:t>
      </w:r>
      <w:r>
        <w:rPr>
          <w:rFonts w:ascii="宋体" w:hAnsi="宋体" w:cs="仿宋_GB2312" w:eastAsia="仿宋_GB2312"/>
          <w:color w:val="auto"/>
          <w:spacing w:val="-3"/>
          <w:sz w:val="32"/>
          <w:szCs w:val="32"/>
        </w:rPr>
        <w:t>出资的报告、基金出资架构、基金合同草案、基金管理人情况、经营管理团队人员名单及履历、团队历史投资业绩、基金投资领域、出资人出资意向及出资能力证明、托管银行意向等材料。</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color w:val="auto"/>
          <w:spacing w:val="1"/>
          <w:sz w:val="32"/>
          <w:szCs w:val="32"/>
        </w:rPr>
        <w:t>第</w:t>
      </w:r>
      <w:r>
        <w:rPr>
          <w:rFonts w:ascii="宋体" w:hAnsi="宋体" w:cs="仿宋_GB2312" w:eastAsia="仿宋_GB2312"/>
          <w:b/>
          <w:color w:val="auto"/>
          <w:spacing w:val="1"/>
          <w:sz w:val="32"/>
          <w:szCs w:val="32"/>
          <w:lang w:val="en-US" w:eastAsia="zh-CN"/>
        </w:rPr>
        <w:t>十八</w:t>
      </w:r>
      <w:r>
        <w:rPr>
          <w:rFonts w:ascii="宋体" w:hAnsi="宋体" w:cs="仿宋_GB2312" w:eastAsia="仿宋_GB2312"/>
          <w:b/>
          <w:color w:val="auto"/>
          <w:spacing w:val="1"/>
          <w:sz w:val="32"/>
          <w:szCs w:val="32"/>
        </w:rPr>
        <w:t>条</w:t>
      </w:r>
      <w:r>
        <w:rPr>
          <w:rFonts w:ascii="宋体" w:hAnsi="宋体" w:cs="仿宋_GB2312" w:eastAsia="仿宋_GB2312"/>
          <w:color w:val="auto"/>
          <w:spacing w:val="1"/>
          <w:sz w:val="32"/>
          <w:szCs w:val="32"/>
        </w:rPr>
        <w:t xml:space="preserve"> </w:t>
      </w:r>
      <w:r>
        <w:rPr>
          <w:rFonts w:ascii="宋体" w:hAnsi="宋体" w:cs="仿宋_GB2312" w:eastAsia="仿宋_GB2312"/>
          <w:color w:val="auto"/>
          <w:spacing w:val="-2"/>
          <w:sz w:val="32"/>
          <w:szCs w:val="32"/>
        </w:rPr>
        <w:t>子基金管理人应符合以下条件：</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12"/>
          <w:sz w:val="32"/>
          <w:szCs w:val="32"/>
        </w:rPr>
        <w:t>（</w:t>
      </w:r>
      <w:r>
        <w:rPr>
          <w:rFonts w:ascii="宋体" w:hAnsi="宋体" w:cs="仿宋_GB2312" w:eastAsia="仿宋_GB2312"/>
          <w:color w:val="auto"/>
          <w:spacing w:val="-82"/>
          <w:sz w:val="32"/>
          <w:szCs w:val="32"/>
        </w:rPr>
        <w:t xml:space="preserve"> </w:t>
      </w:r>
      <w:r>
        <w:rPr>
          <w:rFonts w:ascii="宋体" w:hAnsi="宋体" w:cs="仿宋_GB2312" w:eastAsia="仿宋_GB2312"/>
          <w:color w:val="auto"/>
          <w:spacing w:val="-12"/>
          <w:sz w:val="32"/>
          <w:szCs w:val="32"/>
        </w:rPr>
        <w:t>一）在中国大陆注册，且实缴注册资本不低于</w:t>
      </w:r>
      <w:r>
        <w:rPr>
          <w:rFonts w:eastAsia="仿宋_GB2312" w:cs="仿宋_GB2312" w:ascii="宋体" w:hAnsi="宋体"/>
          <w:color w:val="auto"/>
          <w:spacing w:val="-12"/>
          <w:sz w:val="32"/>
          <w:szCs w:val="32"/>
        </w:rPr>
        <w:t>1000</w:t>
      </w:r>
      <w:r>
        <w:rPr>
          <w:rFonts w:ascii="宋体" w:hAnsi="宋体" w:cs="仿宋_GB2312" w:eastAsia="仿宋_GB2312"/>
          <w:color w:val="auto"/>
          <w:spacing w:val="-12"/>
          <w:sz w:val="32"/>
          <w:szCs w:val="32"/>
        </w:rPr>
        <w:t>万元，</w:t>
      </w:r>
      <w:r>
        <w:rPr>
          <w:rFonts w:ascii="宋体" w:hAnsi="宋体" w:cs="仿宋_GB2312" w:eastAsia="仿宋_GB2312"/>
          <w:color w:val="auto"/>
          <w:spacing w:val="-5"/>
          <w:sz w:val="32"/>
          <w:szCs w:val="32"/>
        </w:rPr>
        <w:t>有较强的资金募集能力，有固定的营业场所和与其业务相适应的软硬件设施。天使类、创投类基金管理人实缴注册资本可放宽</w:t>
      </w:r>
      <w:r>
        <w:rPr>
          <w:rFonts w:ascii="宋体" w:hAnsi="宋体" w:cs="仿宋_GB2312" w:eastAsia="仿宋_GB2312"/>
          <w:color w:val="auto"/>
          <w:spacing w:val="-7"/>
          <w:sz w:val="32"/>
          <w:szCs w:val="32"/>
        </w:rPr>
        <w:t>至不低于</w:t>
      </w:r>
      <w:r>
        <w:rPr>
          <w:rFonts w:eastAsia="仿宋_GB2312" w:cs="仿宋_GB2312" w:ascii="宋体" w:hAnsi="宋体"/>
          <w:color w:val="auto"/>
          <w:spacing w:val="-7"/>
          <w:sz w:val="32"/>
          <w:szCs w:val="32"/>
        </w:rPr>
        <w:t>500</w:t>
      </w:r>
      <w:r>
        <w:rPr>
          <w:rFonts w:ascii="宋体" w:hAnsi="宋体" w:cs="仿宋_GB2312" w:eastAsia="仿宋_GB2312"/>
          <w:color w:val="auto"/>
          <w:spacing w:val="-7"/>
          <w:sz w:val="32"/>
          <w:szCs w:val="32"/>
        </w:rPr>
        <w:t>万元；</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8"/>
          <w:sz w:val="32"/>
          <w:szCs w:val="32"/>
        </w:rPr>
        <w:t>（</w:t>
      </w:r>
      <w:r>
        <w:rPr>
          <w:rFonts w:ascii="宋体" w:hAnsi="宋体" w:cs="仿宋_GB2312" w:eastAsia="仿宋_GB2312"/>
          <w:color w:val="auto"/>
          <w:spacing w:val="-69"/>
          <w:sz w:val="32"/>
          <w:szCs w:val="32"/>
        </w:rPr>
        <w:t xml:space="preserve"> </w:t>
      </w:r>
      <w:r>
        <w:rPr>
          <w:rFonts w:ascii="宋体" w:hAnsi="宋体" w:cs="仿宋_GB2312" w:eastAsia="仿宋_GB2312"/>
          <w:color w:val="auto"/>
          <w:spacing w:val="-8"/>
          <w:sz w:val="32"/>
          <w:szCs w:val="32"/>
        </w:rPr>
        <w:t>二）有健全的股权投资管理和风险控制流程，规范的项目</w:t>
      </w:r>
      <w:r>
        <w:rPr>
          <w:rFonts w:ascii="宋体" w:hAnsi="宋体" w:cs="仿宋_GB2312" w:eastAsia="仿宋_GB2312"/>
          <w:color w:val="auto"/>
          <w:spacing w:val="-5"/>
          <w:sz w:val="32"/>
          <w:szCs w:val="32"/>
        </w:rPr>
        <w:t>遴选机制和投资决策机制，能够为被投资企业提供创业辅导、管</w:t>
      </w:r>
      <w:r>
        <w:rPr>
          <w:rFonts w:ascii="宋体" w:hAnsi="宋体" w:cs="仿宋_GB2312" w:eastAsia="仿宋_GB2312"/>
          <w:color w:val="auto"/>
          <w:spacing w:val="-2"/>
          <w:sz w:val="32"/>
          <w:szCs w:val="32"/>
        </w:rPr>
        <w:t>理咨询等增值服务；</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0"/>
          <w:sz w:val="32"/>
          <w:szCs w:val="32"/>
        </w:rPr>
      </w:pPr>
      <w:r>
        <w:rPr>
          <w:rFonts w:ascii="宋体" w:hAnsi="宋体" w:cs="仿宋_GB2312" w:eastAsia="仿宋_GB2312"/>
          <w:color w:val="auto"/>
          <w:spacing w:val="-14"/>
          <w:sz w:val="32"/>
          <w:szCs w:val="32"/>
        </w:rPr>
        <w:t>（</w:t>
      </w:r>
      <w:r>
        <w:rPr>
          <w:rFonts w:ascii="宋体" w:hAnsi="宋体" w:cs="仿宋_GB2312" w:eastAsia="仿宋_GB2312"/>
          <w:color w:val="auto"/>
          <w:spacing w:val="-76"/>
          <w:sz w:val="32"/>
          <w:szCs w:val="32"/>
        </w:rPr>
        <w:t xml:space="preserve"> </w:t>
      </w:r>
      <w:r>
        <w:rPr>
          <w:rFonts w:ascii="宋体" w:hAnsi="宋体" w:cs="仿宋_GB2312" w:eastAsia="仿宋_GB2312"/>
          <w:color w:val="auto"/>
          <w:spacing w:val="-14"/>
          <w:sz w:val="32"/>
          <w:szCs w:val="32"/>
        </w:rPr>
        <w:t>三）</w:t>
      </w:r>
      <w:r>
        <w:rPr>
          <w:rFonts w:ascii="宋体" w:hAnsi="宋体" w:cs="仿宋_GB2312" w:eastAsia="仿宋_GB2312"/>
          <w:color w:val="auto"/>
          <w:spacing w:val="0"/>
          <w:sz w:val="32"/>
          <w:szCs w:val="32"/>
        </w:rPr>
        <w:t xml:space="preserve">已在中基协完成登记，至少有 </w:t>
      </w:r>
      <w:r>
        <w:rPr>
          <w:rFonts w:eastAsia="仿宋_GB2312" w:cs="仿宋_GB2312" w:ascii="宋体" w:hAnsi="宋体"/>
          <w:color w:val="auto"/>
          <w:spacing w:val="0"/>
          <w:sz w:val="32"/>
          <w:szCs w:val="32"/>
        </w:rPr>
        <w:t>3</w:t>
      </w:r>
      <w:r>
        <w:rPr>
          <w:rFonts w:ascii="宋体" w:hAnsi="宋体" w:cs="仿宋_GB2312" w:eastAsia="仿宋_GB2312"/>
          <w:color w:val="auto"/>
          <w:spacing w:val="0"/>
          <w:sz w:val="32"/>
          <w:szCs w:val="32"/>
        </w:rPr>
        <w:t xml:space="preserve">名具备 </w:t>
      </w:r>
      <w:r>
        <w:rPr>
          <w:rFonts w:eastAsia="仿宋_GB2312" w:cs="仿宋_GB2312" w:ascii="宋体" w:hAnsi="宋体"/>
          <w:color w:val="auto"/>
          <w:spacing w:val="0"/>
          <w:sz w:val="32"/>
          <w:szCs w:val="32"/>
        </w:rPr>
        <w:t>3</w:t>
      </w:r>
      <w:r>
        <w:rPr>
          <w:rFonts w:ascii="宋体" w:hAnsi="宋体" w:cs="仿宋_GB2312" w:eastAsia="仿宋_GB2312"/>
          <w:color w:val="auto"/>
          <w:spacing w:val="0"/>
          <w:sz w:val="32"/>
          <w:szCs w:val="32"/>
        </w:rPr>
        <w:t>年以上股权投资或基金管理工作经验的专职高级管理人员，管理团队稳定，具有良好的职业操守和信誉；</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0"/>
          <w:sz w:val="32"/>
          <w:szCs w:val="32"/>
        </w:rPr>
      </w:pPr>
      <w:r>
        <w:rPr>
          <w:rFonts w:ascii="宋体" w:hAnsi="宋体" w:cs="仿宋_GB2312" w:eastAsia="仿宋_GB2312"/>
          <w:color w:val="auto"/>
          <w:spacing w:val="-8"/>
          <w:sz w:val="32"/>
          <w:szCs w:val="32"/>
        </w:rPr>
        <w:t>（四）</w:t>
      </w:r>
      <w:r>
        <w:rPr>
          <w:rFonts w:ascii="宋体" w:hAnsi="宋体" w:cs="仿宋_GB2312" w:eastAsia="仿宋_GB2312"/>
          <w:color w:val="auto"/>
          <w:spacing w:val="0"/>
          <w:sz w:val="32"/>
          <w:szCs w:val="32"/>
        </w:rPr>
        <w:t>基金管理人及其工作人员无被行政主管机关或司法机关处罚的不良记录。</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十九</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投委会研究通过拟参股子基金的情况下，由</w:t>
      </w:r>
      <w:r>
        <w:rPr>
          <w:rFonts w:ascii="宋体" w:hAnsi="宋体" w:cs="仿宋_GB2312" w:eastAsia="仿宋_GB2312"/>
          <w:color w:val="auto"/>
          <w:sz w:val="32"/>
          <w:szCs w:val="32"/>
          <w:lang w:val="en-US" w:eastAsia="zh-CN"/>
        </w:rPr>
        <w:t>市恒泰交投公司</w:t>
      </w:r>
      <w:r>
        <w:rPr>
          <w:rFonts w:ascii="宋体" w:hAnsi="宋体" w:cs="仿宋_GB2312" w:eastAsia="仿宋_GB2312"/>
          <w:color w:val="auto"/>
          <w:sz w:val="32"/>
          <w:szCs w:val="32"/>
        </w:rPr>
        <w:t>在</w:t>
      </w:r>
      <w:r>
        <w:rPr>
          <w:rFonts w:ascii="宋体" w:hAnsi="宋体" w:cs="仿宋_GB2312" w:eastAsia="仿宋_GB2312"/>
          <w:color w:val="auto"/>
          <w:sz w:val="32"/>
          <w:szCs w:val="32"/>
          <w:lang w:val="en-US" w:eastAsia="zh-CN"/>
        </w:rPr>
        <w:t>市</w:t>
      </w:r>
      <w:r>
        <w:rPr>
          <w:rFonts w:ascii="宋体" w:hAnsi="宋体" w:cs="仿宋_GB2312" w:eastAsia="仿宋_GB2312"/>
          <w:color w:val="auto"/>
          <w:sz w:val="32"/>
          <w:szCs w:val="32"/>
        </w:rPr>
        <w:t>政府门户网站对拟参股子基金有关情况进行公示，公示期不少于</w:t>
      </w:r>
      <w:r>
        <w:rPr>
          <w:rFonts w:eastAsia="仿宋_GB2312" w:cs="仿宋_GB2312" w:ascii="宋体" w:hAnsi="宋体"/>
          <w:color w:val="auto"/>
          <w:sz w:val="32"/>
          <w:szCs w:val="32"/>
        </w:rPr>
        <w:t>7</w:t>
      </w:r>
      <w:r>
        <w:rPr>
          <w:rFonts w:ascii="宋体" w:hAnsi="宋体" w:cs="仿宋_GB2312" w:eastAsia="仿宋_GB2312"/>
          <w:color w:val="auto"/>
          <w:sz w:val="32"/>
          <w:szCs w:val="32"/>
        </w:rPr>
        <w:t>天。在公示期内有异议的，</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管理人应及时进行调查核实。</w:t>
      </w:r>
      <w:r>
        <w:rPr>
          <w:rFonts w:ascii="宋体" w:hAnsi="宋体" w:cs="仿宋_GB2312" w:eastAsia="仿宋_GB2312"/>
          <w:color w:val="auto"/>
          <w:kern w:val="0"/>
          <w:sz w:val="32"/>
          <w:szCs w:val="32"/>
        </w:rPr>
        <w:t>对经公示无异议的，</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管理人按照投委会核准的子基金方案，与子基金管理人及其他出资人协商签订子基金合同。</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 xml:space="preserve">第二十条 </w:t>
      </w:r>
      <w:r>
        <w:rPr>
          <w:rFonts w:ascii="宋体" w:hAnsi="宋体" w:cs="仿宋_GB2312" w:eastAsia="仿宋_GB2312"/>
          <w:color w:val="auto"/>
          <w:sz w:val="32"/>
          <w:szCs w:val="32"/>
        </w:rPr>
        <w:t>子基金合同应包括设立的政策目标、基金规模、存续期限、出资方案、投资领域、决策机制、管理机构、风险防范、投资退出、管理费用和收益分配等内容。</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1"/>
          <w:sz w:val="32"/>
          <w:szCs w:val="32"/>
        </w:rPr>
      </w:pPr>
      <w:r>
        <w:rPr>
          <w:rFonts w:ascii="宋体" w:hAnsi="宋体" w:cs="仿宋_GB2312" w:eastAsia="仿宋_GB2312"/>
          <w:b/>
          <w:bCs/>
          <w:color w:val="auto"/>
          <w:sz w:val="32"/>
          <w:szCs w:val="32"/>
        </w:rPr>
        <w:t>第二十</w:t>
      </w:r>
      <w:r>
        <w:rPr>
          <w:rFonts w:ascii="宋体" w:hAnsi="宋体" w:cs="仿宋_GB2312" w:eastAsia="仿宋_GB2312"/>
          <w:b/>
          <w:bCs/>
          <w:color w:val="auto"/>
          <w:sz w:val="32"/>
          <w:szCs w:val="32"/>
          <w:lang w:val="en-US" w:eastAsia="zh-CN"/>
        </w:rPr>
        <w:t>一</w:t>
      </w:r>
      <w:r>
        <w:rPr>
          <w:rFonts w:ascii="宋体" w:hAnsi="宋体" w:cs="仿宋_GB2312" w:eastAsia="仿宋_GB2312"/>
          <w:b/>
          <w:bCs/>
          <w:color w:val="auto"/>
          <w:sz w:val="32"/>
          <w:szCs w:val="32"/>
        </w:rPr>
        <w:t xml:space="preserve">条 </w:t>
      </w:r>
      <w:r>
        <w:rPr>
          <w:rFonts w:ascii="宋体" w:hAnsi="宋体" w:cs="仿宋_GB2312" w:eastAsia="仿宋_GB2312"/>
          <w:color w:val="auto"/>
          <w:spacing w:val="-1"/>
          <w:sz w:val="32"/>
          <w:szCs w:val="32"/>
        </w:rPr>
        <w:t>子基金设立后，其他出资人拟单方面增资，在</w:t>
      </w:r>
      <w:r>
        <w:rPr>
          <w:rFonts w:ascii="宋体" w:hAnsi="宋体" w:cs="仿宋_GB2312" w:eastAsia="仿宋_GB2312"/>
          <w:color w:val="auto"/>
          <w:spacing w:val="-1"/>
          <w:sz w:val="32"/>
          <w:szCs w:val="32"/>
          <w:lang w:eastAsia="zh-CN"/>
        </w:rPr>
        <w:t>产业基金</w:t>
      </w:r>
      <w:r>
        <w:rPr>
          <w:rFonts w:ascii="宋体" w:hAnsi="宋体" w:cs="仿宋_GB2312" w:eastAsia="仿宋_GB2312"/>
          <w:color w:val="auto"/>
          <w:spacing w:val="-1"/>
          <w:sz w:val="32"/>
          <w:szCs w:val="32"/>
        </w:rPr>
        <w:t>出资额不变的情况下，由子基金合伙人大会审议决定。</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第二十</w:t>
      </w:r>
      <w:r>
        <w:rPr>
          <w:rFonts w:ascii="宋体" w:hAnsi="宋体" w:cs="仿宋_GB2312" w:eastAsia="仿宋_GB2312"/>
          <w:b/>
          <w:bCs/>
          <w:color w:val="auto"/>
          <w:sz w:val="32"/>
          <w:szCs w:val="32"/>
          <w:lang w:val="en-US" w:eastAsia="zh-CN"/>
        </w:rPr>
        <w:t>二</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子基金以股权投资等方式投资企业，依据基金合同约定进行投资、管理和退出</w:t>
      </w:r>
      <w:r>
        <w:rPr>
          <w:rFonts w:ascii="宋体" w:hAnsi="宋体" w:cs="仿宋_GB2312" w:eastAsia="仿宋_GB2312"/>
          <w:color w:val="auto"/>
          <w:sz w:val="32"/>
          <w:szCs w:val="32"/>
          <w:lang w:eastAsia="zh-CN"/>
        </w:rPr>
        <w:t>。</w:t>
      </w:r>
      <w:r>
        <w:rPr>
          <w:rFonts w:ascii="宋体" w:hAnsi="宋体" w:cs="仿宋_GB2312" w:eastAsia="仿宋_GB2312"/>
          <w:color w:val="auto"/>
          <w:sz w:val="32"/>
          <w:szCs w:val="32"/>
        </w:rPr>
        <w:t>子基金的项目投资可通过公开上市、股权转让、股权回购等方式进行市场化退出。</w:t>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eastAsia="黑体" w:cs="黑体" w:ascii="宋体" w:hAnsi="宋体"/>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仿宋_GB2312" w:cs="仿宋_GB2312"/>
          <w:b/>
          <w:b/>
          <w:bCs/>
          <w:color w:val="auto"/>
          <w:sz w:val="32"/>
          <w:szCs w:val="32"/>
        </w:rPr>
      </w:pPr>
      <w:r>
        <w:rPr>
          <w:rFonts w:ascii="宋体" w:hAnsi="宋体" w:cs="黑体" w:eastAsia="黑体"/>
          <w:color w:val="auto"/>
          <w:sz w:val="32"/>
          <w:szCs w:val="32"/>
        </w:rPr>
        <w:t>第五章  收益和费用</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第二十</w:t>
      </w:r>
      <w:r>
        <w:rPr>
          <w:rFonts w:ascii="宋体" w:hAnsi="宋体" w:cs="仿宋_GB2312" w:eastAsia="仿宋_GB2312"/>
          <w:b/>
          <w:bCs/>
          <w:color w:val="auto"/>
          <w:sz w:val="32"/>
          <w:szCs w:val="32"/>
          <w:lang w:val="en-US" w:eastAsia="zh-CN"/>
        </w:rPr>
        <w:t>三</w:t>
      </w:r>
      <w:r>
        <w:rPr>
          <w:rFonts w:ascii="宋体" w:hAnsi="宋体" w:cs="仿宋_GB2312" w:eastAsia="仿宋_GB2312"/>
          <w:b/>
          <w:bCs/>
          <w:color w:val="auto"/>
          <w:sz w:val="32"/>
          <w:szCs w:val="32"/>
        </w:rPr>
        <w:t>条</w:t>
      </w:r>
      <w:r>
        <w:rPr>
          <w:rFonts w:ascii="宋体" w:hAnsi="宋体" w:cs="仿宋_GB2312" w:eastAsia="仿宋_GB2312"/>
          <w:color w:val="auto"/>
          <w:spacing w:val="22"/>
          <w:sz w:val="32"/>
          <w:szCs w:val="32"/>
        </w:rPr>
        <w:t xml:space="preserve"> </w:t>
      </w:r>
      <w:r>
        <w:rPr>
          <w:rFonts w:ascii="宋体" w:hAnsi="宋体" w:cs="仿宋_GB2312" w:eastAsia="仿宋_GB2312"/>
          <w:color w:val="auto"/>
          <w:spacing w:val="-5"/>
          <w:sz w:val="32"/>
          <w:szCs w:val="32"/>
        </w:rPr>
        <w:t>子基金各出资人应按照利益共享、风险共担的原则，明确约定收益分配或亏损承担方式。收益分配可按照“先回本后分利、先有限合伙人后普通合伙人”的原则进行，也可根据基金实际情况</w:t>
      </w:r>
      <w:r>
        <w:rPr>
          <w:rFonts w:ascii="宋体" w:hAnsi="宋体" w:cs="仿宋_GB2312" w:eastAsia="仿宋_GB2312"/>
          <w:color w:val="auto"/>
          <w:spacing w:val="-5"/>
          <w:sz w:val="32"/>
          <w:szCs w:val="32"/>
          <w:lang w:eastAsia="zh-CN"/>
        </w:rPr>
        <w:t>，</w:t>
      </w:r>
      <w:r>
        <w:rPr>
          <w:rFonts w:ascii="宋体" w:hAnsi="宋体" w:cs="仿宋_GB2312" w:eastAsia="仿宋_GB2312"/>
          <w:color w:val="auto"/>
          <w:spacing w:val="-5"/>
          <w:sz w:val="32"/>
          <w:szCs w:val="32"/>
        </w:rPr>
        <w:t>由</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和其他出资人协商确定。</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2"/>
          <w:sz w:val="32"/>
          <w:szCs w:val="32"/>
        </w:rPr>
      </w:pPr>
      <w:r>
        <w:rPr>
          <w:rFonts w:ascii="宋体" w:hAnsi="宋体" w:cs="仿宋_GB2312" w:eastAsia="仿宋_GB2312"/>
          <w:b/>
          <w:bCs/>
          <w:color w:val="auto"/>
          <w:sz w:val="32"/>
          <w:szCs w:val="32"/>
        </w:rPr>
        <w:t>第二十</w:t>
      </w:r>
      <w:r>
        <w:rPr>
          <w:rFonts w:ascii="宋体" w:hAnsi="宋体" w:cs="仿宋_GB2312" w:eastAsia="仿宋_GB2312"/>
          <w:b/>
          <w:bCs/>
          <w:color w:val="auto"/>
          <w:sz w:val="32"/>
          <w:szCs w:val="32"/>
          <w:lang w:val="en-US" w:eastAsia="zh-CN"/>
        </w:rPr>
        <w:t>四</w:t>
      </w:r>
      <w:r>
        <w:rPr>
          <w:rFonts w:ascii="宋体" w:hAnsi="宋体" w:cs="仿宋_GB2312" w:eastAsia="仿宋_GB2312"/>
          <w:b/>
          <w:bCs/>
          <w:color w:val="auto"/>
          <w:sz w:val="32"/>
          <w:szCs w:val="32"/>
        </w:rPr>
        <w:t>条</w:t>
      </w:r>
      <w:r>
        <w:rPr>
          <w:rFonts w:ascii="宋体" w:hAnsi="宋体" w:cs="仿宋_GB2312" w:eastAsia="仿宋_GB2312"/>
          <w:color w:val="auto"/>
          <w:spacing w:val="35"/>
          <w:sz w:val="32"/>
          <w:szCs w:val="32"/>
        </w:rPr>
        <w:t xml:space="preserve"> </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应与其他出资人在子基金合同</w:t>
      </w:r>
      <w:r>
        <w:rPr>
          <w:rFonts w:ascii="宋体" w:hAnsi="宋体" w:cs="仿宋_GB2312" w:eastAsia="仿宋_GB2312"/>
          <w:color w:val="auto"/>
          <w:spacing w:val="-5"/>
          <w:sz w:val="32"/>
          <w:szCs w:val="32"/>
        </w:rPr>
        <w:t>中约定，当子基金清算出现亏损时，首先由子基金普通合伙人以其对子基金的出资额承担亏损，剩余部分由</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和其他出</w:t>
      </w:r>
      <w:r>
        <w:rPr>
          <w:rFonts w:ascii="宋体" w:hAnsi="宋体" w:cs="仿宋_GB2312" w:eastAsia="仿宋_GB2312"/>
          <w:color w:val="auto"/>
          <w:spacing w:val="-2"/>
          <w:sz w:val="32"/>
          <w:szCs w:val="32"/>
        </w:rPr>
        <w:t>资人按出资比例承担。</w:t>
      </w:r>
      <w:r>
        <w:rPr>
          <w:rFonts w:ascii="宋体" w:hAnsi="宋体" w:cs="仿宋_GB2312" w:eastAsia="仿宋_GB2312"/>
          <w:color w:val="auto"/>
          <w:spacing w:val="-2"/>
          <w:sz w:val="32"/>
          <w:szCs w:val="32"/>
          <w:lang w:eastAsia="zh-CN"/>
        </w:rPr>
        <w:t>产业基金</w:t>
      </w:r>
      <w:r>
        <w:rPr>
          <w:rFonts w:ascii="宋体" w:hAnsi="宋体" w:cs="仿宋_GB2312" w:eastAsia="仿宋_GB2312"/>
          <w:color w:val="auto"/>
          <w:spacing w:val="-5"/>
          <w:sz w:val="32"/>
          <w:szCs w:val="32"/>
        </w:rPr>
        <w:t>以其对子基金的</w:t>
      </w:r>
      <w:r>
        <w:rPr>
          <w:rFonts w:ascii="宋体" w:hAnsi="宋体" w:cs="仿宋_GB2312" w:eastAsia="仿宋_GB2312"/>
          <w:color w:val="auto"/>
          <w:spacing w:val="-2"/>
          <w:sz w:val="32"/>
          <w:szCs w:val="32"/>
        </w:rPr>
        <w:t>出资额为限承担亏损。</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第二十</w:t>
      </w:r>
      <w:r>
        <w:rPr>
          <w:rFonts w:ascii="宋体" w:hAnsi="宋体" w:cs="仿宋_GB2312" w:eastAsia="仿宋_GB2312"/>
          <w:b/>
          <w:bCs/>
          <w:color w:val="auto"/>
          <w:sz w:val="32"/>
          <w:szCs w:val="32"/>
          <w:lang w:val="en-US" w:eastAsia="zh-CN"/>
        </w:rPr>
        <w:t>五</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管理费按年支付，按照</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实缴出资额的</w:t>
      </w:r>
      <w:r>
        <w:rPr>
          <w:rFonts w:eastAsia="仿宋_GB2312" w:cs="仿宋_GB2312" w:ascii="宋体" w:hAnsi="宋体"/>
          <w:color w:val="auto"/>
          <w:sz w:val="32"/>
          <w:szCs w:val="32"/>
          <w:lang w:val="en-US" w:eastAsia="zh-CN"/>
        </w:rPr>
        <w:t>0</w:t>
      </w:r>
      <w:r>
        <w:rPr>
          <w:rFonts w:eastAsia="仿宋_GB2312" w:cs="仿宋_GB2312" w:ascii="宋体" w:hAnsi="宋体"/>
          <w:color w:val="auto"/>
          <w:sz w:val="32"/>
          <w:szCs w:val="32"/>
        </w:rPr>
        <w:t>.5%</w:t>
      </w:r>
      <w:r>
        <w:rPr>
          <w:rFonts w:ascii="宋体" w:hAnsi="宋体" w:cs="仿宋_GB2312" w:eastAsia="仿宋_GB2312"/>
          <w:color w:val="auto"/>
          <w:sz w:val="32"/>
          <w:szCs w:val="32"/>
        </w:rPr>
        <w:t>核定。</w:t>
      </w:r>
      <w:r>
        <w:rPr>
          <w:rFonts w:ascii="宋体" w:hAnsi="宋体" w:cs="仿宋_GB2312" w:eastAsia="仿宋_GB2312"/>
          <w:color w:val="auto"/>
          <w:sz w:val="32"/>
          <w:szCs w:val="32"/>
          <w:lang w:val="en-US" w:eastAsia="zh-CN"/>
        </w:rPr>
        <w:t>除对产业基金管理人支付管理费外，</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lang w:val="en-US" w:eastAsia="zh-CN"/>
        </w:rPr>
        <w:t>参股产业类子基金（指基金管理人招引项目）所产生</w:t>
      </w:r>
      <w:r>
        <w:rPr>
          <w:rFonts w:ascii="宋体" w:hAnsi="宋体" w:cs="仿宋_GB2312" w:eastAsia="仿宋_GB2312"/>
          <w:color w:val="auto"/>
          <w:sz w:val="32"/>
          <w:szCs w:val="32"/>
        </w:rPr>
        <w:t>收益的</w:t>
      </w:r>
      <w:r>
        <w:rPr>
          <w:rFonts w:eastAsia="仿宋_GB2312" w:cs="仿宋_GB2312" w:ascii="宋体" w:hAnsi="宋体"/>
          <w:color w:val="auto"/>
          <w:sz w:val="32"/>
          <w:szCs w:val="32"/>
          <w:lang w:val="en-US" w:eastAsia="zh-CN"/>
        </w:rPr>
        <w:t>20</w:t>
      </w:r>
      <w:r>
        <w:rPr>
          <w:rFonts w:eastAsia="仿宋_GB2312" w:cs="仿宋_GB2312" w:ascii="宋体" w:hAnsi="宋体"/>
          <w:color w:val="auto"/>
          <w:sz w:val="32"/>
          <w:szCs w:val="32"/>
        </w:rPr>
        <w:t>%</w:t>
      </w:r>
      <w:r>
        <w:rPr>
          <w:rFonts w:ascii="宋体" w:hAnsi="宋体" w:cs="仿宋_GB2312" w:eastAsia="仿宋_GB2312"/>
          <w:color w:val="auto"/>
          <w:sz w:val="32"/>
          <w:szCs w:val="32"/>
          <w:lang w:val="en-US" w:eastAsia="zh-CN"/>
        </w:rPr>
        <w:t>将作为产业基金管理人的业绩报酬</w:t>
      </w:r>
      <w:r>
        <w:rPr>
          <w:rFonts w:ascii="宋体" w:hAnsi="宋体" w:cs="仿宋_GB2312" w:eastAsia="仿宋_GB2312"/>
          <w:color w:val="auto"/>
          <w:sz w:val="32"/>
          <w:szCs w:val="32"/>
        </w:rPr>
        <w:t>。</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二十六</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管理人可以聘请专业机构开展尽职调查等工作，所需费用从</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中列支。</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二十七</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rPr>
        <w:t>子基金按基金合同约定向子基金管理人支付管理费。</w:t>
      </w:r>
      <w:r>
        <w:rPr>
          <w:rFonts w:ascii="宋体" w:hAnsi="宋体" w:cs="仿宋_GB2312" w:eastAsia="仿宋_GB2312"/>
          <w:color w:val="auto"/>
          <w:spacing w:val="-5"/>
          <w:sz w:val="32"/>
          <w:szCs w:val="32"/>
        </w:rPr>
        <w:t>年度管理费一般</w:t>
      </w:r>
      <w:r>
        <w:rPr>
          <w:rFonts w:ascii="宋体" w:hAnsi="宋体" w:cs="仿宋_GB2312" w:eastAsia="仿宋_GB2312"/>
          <w:color w:val="auto"/>
          <w:sz w:val="32"/>
          <w:szCs w:val="32"/>
        </w:rPr>
        <w:t>按照子基金注册资本或出资额的</w:t>
      </w:r>
      <w:r>
        <w:rPr>
          <w:rFonts w:eastAsia="仿宋_GB2312" w:cs="仿宋_GB2312" w:ascii="宋体" w:hAnsi="宋体"/>
          <w:color w:val="auto"/>
          <w:sz w:val="32"/>
          <w:szCs w:val="32"/>
          <w:lang w:val="en-US" w:eastAsia="zh-CN"/>
        </w:rPr>
        <w:t>0.</w:t>
      </w:r>
      <w:r>
        <w:rPr>
          <w:rFonts w:eastAsia="仿宋_GB2312" w:cs="仿宋_GB2312" w:ascii="宋体" w:hAnsi="宋体"/>
          <w:color w:val="auto"/>
          <w:sz w:val="32"/>
          <w:szCs w:val="32"/>
        </w:rPr>
        <w:t>5%-2.5%</w:t>
      </w:r>
      <w:r>
        <w:rPr>
          <w:rFonts w:ascii="宋体" w:hAnsi="宋体" w:cs="仿宋_GB2312" w:eastAsia="仿宋_GB2312"/>
          <w:color w:val="auto"/>
          <w:sz w:val="32"/>
          <w:szCs w:val="32"/>
        </w:rPr>
        <w:t>确定，</w:t>
      </w:r>
      <w:r>
        <w:rPr>
          <w:rFonts w:ascii="宋体" w:hAnsi="宋体" w:cs="仿宋_GB2312" w:eastAsia="仿宋_GB2312"/>
          <w:color w:val="auto"/>
          <w:spacing w:val="4"/>
          <w:sz w:val="32"/>
          <w:szCs w:val="32"/>
        </w:rPr>
        <w:t>具体比例在基金合同中明确。天使类子</w:t>
      </w:r>
      <w:r>
        <w:rPr>
          <w:rFonts w:ascii="宋体" w:hAnsi="宋体" w:cs="仿宋_GB2312" w:eastAsia="仿宋_GB2312"/>
          <w:color w:val="auto"/>
          <w:spacing w:val="-1"/>
          <w:sz w:val="32"/>
          <w:szCs w:val="32"/>
        </w:rPr>
        <w:t>基金可适当提高管理费比例。</w:t>
      </w:r>
      <w:r>
        <w:rPr>
          <w:rFonts w:ascii="宋体" w:hAnsi="宋体" w:cs="仿宋_GB2312" w:eastAsia="仿宋_GB2312"/>
          <w:color w:val="auto"/>
          <w:sz w:val="32"/>
          <w:szCs w:val="32"/>
        </w:rPr>
        <w:t>子基金约定门槛收益率</w:t>
      </w:r>
      <w:r>
        <w:rPr>
          <w:rFonts w:ascii="宋体" w:hAnsi="宋体" w:cs="仿宋_GB2312" w:eastAsia="仿宋_GB2312"/>
          <w:color w:val="auto"/>
          <w:sz w:val="32"/>
          <w:szCs w:val="32"/>
          <w:lang w:eastAsia="zh-CN"/>
        </w:rPr>
        <w:t>为</w:t>
      </w:r>
      <w:r>
        <w:rPr>
          <w:rFonts w:eastAsia="仿宋_GB2312" w:cs="仿宋_GB2312" w:ascii="宋体" w:hAnsi="宋体"/>
          <w:color w:val="auto"/>
          <w:sz w:val="32"/>
          <w:szCs w:val="32"/>
          <w:lang w:val="en-US" w:eastAsia="zh-CN"/>
        </w:rPr>
        <w:t>10%</w:t>
      </w:r>
      <w:r>
        <w:rPr>
          <w:rFonts w:ascii="宋体" w:hAnsi="宋体" w:cs="仿宋_GB2312" w:eastAsia="仿宋_GB2312"/>
          <w:color w:val="auto"/>
          <w:sz w:val="32"/>
          <w:szCs w:val="32"/>
        </w:rPr>
        <w:t>，当子基金的年平均投资收益率高于门槛收益率时，</w:t>
      </w:r>
      <w:r>
        <w:rPr>
          <w:rFonts w:ascii="宋体" w:hAnsi="宋体" w:cs="仿宋_GB2312" w:eastAsia="仿宋_GB2312"/>
          <w:color w:val="auto"/>
          <w:sz w:val="32"/>
          <w:szCs w:val="32"/>
          <w:lang w:eastAsia="zh-CN"/>
        </w:rPr>
        <w:t>子基金</w:t>
      </w:r>
      <w:r>
        <w:rPr>
          <w:rFonts w:ascii="宋体" w:hAnsi="宋体" w:cs="仿宋_GB2312" w:eastAsia="仿宋_GB2312"/>
          <w:color w:val="auto"/>
          <w:sz w:val="32"/>
          <w:szCs w:val="32"/>
        </w:rPr>
        <w:t>可以将超额收益的一定比例（最高不超过</w:t>
      </w:r>
      <w:r>
        <w:rPr>
          <w:rFonts w:eastAsia="仿宋_GB2312" w:cs="仿宋_GB2312" w:ascii="宋体" w:hAnsi="宋体"/>
          <w:color w:val="auto"/>
          <w:sz w:val="32"/>
          <w:szCs w:val="32"/>
        </w:rPr>
        <w:t>20%</w:t>
      </w:r>
      <w:r>
        <w:rPr>
          <w:rFonts w:ascii="宋体" w:hAnsi="宋体" w:cs="仿宋_GB2312" w:eastAsia="仿宋_GB2312"/>
          <w:color w:val="auto"/>
          <w:sz w:val="32"/>
          <w:szCs w:val="32"/>
        </w:rPr>
        <w:t>）作为业绩报酬奖励子基金管理人。</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二十八</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可以根据子基金投资领域、投资阶段、风险程度等，给予子基金管理人和社会出资人适当让利。让利应以</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在子基金中所产生的收益为限，不得动用</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本金。</w:t>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eastAsia="黑体" w:cs="黑体" w:ascii="宋体" w:hAnsi="宋体"/>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仿宋_GB2312" w:cs="仿宋_GB2312"/>
          <w:b/>
          <w:b/>
          <w:bCs/>
          <w:color w:val="auto"/>
          <w:sz w:val="32"/>
          <w:szCs w:val="32"/>
        </w:rPr>
      </w:pPr>
      <w:r>
        <w:rPr>
          <w:rFonts w:ascii="宋体" w:hAnsi="宋体" w:cs="黑体" w:eastAsia="黑体"/>
          <w:color w:val="auto"/>
          <w:sz w:val="32"/>
          <w:szCs w:val="32"/>
        </w:rPr>
        <w:t>第六章 风险控制</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二十九</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子基金进行工商登记前，子基金管理人应向</w:t>
      </w:r>
      <w:r>
        <w:rPr>
          <w:rFonts w:ascii="宋体" w:hAnsi="宋体" w:cs="仿宋_GB2312" w:eastAsia="仿宋_GB2312"/>
          <w:color w:val="auto"/>
          <w:sz w:val="32"/>
          <w:szCs w:val="32"/>
          <w:lang w:eastAsia="zh-CN"/>
        </w:rPr>
        <w:t>市</w:t>
      </w:r>
      <w:r>
        <w:rPr>
          <w:rFonts w:ascii="宋体" w:hAnsi="宋体" w:cs="仿宋_GB2312" w:eastAsia="仿宋_GB2312"/>
          <w:color w:val="auto"/>
          <w:sz w:val="32"/>
          <w:szCs w:val="32"/>
        </w:rPr>
        <w:t>地方金融</w:t>
      </w:r>
      <w:r>
        <w:rPr>
          <w:rFonts w:ascii="宋体" w:hAnsi="宋体" w:cs="仿宋_GB2312" w:eastAsia="仿宋_GB2312"/>
          <w:color w:val="auto"/>
          <w:sz w:val="32"/>
          <w:szCs w:val="32"/>
          <w:lang w:val="en-US" w:eastAsia="zh-CN"/>
        </w:rPr>
        <w:t>服务中心</w:t>
      </w:r>
      <w:r>
        <w:rPr>
          <w:rFonts w:ascii="宋体" w:hAnsi="宋体" w:cs="仿宋_GB2312" w:eastAsia="仿宋_GB2312"/>
          <w:color w:val="auto"/>
          <w:sz w:val="32"/>
          <w:szCs w:val="32"/>
        </w:rPr>
        <w:t>报送基金设立方案等材料；完成工商登记后，子基金管理人须按照中基协规定，将基金进行备案。</w:t>
      </w:r>
    </w:p>
    <w:p>
      <w:pPr>
        <w:pStyle w:val="NormalWeb"/>
        <w:keepNext w:val="false"/>
        <w:keepLines w:val="false"/>
        <w:pageBreakBefore w:val="false"/>
        <w:widowControl w:val="false"/>
        <w:kinsoku w:val="true"/>
        <w:overflowPunct w:val="true"/>
        <w:bidi w:val="0"/>
        <w:spacing w:lineRule="exact" w:line="560"/>
        <w:ind w:firstLineChars="200" w:firstLine="0"/>
        <w:textAlignment w:val="auto"/>
        <w:rPr>
          <w:rFonts w:ascii="宋体" w:hAnsi="宋体" w:eastAsia="仿宋_GB2312" w:cs="仿宋_GB2312"/>
          <w:b/>
          <w:b/>
          <w:bCs/>
          <w:color w:val="auto"/>
          <w:sz w:val="32"/>
          <w:szCs w:val="32"/>
        </w:rPr>
      </w:pPr>
      <w:r>
        <w:rPr>
          <w:rFonts w:ascii="宋体" w:hAnsi="宋体" w:cs="仿宋_GB2312" w:eastAsia="仿宋_GB2312"/>
          <w:b/>
          <w:bCs/>
          <w:color w:val="auto"/>
          <w:sz w:val="32"/>
          <w:szCs w:val="32"/>
        </w:rPr>
        <w:t>第三十条</w:t>
      </w:r>
      <w:r>
        <w:rPr>
          <w:rFonts w:ascii="宋体" w:hAnsi="宋体" w:cs="仿宋_GB2312" w:eastAsia="仿宋_GB2312"/>
          <w:color w:val="auto"/>
          <w:sz w:val="32"/>
          <w:szCs w:val="32"/>
        </w:rPr>
        <w:t xml:space="preserve">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、子基金管理人应依据法律法规和行业监管要求审慎经营，建立健全并严格遵守资金募集管理、投资者适当性、信息披露、风险管理、内部控制等业务规则和管理制度</w:t>
      </w:r>
      <w:r>
        <w:rPr>
          <w:rFonts w:ascii="宋体" w:hAnsi="宋体" w:cs="仿宋_GB2312" w:eastAsia="仿宋_GB2312"/>
          <w:color w:val="auto"/>
          <w:sz w:val="32"/>
          <w:szCs w:val="32"/>
          <w:lang w:eastAsia="zh-CN"/>
        </w:rPr>
        <w:t>。</w:t>
      </w:r>
    </w:p>
    <w:p>
      <w:pPr>
        <w:pStyle w:val="1"/>
        <w:keepNext w:val="false"/>
        <w:keepLines w:val="false"/>
        <w:pageBreakBefore w:val="false"/>
        <w:widowControl w:val="false"/>
        <w:tabs>
          <w:tab w:val="clear" w:pos="420"/>
          <w:tab w:val="left" w:pos="485" w:leader="none"/>
        </w:tabs>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第三十</w:t>
      </w:r>
      <w:r>
        <w:rPr>
          <w:rFonts w:ascii="宋体" w:hAnsi="宋体" w:cs="仿宋_GB2312" w:eastAsia="仿宋_GB2312"/>
          <w:b/>
          <w:bCs/>
          <w:color w:val="auto"/>
          <w:sz w:val="32"/>
          <w:szCs w:val="32"/>
          <w:lang w:val="en-US" w:eastAsia="zh-CN"/>
        </w:rPr>
        <w:t>一</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pacing w:val="-3"/>
          <w:sz w:val="32"/>
          <w:szCs w:val="32"/>
          <w:lang w:eastAsia="zh-CN"/>
        </w:rPr>
        <w:t>产业基金</w:t>
      </w:r>
      <w:r>
        <w:rPr>
          <w:rFonts w:ascii="宋体" w:hAnsi="宋体" w:cs="仿宋_GB2312" w:eastAsia="仿宋_GB2312"/>
          <w:color w:val="auto"/>
          <w:spacing w:val="-3"/>
          <w:sz w:val="32"/>
          <w:szCs w:val="32"/>
        </w:rPr>
        <w:t>、子基金不得从事以下业务：</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（一）担保、抵押、委托贷款等业务；</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（二）投资于二级市场股票、期货、房地产、证券投资基金、评级</w:t>
      </w:r>
      <w:r>
        <w:rPr>
          <w:rFonts w:eastAsia="仿宋_GB2312" w:cs="仿宋_GB2312" w:ascii="宋体" w:hAnsi="宋体"/>
          <w:color w:val="auto"/>
          <w:kern w:val="0"/>
          <w:sz w:val="32"/>
          <w:szCs w:val="32"/>
        </w:rPr>
        <w:t>AAA</w:t>
      </w:r>
      <w:r>
        <w:rPr>
          <w:rFonts w:ascii="宋体" w:hAnsi="宋体" w:cs="仿宋_GB2312" w:eastAsia="仿宋_GB2312"/>
          <w:color w:val="auto"/>
          <w:kern w:val="0"/>
          <w:sz w:val="32"/>
          <w:szCs w:val="32"/>
        </w:rPr>
        <w:t>级以下的企业债券、信托产品、非保本型理财产品、保险计划及其他金融衍生品；</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（三）向任何第三方提供赞助、捐赠（经批准的公益性捐赠除外）；</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（四）吸收或变相吸收存款，或向第三方提供贷款和资金拆借；</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（五）进行承担无限连带责任的对外投资；</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（六）发行信托或集合理财产品募集资金；</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color w:val="auto"/>
          <w:kern w:val="0"/>
          <w:sz w:val="32"/>
          <w:szCs w:val="32"/>
        </w:rPr>
        <w:t>（七）国家法律法规禁止从事的其他业务。</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第三十</w:t>
      </w:r>
      <w:r>
        <w:rPr>
          <w:rFonts w:ascii="宋体" w:hAnsi="宋体" w:cs="仿宋_GB2312" w:eastAsia="仿宋_GB2312"/>
          <w:b/>
          <w:bCs/>
          <w:color w:val="auto"/>
          <w:sz w:val="32"/>
          <w:szCs w:val="32"/>
          <w:lang w:val="en-US" w:eastAsia="zh-CN"/>
        </w:rPr>
        <w:t>二</w:t>
      </w:r>
      <w:r>
        <w:rPr>
          <w:rFonts w:ascii="宋体" w:hAnsi="宋体" w:cs="仿宋_GB2312" w:eastAsia="仿宋_GB2312"/>
          <w:b/>
          <w:bCs/>
          <w:color w:val="auto"/>
          <w:sz w:val="32"/>
          <w:szCs w:val="32"/>
        </w:rPr>
        <w:t xml:space="preserve">条 </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、子基金应由具备基金托管资质的银行托管。基金托管银行应符合以下条件：</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（一）成立时间在</w:t>
      </w:r>
      <w:r>
        <w:rPr>
          <w:rFonts w:eastAsia="仿宋_GB2312" w:cs="仿宋_GB2312" w:ascii="宋体" w:hAnsi="宋体"/>
          <w:color w:val="auto"/>
          <w:sz w:val="32"/>
          <w:szCs w:val="32"/>
        </w:rPr>
        <w:t>5</w:t>
      </w:r>
      <w:r>
        <w:rPr>
          <w:rFonts w:ascii="宋体" w:hAnsi="宋体" w:cs="仿宋_GB2312" w:eastAsia="仿宋_GB2312"/>
          <w:color w:val="auto"/>
          <w:sz w:val="32"/>
          <w:szCs w:val="32"/>
        </w:rPr>
        <w:t>年以上的全国性国有银行、股份制商业银行、山东省地方性商业银行；</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（二）具有基金托管经验，具备安全保管和办理托管业务的设施设备及信息技术系统；</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（三）有完善的托管业务流程制度和内部稽核监控及风险控制制度；</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z w:val="32"/>
          <w:szCs w:val="32"/>
        </w:rPr>
        <w:t>（四）近</w:t>
      </w:r>
      <w:r>
        <w:rPr>
          <w:rFonts w:eastAsia="仿宋_GB2312" w:cs="仿宋_GB2312" w:ascii="宋体" w:hAnsi="宋体"/>
          <w:color w:val="auto"/>
          <w:sz w:val="32"/>
          <w:szCs w:val="32"/>
        </w:rPr>
        <w:t>3</w:t>
      </w:r>
      <w:r>
        <w:rPr>
          <w:rFonts w:ascii="宋体" w:hAnsi="宋体" w:cs="仿宋_GB2312" w:eastAsia="仿宋_GB2312"/>
          <w:color w:val="auto"/>
          <w:sz w:val="32"/>
          <w:szCs w:val="32"/>
        </w:rPr>
        <w:t>年内无重大过失及被行政主管部门或司法机关处罚的不良记录。</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第三十</w:t>
      </w:r>
      <w:r>
        <w:rPr>
          <w:rFonts w:ascii="宋体" w:hAnsi="宋体" w:cs="仿宋_GB2312" w:eastAsia="仿宋_GB2312"/>
          <w:b/>
          <w:bCs/>
          <w:color w:val="auto"/>
          <w:sz w:val="32"/>
          <w:szCs w:val="32"/>
          <w:lang w:val="en-US" w:eastAsia="zh-CN"/>
        </w:rPr>
        <w:t>三</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基金托管银行应于每季度结束</w:t>
      </w:r>
      <w:r>
        <w:rPr>
          <w:rFonts w:eastAsia="仿宋_GB2312" w:cs="仿宋_GB2312" w:ascii="宋体" w:hAnsi="宋体"/>
          <w:color w:val="auto"/>
          <w:sz w:val="32"/>
          <w:szCs w:val="32"/>
        </w:rPr>
        <w:t>10</w:t>
      </w:r>
      <w:r>
        <w:rPr>
          <w:rFonts w:ascii="宋体" w:hAnsi="宋体" w:cs="仿宋_GB2312" w:eastAsia="仿宋_GB2312"/>
          <w:color w:val="auto"/>
          <w:sz w:val="32"/>
          <w:szCs w:val="32"/>
        </w:rPr>
        <w:t>日内向基金管理人报送基金托管报告，并于每个会计年度结束后</w:t>
      </w:r>
      <w:r>
        <w:rPr>
          <w:rFonts w:eastAsia="仿宋_GB2312" w:cs="仿宋_GB2312" w:ascii="宋体" w:hAnsi="宋体"/>
          <w:color w:val="auto"/>
          <w:sz w:val="32"/>
          <w:szCs w:val="32"/>
        </w:rPr>
        <w:t>1</w:t>
      </w:r>
      <w:r>
        <w:rPr>
          <w:rFonts w:ascii="宋体" w:hAnsi="宋体" w:cs="仿宋_GB2312" w:eastAsia="仿宋_GB2312"/>
          <w:color w:val="auto"/>
          <w:sz w:val="32"/>
          <w:szCs w:val="32"/>
        </w:rPr>
        <w:t>个月内报送上一年度的基金托管报告。发现资金出现异常流动现象时，基金托管银行应及时采取措施，暂停支付，并向基金管理人报告。</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ascii="宋体" w:hAnsi="宋体" w:cs="仿宋_GB2312" w:eastAsia="仿宋_GB2312"/>
          <w:b/>
          <w:bCs/>
          <w:color w:val="auto"/>
          <w:kern w:val="0"/>
          <w:sz w:val="32"/>
          <w:szCs w:val="32"/>
        </w:rPr>
        <w:t>第三十</w:t>
      </w:r>
      <w:r>
        <w:rPr>
          <w:rFonts w:ascii="宋体" w:hAnsi="宋体" w:cs="仿宋_GB2312" w:eastAsia="仿宋_GB2312"/>
          <w:b/>
          <w:bCs/>
          <w:color w:val="auto"/>
          <w:kern w:val="0"/>
          <w:sz w:val="32"/>
          <w:szCs w:val="32"/>
          <w:lang w:val="en-US" w:eastAsia="zh-CN"/>
        </w:rPr>
        <w:t>四</w:t>
      </w:r>
      <w:r>
        <w:rPr>
          <w:rFonts w:ascii="宋体" w:hAnsi="宋体" w:cs="仿宋_GB2312" w:eastAsia="仿宋_GB2312"/>
          <w:b/>
          <w:bCs/>
          <w:color w:val="auto"/>
          <w:kern w:val="0"/>
          <w:sz w:val="32"/>
          <w:szCs w:val="32"/>
        </w:rPr>
        <w:t>条</w:t>
      </w:r>
      <w:r>
        <w:rPr>
          <w:rFonts w:ascii="宋体" w:hAnsi="宋体" w:cs="仿宋_GB2312" w:eastAsia="仿宋_GB2312"/>
          <w:color w:val="auto"/>
          <w:kern w:val="0"/>
          <w:sz w:val="32"/>
          <w:szCs w:val="32"/>
        </w:rPr>
        <w:t xml:space="preserve"> </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管理人于每个会计年度结束后</w:t>
      </w:r>
      <w:r>
        <w:rPr>
          <w:rFonts w:eastAsia="仿宋_GB2312" w:cs="仿宋_GB2312" w:ascii="宋体" w:hAnsi="宋体"/>
          <w:color w:val="auto"/>
          <w:kern w:val="0"/>
          <w:sz w:val="32"/>
          <w:szCs w:val="32"/>
        </w:rPr>
        <w:t>3</w:t>
      </w:r>
      <w:r>
        <w:rPr>
          <w:rFonts w:ascii="宋体" w:hAnsi="宋体" w:cs="仿宋_GB2312" w:eastAsia="仿宋_GB2312"/>
          <w:color w:val="auto"/>
          <w:kern w:val="0"/>
          <w:sz w:val="32"/>
          <w:szCs w:val="32"/>
        </w:rPr>
        <w:t>个月内向</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合伙人提交《</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年度运营情况报告》和由会计师事务所出具的《</w:t>
      </w:r>
      <w:r>
        <w:rPr>
          <w:rFonts w:ascii="宋体" w:hAnsi="宋体" w:cs="仿宋_GB2312" w:eastAsia="仿宋_GB2312"/>
          <w:color w:val="auto"/>
          <w:kern w:val="0"/>
          <w:sz w:val="32"/>
          <w:szCs w:val="32"/>
          <w:lang w:eastAsia="zh-CN"/>
        </w:rPr>
        <w:t>产业基金</w:t>
      </w:r>
      <w:r>
        <w:rPr>
          <w:rFonts w:ascii="宋体" w:hAnsi="宋体" w:cs="仿宋_GB2312" w:eastAsia="仿宋_GB2312"/>
          <w:color w:val="auto"/>
          <w:kern w:val="0"/>
          <w:sz w:val="32"/>
          <w:szCs w:val="32"/>
        </w:rPr>
        <w:t>年度审计报告》。</w:t>
      </w:r>
    </w:p>
    <w:p>
      <w:pPr>
        <w:pStyle w:val="NormalWeb"/>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kern w:val="0"/>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三十五</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子基金管理人每季度向</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管理人提交《子基金运行报告》和季度会计报表，并于每个会计年度结束后</w:t>
      </w:r>
      <w:r>
        <w:rPr>
          <w:rFonts w:eastAsia="仿宋_GB2312" w:cs="仿宋_GB2312" w:ascii="宋体" w:hAnsi="宋体"/>
          <w:color w:val="auto"/>
          <w:sz w:val="32"/>
          <w:szCs w:val="32"/>
        </w:rPr>
        <w:t>3</w:t>
      </w:r>
      <w:r>
        <w:rPr>
          <w:rFonts w:ascii="宋体" w:hAnsi="宋体" w:cs="仿宋_GB2312" w:eastAsia="仿宋_GB2312"/>
          <w:color w:val="auto"/>
          <w:sz w:val="32"/>
          <w:szCs w:val="32"/>
        </w:rPr>
        <w:t>个月内向</w:t>
      </w:r>
      <w:r>
        <w:rPr>
          <w:rFonts w:ascii="宋体" w:hAnsi="宋体" w:cs="仿宋_GB2312" w:eastAsia="仿宋_GB2312"/>
          <w:color w:val="auto"/>
          <w:sz w:val="32"/>
          <w:szCs w:val="32"/>
          <w:lang w:eastAsia="zh-CN"/>
        </w:rPr>
        <w:t>产业基金</w:t>
      </w:r>
      <w:r>
        <w:rPr>
          <w:rFonts w:ascii="宋体" w:hAnsi="宋体" w:cs="仿宋_GB2312" w:eastAsia="仿宋_GB2312"/>
          <w:color w:val="auto"/>
          <w:sz w:val="32"/>
          <w:szCs w:val="32"/>
        </w:rPr>
        <w:t>管理人提交《子基金年度运行情况报告》和由会计师事务所出具的《子基金年度审计报告》。</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2"/>
          <w:sz w:val="32"/>
          <w:szCs w:val="32"/>
        </w:rPr>
      </w:pPr>
      <w:r>
        <w:rPr>
          <w:rFonts w:ascii="宋体" w:hAnsi="宋体" w:cs="仿宋_GB2312" w:eastAsia="仿宋_GB2312"/>
          <w:b/>
          <w:bCs/>
          <w:color w:val="auto"/>
          <w:spacing w:val="-7"/>
          <w:sz w:val="32"/>
          <w:szCs w:val="32"/>
        </w:rPr>
        <w:t>第</w:t>
      </w:r>
      <w:r>
        <w:rPr>
          <w:rFonts w:ascii="宋体" w:hAnsi="宋体" w:cs="仿宋_GB2312" w:eastAsia="仿宋_GB2312"/>
          <w:b/>
          <w:bCs/>
          <w:color w:val="auto"/>
          <w:spacing w:val="-7"/>
          <w:sz w:val="32"/>
          <w:szCs w:val="32"/>
          <w:lang w:val="en-US" w:eastAsia="zh-CN"/>
        </w:rPr>
        <w:t>三十六</w:t>
      </w:r>
      <w:r>
        <w:rPr>
          <w:rFonts w:ascii="宋体" w:hAnsi="宋体" w:cs="仿宋_GB2312" w:eastAsia="仿宋_GB2312"/>
          <w:b/>
          <w:bCs/>
          <w:color w:val="auto"/>
          <w:spacing w:val="-7"/>
          <w:sz w:val="32"/>
          <w:szCs w:val="32"/>
        </w:rPr>
        <w:t>条</w:t>
      </w:r>
      <w:r>
        <w:rPr>
          <w:rFonts w:ascii="宋体" w:hAnsi="宋体" w:cs="仿宋_GB2312" w:eastAsia="仿宋_GB2312"/>
          <w:color w:val="auto"/>
          <w:spacing w:val="-7"/>
          <w:sz w:val="32"/>
          <w:szCs w:val="32"/>
        </w:rPr>
        <w:t xml:space="preserve"> </w:t>
      </w:r>
      <w:r>
        <w:rPr>
          <w:rFonts w:ascii="宋体" w:hAnsi="宋体" w:cs="仿宋_GB2312" w:eastAsia="仿宋_GB2312"/>
          <w:color w:val="auto"/>
          <w:spacing w:val="-7"/>
          <w:sz w:val="32"/>
          <w:szCs w:val="32"/>
          <w:lang w:eastAsia="zh-CN"/>
        </w:rPr>
        <w:t>产业基金管理人</w:t>
      </w:r>
      <w:r>
        <w:rPr>
          <w:rFonts w:ascii="宋体" w:hAnsi="宋体" w:cs="仿宋_GB2312" w:eastAsia="仿宋_GB2312"/>
          <w:color w:val="auto"/>
          <w:spacing w:val="-7"/>
          <w:sz w:val="32"/>
          <w:szCs w:val="32"/>
        </w:rPr>
        <w:t>应加强对子基金的监管，及时掌</w:t>
      </w:r>
      <w:r>
        <w:rPr>
          <w:rFonts w:ascii="宋体" w:hAnsi="宋体" w:cs="仿宋_GB2312" w:eastAsia="仿宋_GB2312"/>
          <w:color w:val="auto"/>
          <w:spacing w:val="-2"/>
          <w:sz w:val="32"/>
          <w:szCs w:val="32"/>
        </w:rPr>
        <w:t>握子基金以及被投资项目的经营情况。</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pacing w:val="-7"/>
          <w:sz w:val="32"/>
          <w:szCs w:val="32"/>
        </w:rPr>
        <w:t>第</w:t>
      </w:r>
      <w:r>
        <w:rPr>
          <w:rFonts w:ascii="宋体" w:hAnsi="宋体" w:cs="仿宋_GB2312" w:eastAsia="仿宋_GB2312"/>
          <w:b/>
          <w:bCs/>
          <w:color w:val="auto"/>
          <w:spacing w:val="-7"/>
          <w:sz w:val="32"/>
          <w:szCs w:val="32"/>
          <w:lang w:val="en-US" w:eastAsia="zh-CN"/>
        </w:rPr>
        <w:t>三十七</w:t>
      </w:r>
      <w:r>
        <w:rPr>
          <w:rFonts w:ascii="宋体" w:hAnsi="宋体" w:cs="仿宋_GB2312" w:eastAsia="仿宋_GB2312"/>
          <w:b/>
          <w:bCs/>
          <w:color w:val="auto"/>
          <w:spacing w:val="-7"/>
          <w:sz w:val="32"/>
          <w:szCs w:val="32"/>
        </w:rPr>
        <w:t xml:space="preserve">条 </w:t>
      </w:r>
      <w:r>
        <w:rPr>
          <w:rFonts w:ascii="宋体" w:hAnsi="宋体" w:cs="仿宋_GB2312" w:eastAsia="仿宋_GB2312"/>
          <w:bCs/>
          <w:color w:val="auto"/>
          <w:spacing w:val="-7"/>
          <w:sz w:val="32"/>
          <w:szCs w:val="32"/>
        </w:rPr>
        <w:t>当子基金的运营出现违法违规、违反基金合同和偏离政策导向等情况时，</w:t>
      </w:r>
      <w:r>
        <w:rPr>
          <w:rFonts w:ascii="宋体" w:hAnsi="宋体" w:cs="仿宋_GB2312" w:eastAsia="仿宋_GB2312"/>
          <w:bCs/>
          <w:color w:val="auto"/>
          <w:spacing w:val="-7"/>
          <w:sz w:val="32"/>
          <w:szCs w:val="32"/>
          <w:lang w:eastAsia="zh-CN"/>
        </w:rPr>
        <w:t>产业基金</w:t>
      </w:r>
      <w:r>
        <w:rPr>
          <w:rFonts w:ascii="宋体" w:hAnsi="宋体" w:cs="仿宋_GB2312" w:eastAsia="仿宋_GB2312"/>
          <w:bCs/>
          <w:color w:val="auto"/>
          <w:spacing w:val="-7"/>
          <w:sz w:val="32"/>
          <w:szCs w:val="32"/>
        </w:rPr>
        <w:t>管理人应及时要求相应子基金管理人限期整改。</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pacing w:val="-7"/>
          <w:sz w:val="32"/>
          <w:szCs w:val="32"/>
        </w:rPr>
        <w:t>第</w:t>
      </w:r>
      <w:r>
        <w:rPr>
          <w:rFonts w:ascii="宋体" w:hAnsi="宋体" w:cs="仿宋_GB2312" w:eastAsia="仿宋_GB2312"/>
          <w:b/>
          <w:bCs/>
          <w:color w:val="auto"/>
          <w:spacing w:val="-7"/>
          <w:sz w:val="32"/>
          <w:szCs w:val="32"/>
          <w:lang w:val="en-US" w:eastAsia="zh-CN"/>
        </w:rPr>
        <w:t>三十八</w:t>
      </w:r>
      <w:r>
        <w:rPr>
          <w:rFonts w:ascii="宋体" w:hAnsi="宋体" w:cs="仿宋_GB2312" w:eastAsia="仿宋_GB2312"/>
          <w:b/>
          <w:bCs/>
          <w:color w:val="auto"/>
          <w:spacing w:val="-7"/>
          <w:sz w:val="32"/>
          <w:szCs w:val="32"/>
        </w:rPr>
        <w:t>条</w:t>
      </w:r>
      <w:r>
        <w:rPr>
          <w:rFonts w:ascii="宋体" w:hAnsi="宋体" w:cs="仿宋_GB2312" w:eastAsia="仿宋_GB2312"/>
          <w:color w:val="auto"/>
          <w:spacing w:val="-7"/>
          <w:sz w:val="32"/>
          <w:szCs w:val="32"/>
        </w:rPr>
        <w:t xml:space="preserve"> 有下列情形之一的，子基金管理人应重组或</w:t>
      </w:r>
      <w:r>
        <w:rPr>
          <w:rFonts w:ascii="宋体" w:hAnsi="宋体" w:cs="仿宋_GB2312" w:eastAsia="仿宋_GB2312"/>
          <w:color w:val="auto"/>
          <w:spacing w:val="-8"/>
          <w:sz w:val="32"/>
          <w:szCs w:val="32"/>
        </w:rPr>
        <w:t>更换：</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3"/>
          <w:sz w:val="32"/>
          <w:szCs w:val="32"/>
        </w:rPr>
        <w:t>（一）管理人解散、破产或者由接管人接管其资产的；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8"/>
          <w:sz w:val="32"/>
          <w:szCs w:val="32"/>
        </w:rPr>
        <w:t>（二）管理人丧失管理能力或者严重损害基金投资者利益</w:t>
      </w:r>
      <w:r>
        <w:rPr>
          <w:rFonts w:ascii="宋体" w:hAnsi="宋体" w:cs="仿宋_GB2312" w:eastAsia="仿宋_GB2312"/>
          <w:color w:val="auto"/>
          <w:spacing w:val="-21"/>
          <w:sz w:val="32"/>
          <w:szCs w:val="32"/>
        </w:rPr>
        <w:t>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8"/>
          <w:sz w:val="32"/>
          <w:szCs w:val="32"/>
        </w:rPr>
        <w:t>（三）按照基金合同约定，持有基金三分之二以上权益的投</w:t>
      </w:r>
      <w:r>
        <w:rPr>
          <w:rFonts w:ascii="宋体" w:hAnsi="宋体" w:cs="仿宋_GB2312" w:eastAsia="仿宋_GB2312"/>
          <w:color w:val="auto"/>
          <w:spacing w:val="-2"/>
          <w:sz w:val="32"/>
          <w:szCs w:val="32"/>
        </w:rPr>
        <w:t>资者要求管理人重组或更换的；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10"/>
          <w:sz w:val="32"/>
          <w:szCs w:val="32"/>
        </w:rPr>
        <w:t>（四）基金合同约定管理人重组或更换的其他情形。</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三十九</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应与其他出资人在基金合同</w:t>
      </w:r>
      <w:r>
        <w:rPr>
          <w:rFonts w:ascii="宋体" w:hAnsi="宋体" w:cs="仿宋_GB2312" w:eastAsia="仿宋_GB2312"/>
          <w:color w:val="auto"/>
          <w:spacing w:val="-3"/>
          <w:sz w:val="32"/>
          <w:szCs w:val="32"/>
        </w:rPr>
        <w:t>中约定，有下列情形之一的，</w:t>
      </w:r>
      <w:r>
        <w:rPr>
          <w:rFonts w:ascii="宋体" w:hAnsi="宋体" w:cs="仿宋_GB2312" w:eastAsia="仿宋_GB2312"/>
          <w:color w:val="auto"/>
          <w:spacing w:val="-3"/>
          <w:sz w:val="32"/>
          <w:szCs w:val="32"/>
          <w:lang w:eastAsia="zh-CN"/>
        </w:rPr>
        <w:t>产业基金</w:t>
      </w:r>
      <w:r>
        <w:rPr>
          <w:rFonts w:ascii="宋体" w:hAnsi="宋体" w:cs="仿宋_GB2312" w:eastAsia="仿宋_GB2312"/>
          <w:color w:val="auto"/>
          <w:spacing w:val="-3"/>
          <w:sz w:val="32"/>
          <w:szCs w:val="32"/>
        </w:rPr>
        <w:t>可选择退出：</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9"/>
          <w:sz w:val="32"/>
          <w:szCs w:val="32"/>
        </w:rPr>
        <w:t>（</w:t>
      </w:r>
      <w:r>
        <w:rPr>
          <w:rFonts w:ascii="宋体" w:hAnsi="宋体" w:cs="仿宋_GB2312" w:eastAsia="仿宋_GB2312"/>
          <w:color w:val="auto"/>
          <w:spacing w:val="-72"/>
          <w:sz w:val="32"/>
          <w:szCs w:val="32"/>
        </w:rPr>
        <w:t xml:space="preserve"> </w:t>
      </w:r>
      <w:r>
        <w:rPr>
          <w:rFonts w:ascii="宋体" w:hAnsi="宋体" w:cs="仿宋_GB2312" w:eastAsia="仿宋_GB2312"/>
          <w:color w:val="auto"/>
          <w:spacing w:val="-9"/>
          <w:sz w:val="32"/>
          <w:szCs w:val="32"/>
        </w:rPr>
        <w:t>一）基金合同签订后超过</w:t>
      </w:r>
      <w:r>
        <w:rPr>
          <w:rFonts w:ascii="宋体" w:hAnsi="宋体" w:cs="仿宋_GB2312" w:eastAsia="仿宋_GB2312"/>
          <w:color w:val="auto"/>
          <w:spacing w:val="-64"/>
          <w:sz w:val="32"/>
          <w:szCs w:val="32"/>
        </w:rPr>
        <w:t xml:space="preserve"> </w:t>
      </w:r>
      <w:r>
        <w:rPr>
          <w:rFonts w:eastAsia="仿宋_GB2312" w:cs="仿宋_GB2312" w:ascii="宋体" w:hAnsi="宋体"/>
          <w:color w:val="auto"/>
          <w:spacing w:val="-9"/>
          <w:sz w:val="32"/>
          <w:szCs w:val="32"/>
        </w:rPr>
        <w:t>6</w:t>
      </w:r>
      <w:r>
        <w:rPr>
          <w:rFonts w:ascii="宋体" w:hAnsi="宋体" w:cs="仿宋_GB2312" w:eastAsia="仿宋_GB2312"/>
          <w:color w:val="auto"/>
          <w:spacing w:val="-9"/>
          <w:sz w:val="32"/>
          <w:szCs w:val="32"/>
        </w:rPr>
        <w:t>个月，子基金未按规定程序</w:t>
      </w:r>
      <w:r>
        <w:rPr>
          <w:rFonts w:ascii="宋体" w:hAnsi="宋体" w:cs="仿宋_GB2312" w:eastAsia="仿宋_GB2312"/>
          <w:color w:val="auto"/>
          <w:spacing w:val="-2"/>
          <w:sz w:val="32"/>
          <w:szCs w:val="32"/>
        </w:rPr>
        <w:t>和时间要求完成设立或增资手续的；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4"/>
          <w:sz w:val="32"/>
          <w:szCs w:val="32"/>
        </w:rPr>
        <w:t>（二）子基金完成设立或增资手续后超过</w:t>
      </w:r>
      <w:r>
        <w:rPr>
          <w:rFonts w:eastAsia="仿宋_GB2312" w:cs="仿宋_GB2312" w:ascii="宋体" w:hAnsi="宋体"/>
          <w:color w:val="auto"/>
          <w:spacing w:val="-4"/>
          <w:sz w:val="32"/>
          <w:szCs w:val="32"/>
        </w:rPr>
        <w:t>12</w:t>
      </w:r>
      <w:r>
        <w:rPr>
          <w:rFonts w:ascii="宋体" w:hAnsi="宋体" w:cs="仿宋_GB2312" w:eastAsia="仿宋_GB2312"/>
          <w:color w:val="auto"/>
          <w:spacing w:val="-4"/>
          <w:sz w:val="32"/>
          <w:szCs w:val="32"/>
        </w:rPr>
        <w:t>个月，子基金</w:t>
      </w:r>
      <w:r>
        <w:rPr>
          <w:rFonts w:ascii="宋体" w:hAnsi="宋体" w:cs="仿宋_GB2312" w:eastAsia="仿宋_GB2312"/>
          <w:color w:val="auto"/>
          <w:spacing w:val="-2"/>
          <w:sz w:val="32"/>
          <w:szCs w:val="32"/>
        </w:rPr>
        <w:t>未开展投资业务的；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11"/>
          <w:sz w:val="32"/>
          <w:szCs w:val="32"/>
        </w:rPr>
        <w:t>（三）子基金投资领域和方向不符合政策目标的；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13"/>
          <w:sz w:val="32"/>
          <w:szCs w:val="32"/>
        </w:rPr>
        <w:t>（四）子基金未按基金合同约定投资的；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4"/>
          <w:sz w:val="32"/>
          <w:szCs w:val="32"/>
        </w:rPr>
        <w:t>（五）子基金管理人发生实质性变化的；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2"/>
          <w:sz w:val="32"/>
          <w:szCs w:val="32"/>
        </w:rPr>
      </w:pPr>
      <w:r>
        <w:rPr>
          <w:rFonts w:ascii="宋体" w:hAnsi="宋体" w:cs="仿宋_GB2312" w:eastAsia="仿宋_GB2312"/>
          <w:color w:val="auto"/>
          <w:spacing w:val="-5"/>
          <w:sz w:val="32"/>
          <w:szCs w:val="32"/>
        </w:rPr>
        <w:t>（六）子基金或基金管理人违反相关法律法规、政策规定</w:t>
      </w:r>
      <w:r>
        <w:rPr>
          <w:rFonts w:ascii="宋体" w:hAnsi="宋体" w:cs="仿宋_GB2312" w:eastAsia="仿宋_GB2312"/>
          <w:color w:val="auto"/>
          <w:spacing w:val="-2"/>
          <w:sz w:val="32"/>
          <w:szCs w:val="32"/>
        </w:rPr>
        <w:t>或基金合同约定其他情形的。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pacing w:val="-6"/>
          <w:sz w:val="32"/>
          <w:szCs w:val="32"/>
        </w:rPr>
        <w:t>第四十条</w:t>
      </w:r>
      <w:r>
        <w:rPr>
          <w:rFonts w:ascii="宋体" w:hAnsi="宋体" w:cs="仿宋_GB2312" w:eastAsia="仿宋_GB2312"/>
          <w:color w:val="auto"/>
          <w:spacing w:val="-6"/>
          <w:sz w:val="32"/>
          <w:szCs w:val="32"/>
        </w:rPr>
        <w:t xml:space="preserve"> 子基金在运营过程中出现下列情形之一的，应</w:t>
      </w:r>
      <w:r>
        <w:rPr>
          <w:rFonts w:ascii="宋体" w:hAnsi="宋体" w:cs="仿宋_GB2312" w:eastAsia="仿宋_GB2312"/>
          <w:color w:val="auto"/>
          <w:spacing w:val="-2"/>
          <w:sz w:val="32"/>
          <w:szCs w:val="32"/>
        </w:rPr>
        <w:t>终止运营并清算：</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5"/>
          <w:sz w:val="32"/>
          <w:szCs w:val="32"/>
        </w:rPr>
        <w:t>（一）</w:t>
      </w:r>
      <w:r>
        <w:rPr>
          <w:rFonts w:ascii="宋体" w:hAnsi="宋体" w:cs="仿宋_GB2312" w:eastAsia="仿宋_GB2312"/>
          <w:color w:val="auto"/>
          <w:spacing w:val="-12"/>
          <w:sz w:val="32"/>
          <w:szCs w:val="32"/>
        </w:rPr>
        <w:t>代表三分之二以上基金份额的合伙人（股东）要求终</w:t>
      </w:r>
      <w:r>
        <w:rPr>
          <w:rFonts w:ascii="宋体" w:hAnsi="宋体" w:cs="仿宋_GB2312" w:eastAsia="仿宋_GB2312"/>
          <w:color w:val="auto"/>
          <w:spacing w:val="-8"/>
          <w:sz w:val="32"/>
          <w:szCs w:val="32"/>
        </w:rPr>
        <w:t>止，并经合伙人（股东）会议决议通过的；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5"/>
          <w:sz w:val="32"/>
          <w:szCs w:val="32"/>
        </w:rPr>
        <w:t>（二）发生重大亏损，无力继续经营的；</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11"/>
          <w:sz w:val="32"/>
          <w:szCs w:val="32"/>
        </w:rPr>
      </w:pPr>
      <w:r>
        <w:rPr>
          <w:rFonts w:ascii="宋体" w:hAnsi="宋体" w:cs="仿宋_GB2312" w:eastAsia="仿宋_GB2312"/>
          <w:color w:val="auto"/>
          <w:spacing w:val="-11"/>
          <w:sz w:val="32"/>
          <w:szCs w:val="32"/>
        </w:rPr>
        <w:t>（三）出现重大违法违规行为，被管理机构责令终止的。</w:t>
      </w:r>
    </w:p>
    <w:p>
      <w:pPr>
        <w:pStyle w:val="1"/>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黑体" w:cs="黑体"/>
          <w:color w:val="auto"/>
          <w:spacing w:val="-11"/>
          <w:sz w:val="32"/>
          <w:szCs w:val="32"/>
        </w:rPr>
      </w:pPr>
      <w:r>
        <w:rPr>
          <w:rFonts w:eastAsia="黑体" w:cs="黑体" w:ascii="宋体" w:hAnsi="宋体"/>
          <w:color w:val="auto"/>
          <w:spacing w:val="-11"/>
          <w:sz w:val="32"/>
          <w:szCs w:val="32"/>
        </w:rPr>
      </w:r>
    </w:p>
    <w:p>
      <w:pPr>
        <w:pStyle w:val="1"/>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仿宋_GB2312" w:cs="仿宋_GB2312"/>
          <w:b/>
          <w:b/>
          <w:bCs/>
          <w:color w:val="auto"/>
          <w:sz w:val="32"/>
          <w:szCs w:val="32"/>
        </w:rPr>
      </w:pPr>
      <w:r>
        <w:rPr>
          <w:rFonts w:ascii="宋体" w:hAnsi="宋体" w:cs="黑体" w:eastAsia="黑体"/>
          <w:color w:val="auto"/>
          <w:spacing w:val="-11"/>
          <w:sz w:val="32"/>
          <w:szCs w:val="32"/>
        </w:rPr>
        <w:t>第七章  监督考核</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第四十</w:t>
      </w:r>
      <w:r>
        <w:rPr>
          <w:rFonts w:ascii="宋体" w:hAnsi="宋体" w:cs="仿宋_GB2312" w:eastAsia="仿宋_GB2312"/>
          <w:b/>
          <w:bCs/>
          <w:color w:val="auto"/>
          <w:sz w:val="32"/>
          <w:szCs w:val="32"/>
          <w:lang w:val="en-US" w:eastAsia="zh-CN"/>
        </w:rPr>
        <w:t>一</w:t>
      </w:r>
      <w:r>
        <w:rPr>
          <w:rFonts w:ascii="宋体" w:hAnsi="宋体" w:cs="仿宋_GB2312" w:eastAsia="仿宋_GB2312"/>
          <w:b/>
          <w:bCs/>
          <w:color w:val="auto"/>
          <w:sz w:val="32"/>
          <w:szCs w:val="32"/>
        </w:rPr>
        <w:t>条</w:t>
      </w:r>
      <w:r>
        <w:rPr>
          <w:rFonts w:ascii="宋体" w:hAnsi="宋体" w:cs="仿宋_GB2312" w:eastAsia="仿宋_GB2312"/>
          <w:color w:val="auto"/>
          <w:sz w:val="32"/>
          <w:szCs w:val="32"/>
        </w:rPr>
        <w:t xml:space="preserve"> </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应接受审计部门的审计和地方</w:t>
      </w:r>
      <w:r>
        <w:rPr>
          <w:rFonts w:ascii="宋体" w:hAnsi="宋体" w:cs="仿宋_GB2312" w:eastAsia="仿宋_GB2312"/>
          <w:color w:val="auto"/>
          <w:spacing w:val="-5"/>
          <w:sz w:val="32"/>
          <w:szCs w:val="32"/>
        </w:rPr>
        <w:t>金融监管部门的依法监管，审计部门对政策性基金不作为专</w:t>
      </w:r>
      <w:r>
        <w:rPr>
          <w:rFonts w:ascii="宋体" w:hAnsi="宋体" w:cs="仿宋_GB2312" w:eastAsia="仿宋_GB2312"/>
          <w:color w:val="auto"/>
          <w:spacing w:val="-4"/>
          <w:sz w:val="32"/>
          <w:szCs w:val="32"/>
        </w:rPr>
        <w:t>项资金审计。</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color w:val="auto"/>
          <w:spacing w:val="-5"/>
          <w:sz w:val="32"/>
          <w:szCs w:val="32"/>
        </w:rPr>
        <w:t>对任何单位和个人在管理中出现涉财政资金、地方金融管理的违纪违法行为，依照有关法律法规进</w:t>
      </w:r>
      <w:r>
        <w:rPr>
          <w:rFonts w:ascii="宋体" w:hAnsi="宋体" w:cs="仿宋_GB2312" w:eastAsia="仿宋_GB2312"/>
          <w:color w:val="auto"/>
          <w:spacing w:val="-13"/>
          <w:sz w:val="32"/>
          <w:szCs w:val="32"/>
        </w:rPr>
        <w:t>行严肃处理，并追究相应的法律责任；涉嫌犯罪的，移送司法机</w:t>
      </w:r>
      <w:r>
        <w:rPr>
          <w:rFonts w:ascii="宋体" w:hAnsi="宋体" w:cs="仿宋_GB2312" w:eastAsia="仿宋_GB2312"/>
          <w:color w:val="auto"/>
          <w:spacing w:val="-2"/>
          <w:sz w:val="32"/>
          <w:szCs w:val="32"/>
        </w:rPr>
        <w:t>关追究刑事责任。</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2"/>
          <w:sz w:val="32"/>
          <w:szCs w:val="32"/>
        </w:rPr>
      </w:pPr>
      <w:r>
        <w:rPr>
          <w:rFonts w:ascii="宋体" w:hAnsi="宋体" w:cs="仿宋_GB2312" w:eastAsia="仿宋_GB2312"/>
          <w:b/>
          <w:bCs/>
          <w:color w:val="auto"/>
          <w:spacing w:val="-5"/>
          <w:sz w:val="32"/>
          <w:szCs w:val="32"/>
        </w:rPr>
        <w:t>第四十</w:t>
      </w:r>
      <w:r>
        <w:rPr>
          <w:rFonts w:ascii="宋体" w:hAnsi="宋体" w:cs="仿宋_GB2312" w:eastAsia="仿宋_GB2312"/>
          <w:b/>
          <w:bCs/>
          <w:color w:val="auto"/>
          <w:spacing w:val="-5"/>
          <w:sz w:val="32"/>
          <w:szCs w:val="32"/>
          <w:lang w:val="en-US" w:eastAsia="zh-CN"/>
        </w:rPr>
        <w:t>二</w:t>
      </w:r>
      <w:r>
        <w:rPr>
          <w:rFonts w:ascii="宋体" w:hAnsi="宋体" w:cs="仿宋_GB2312" w:eastAsia="仿宋_GB2312"/>
          <w:b/>
          <w:bCs/>
          <w:color w:val="auto"/>
          <w:spacing w:val="-5"/>
          <w:sz w:val="32"/>
          <w:szCs w:val="32"/>
        </w:rPr>
        <w:t>条</w:t>
      </w:r>
      <w:r>
        <w:rPr>
          <w:rFonts w:ascii="宋体" w:hAnsi="宋体" w:cs="仿宋_GB2312" w:eastAsia="仿宋_GB2312"/>
          <w:color w:val="auto"/>
          <w:spacing w:val="-5"/>
          <w:sz w:val="32"/>
          <w:szCs w:val="32"/>
        </w:rPr>
        <w:t xml:space="preserve"> </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及参股子基金投资运作过程中，对已</w:t>
      </w:r>
      <w:r>
        <w:rPr>
          <w:rFonts w:ascii="宋体" w:hAnsi="宋体" w:cs="仿宋_GB2312" w:eastAsia="仿宋_GB2312"/>
          <w:color w:val="auto"/>
          <w:spacing w:val="-5"/>
          <w:sz w:val="32"/>
          <w:szCs w:val="32"/>
        </w:rPr>
        <w:t>履行规定程序作出决策的投资，如因不可抗力、政策变动或发生</w:t>
      </w:r>
      <w:r>
        <w:rPr>
          <w:rFonts w:ascii="宋体" w:hAnsi="宋体" w:cs="仿宋_GB2312" w:eastAsia="仿宋_GB2312"/>
          <w:color w:val="auto"/>
          <w:spacing w:val="-9"/>
          <w:sz w:val="32"/>
          <w:szCs w:val="32"/>
        </w:rPr>
        <w:t>市场（经营）风险等因素造成投资损失，不追究决策机构、主管</w:t>
      </w:r>
      <w:r>
        <w:rPr>
          <w:rFonts w:ascii="宋体" w:hAnsi="宋体" w:cs="仿宋_GB2312" w:eastAsia="仿宋_GB2312"/>
          <w:color w:val="auto"/>
          <w:spacing w:val="-5"/>
          <w:sz w:val="32"/>
          <w:szCs w:val="32"/>
        </w:rPr>
        <w:t>部门</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管理人</w:t>
      </w:r>
      <w:r>
        <w:rPr>
          <w:rFonts w:ascii="宋体" w:hAnsi="宋体" w:cs="仿宋_GB2312" w:eastAsia="仿宋_GB2312"/>
          <w:color w:val="auto"/>
          <w:spacing w:val="-5"/>
          <w:sz w:val="32"/>
          <w:szCs w:val="32"/>
          <w:lang w:val="en-US" w:eastAsia="zh-CN"/>
        </w:rPr>
        <w:t>和个人</w:t>
      </w:r>
      <w:r>
        <w:rPr>
          <w:rFonts w:ascii="宋体" w:hAnsi="宋体" w:cs="仿宋_GB2312" w:eastAsia="仿宋_GB2312"/>
          <w:color w:val="auto"/>
          <w:spacing w:val="-5"/>
          <w:sz w:val="32"/>
          <w:szCs w:val="32"/>
        </w:rPr>
        <w:t>责任。国有企业对</w:t>
      </w:r>
      <w:r>
        <w:rPr>
          <w:rFonts w:ascii="宋体" w:hAnsi="宋体" w:cs="仿宋_GB2312" w:eastAsia="仿宋_GB2312"/>
          <w:color w:val="auto"/>
          <w:spacing w:val="-5"/>
          <w:sz w:val="32"/>
          <w:szCs w:val="32"/>
          <w:lang w:eastAsia="zh-CN"/>
        </w:rPr>
        <w:t>产业基金</w:t>
      </w:r>
      <w:r>
        <w:rPr>
          <w:rFonts w:ascii="宋体" w:hAnsi="宋体" w:cs="仿宋_GB2312" w:eastAsia="仿宋_GB2312"/>
          <w:color w:val="auto"/>
          <w:spacing w:val="-5"/>
          <w:sz w:val="32"/>
          <w:szCs w:val="32"/>
        </w:rPr>
        <w:t>和子基金</w:t>
      </w:r>
      <w:r>
        <w:rPr>
          <w:rFonts w:ascii="宋体" w:hAnsi="宋体" w:cs="仿宋_GB2312" w:eastAsia="仿宋_GB2312"/>
          <w:color w:val="auto"/>
          <w:spacing w:val="-2"/>
          <w:sz w:val="32"/>
          <w:szCs w:val="32"/>
        </w:rPr>
        <w:t>出资部分适用上述规定。</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4"/>
          <w:sz w:val="32"/>
          <w:szCs w:val="32"/>
        </w:rPr>
      </w:pPr>
      <w:r>
        <w:rPr>
          <w:rFonts w:ascii="宋体" w:hAnsi="宋体" w:cs="仿宋_GB2312" w:eastAsia="仿宋_GB2312"/>
          <w:color w:val="auto"/>
          <w:spacing w:val="-4"/>
          <w:sz w:val="32"/>
          <w:szCs w:val="32"/>
        </w:rPr>
        <w:t>鼓励</w:t>
      </w:r>
      <w:r>
        <w:rPr>
          <w:rFonts w:ascii="宋体" w:hAnsi="宋体" w:cs="仿宋_GB2312" w:eastAsia="仿宋_GB2312"/>
          <w:color w:val="auto"/>
          <w:spacing w:val="-4"/>
          <w:sz w:val="32"/>
          <w:szCs w:val="32"/>
          <w:lang w:eastAsia="zh-CN"/>
        </w:rPr>
        <w:t>产业基金</w:t>
      </w:r>
      <w:r>
        <w:rPr>
          <w:rFonts w:ascii="宋体" w:hAnsi="宋体" w:cs="仿宋_GB2312" w:eastAsia="仿宋_GB2312"/>
          <w:color w:val="auto"/>
          <w:spacing w:val="-4"/>
          <w:sz w:val="32"/>
          <w:szCs w:val="32"/>
        </w:rPr>
        <w:t>及参股子基金投向</w:t>
      </w:r>
      <w:r>
        <w:rPr>
          <w:rFonts w:ascii="宋体" w:hAnsi="宋体" w:cs="仿宋_GB2312" w:eastAsia="仿宋_GB2312"/>
          <w:color w:val="auto"/>
          <w:spacing w:val="-4"/>
          <w:sz w:val="32"/>
          <w:szCs w:val="32"/>
          <w:lang w:val="en-US" w:eastAsia="zh-CN"/>
        </w:rPr>
        <w:t>新能源产业类</w:t>
      </w:r>
      <w:r>
        <w:rPr>
          <w:rFonts w:ascii="宋体" w:hAnsi="宋体" w:cs="仿宋_GB2312" w:eastAsia="仿宋_GB2312"/>
          <w:color w:val="auto"/>
          <w:spacing w:val="-4"/>
          <w:sz w:val="32"/>
          <w:szCs w:val="32"/>
        </w:rPr>
        <w:t>企业，对</w:t>
      </w:r>
      <w:r>
        <w:rPr>
          <w:rFonts w:ascii="宋体" w:hAnsi="宋体" w:cs="仿宋_GB2312" w:eastAsia="仿宋_GB2312"/>
          <w:color w:val="auto"/>
          <w:spacing w:val="-4"/>
          <w:sz w:val="32"/>
          <w:szCs w:val="32"/>
          <w:lang w:val="en-US" w:eastAsia="zh-CN"/>
        </w:rPr>
        <w:t>产业基金</w:t>
      </w:r>
      <w:r>
        <w:rPr>
          <w:rFonts w:ascii="宋体" w:hAnsi="宋体" w:cs="仿宋_GB2312" w:eastAsia="仿宋_GB2312"/>
          <w:color w:val="auto"/>
          <w:spacing w:val="-4"/>
          <w:sz w:val="32"/>
          <w:szCs w:val="32"/>
        </w:rPr>
        <w:t>及其参股子基金投资造成损失，但不存在利益输送和道德风险的，不追究决策机构、主管部门</w:t>
      </w:r>
      <w:r>
        <w:rPr>
          <w:rFonts w:ascii="宋体" w:hAnsi="宋体" w:cs="仿宋_GB2312" w:eastAsia="仿宋_GB2312"/>
          <w:color w:val="auto"/>
          <w:spacing w:val="-4"/>
          <w:sz w:val="32"/>
          <w:szCs w:val="32"/>
          <w:lang w:eastAsia="zh-CN"/>
        </w:rPr>
        <w:t>、产业基金</w:t>
      </w:r>
      <w:r>
        <w:rPr>
          <w:rFonts w:ascii="宋体" w:hAnsi="宋体" w:cs="仿宋_GB2312" w:eastAsia="仿宋_GB2312"/>
          <w:color w:val="auto"/>
          <w:spacing w:val="-4"/>
          <w:sz w:val="32"/>
          <w:szCs w:val="32"/>
        </w:rPr>
        <w:t>管理人和个人责任。</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7"/>
          <w:sz w:val="32"/>
          <w:szCs w:val="32"/>
        </w:rPr>
      </w:pPr>
      <w:r>
        <w:rPr>
          <w:rFonts w:ascii="宋体" w:hAnsi="宋体" w:cs="仿宋_GB2312" w:eastAsia="仿宋_GB2312"/>
          <w:b/>
          <w:bCs/>
          <w:color w:val="auto"/>
          <w:spacing w:val="-6"/>
          <w:sz w:val="32"/>
          <w:szCs w:val="32"/>
        </w:rPr>
        <w:t>第四十</w:t>
      </w:r>
      <w:r>
        <w:rPr>
          <w:rFonts w:ascii="宋体" w:hAnsi="宋体" w:cs="仿宋_GB2312" w:eastAsia="仿宋_GB2312"/>
          <w:b/>
          <w:bCs/>
          <w:color w:val="auto"/>
          <w:spacing w:val="-6"/>
          <w:sz w:val="32"/>
          <w:szCs w:val="32"/>
          <w:lang w:val="en-US" w:eastAsia="zh-CN"/>
        </w:rPr>
        <w:t>三</w:t>
      </w:r>
      <w:r>
        <w:rPr>
          <w:rFonts w:ascii="宋体" w:hAnsi="宋体" w:cs="仿宋_GB2312" w:eastAsia="仿宋_GB2312"/>
          <w:b/>
          <w:bCs/>
          <w:color w:val="auto"/>
          <w:spacing w:val="-6"/>
          <w:sz w:val="32"/>
          <w:szCs w:val="32"/>
        </w:rPr>
        <w:t>条</w:t>
      </w:r>
      <w:r>
        <w:rPr>
          <w:rFonts w:ascii="宋体" w:hAnsi="宋体" w:cs="仿宋_GB2312" w:eastAsia="仿宋_GB2312"/>
          <w:color w:val="auto"/>
          <w:spacing w:val="22"/>
          <w:sz w:val="32"/>
          <w:szCs w:val="32"/>
        </w:rPr>
        <w:t xml:space="preserve"> </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应建立绩效考核制度，按照基金投资规律和市场化原则，从整体效能出发，对子基金进行综合绩效评价。对子基金进行考核和排名，促进子基金管理人加强自律。</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pacing w:val="-7"/>
          <w:sz w:val="32"/>
          <w:szCs w:val="32"/>
        </w:rPr>
        <w:t>第四十</w:t>
      </w:r>
      <w:r>
        <w:rPr>
          <w:rFonts w:ascii="宋体" w:hAnsi="宋体" w:cs="仿宋_GB2312" w:eastAsia="仿宋_GB2312"/>
          <w:b/>
          <w:bCs/>
          <w:color w:val="auto"/>
          <w:spacing w:val="-7"/>
          <w:sz w:val="32"/>
          <w:szCs w:val="32"/>
          <w:lang w:val="en-US" w:eastAsia="zh-CN"/>
        </w:rPr>
        <w:t>四</w:t>
      </w:r>
      <w:r>
        <w:rPr>
          <w:rFonts w:ascii="宋体" w:hAnsi="宋体" w:cs="仿宋_GB2312" w:eastAsia="仿宋_GB2312"/>
          <w:b/>
          <w:bCs/>
          <w:color w:val="auto"/>
          <w:spacing w:val="-7"/>
          <w:sz w:val="32"/>
          <w:szCs w:val="32"/>
        </w:rPr>
        <w:t>条</w:t>
      </w:r>
      <w:r>
        <w:rPr>
          <w:rFonts w:ascii="宋体" w:hAnsi="宋体" w:cs="仿宋_GB2312" w:eastAsia="仿宋_GB2312"/>
          <w:color w:val="auto"/>
          <w:spacing w:val="-7"/>
          <w:sz w:val="32"/>
          <w:szCs w:val="32"/>
        </w:rPr>
        <w:t xml:space="preserve"> </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应建立</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失信清单制度，对弄虚作假严重违反基金管理规定或不按约定履行基金设立、出资、投资义务，导致</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退出的子基金管理人和子基金团队，纳入</w:t>
      </w:r>
      <w:r>
        <w:rPr>
          <w:rFonts w:ascii="宋体" w:hAnsi="宋体" w:cs="仿宋_GB2312" w:eastAsia="仿宋_GB2312"/>
          <w:color w:val="auto"/>
          <w:spacing w:val="-7"/>
          <w:sz w:val="32"/>
          <w:szCs w:val="32"/>
          <w:lang w:eastAsia="zh-CN"/>
        </w:rPr>
        <w:t>产业基金</w:t>
      </w:r>
      <w:r>
        <w:rPr>
          <w:rFonts w:ascii="宋体" w:hAnsi="宋体" w:cs="仿宋_GB2312" w:eastAsia="仿宋_GB2312"/>
          <w:color w:val="auto"/>
          <w:spacing w:val="-7"/>
          <w:sz w:val="32"/>
          <w:szCs w:val="32"/>
        </w:rPr>
        <w:t>失信清单。</w:t>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黑体" w:cs="黑体"/>
          <w:color w:val="auto"/>
          <w:sz w:val="32"/>
          <w:szCs w:val="32"/>
        </w:rPr>
      </w:pPr>
      <w:r>
        <w:rPr>
          <w:rFonts w:eastAsia="黑体" w:cs="黑体" w:ascii="宋体" w:hAnsi="宋体"/>
          <w:color w:val="auto"/>
          <w:sz w:val="32"/>
          <w:szCs w:val="32"/>
        </w:rPr>
      </w:r>
    </w:p>
    <w:p>
      <w:pPr>
        <w:pStyle w:val="NormalWeb"/>
        <w:keepNext w:val="false"/>
        <w:keepLines w:val="false"/>
        <w:pageBreakBefore w:val="false"/>
        <w:widowControl w:val="false"/>
        <w:kinsoku w:val="true"/>
        <w:overflowPunct w:val="true"/>
        <w:bidi w:val="0"/>
        <w:snapToGrid w:val="false"/>
        <w:spacing w:lineRule="exact" w:line="560"/>
        <w:ind w:firstLineChars="200" w:firstLine="0"/>
        <w:jc w:val="center"/>
        <w:textAlignment w:val="auto"/>
        <w:rPr>
          <w:rFonts w:ascii="宋体" w:hAnsi="宋体" w:eastAsia="仿宋_GB2312" w:cs="仿宋_GB2312"/>
          <w:b/>
          <w:b/>
          <w:bCs/>
          <w:color w:val="auto"/>
          <w:sz w:val="32"/>
          <w:szCs w:val="32"/>
        </w:rPr>
      </w:pPr>
      <w:r>
        <w:rPr>
          <w:rFonts w:ascii="宋体" w:hAnsi="宋体" w:cs="黑体" w:eastAsia="黑体"/>
          <w:color w:val="auto"/>
          <w:sz w:val="32"/>
          <w:szCs w:val="32"/>
        </w:rPr>
        <w:t>第八章  附则</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b/>
          <w:b/>
          <w:bCs/>
          <w:color w:val="auto"/>
          <w:sz w:val="32"/>
          <w:szCs w:val="32"/>
        </w:rPr>
      </w:pPr>
      <w:r>
        <w:rPr>
          <w:rFonts w:eastAsia="仿宋_GB2312" w:cs="仿宋_GB2312" w:ascii="宋体" w:hAnsi="宋体"/>
          <w:b/>
          <w:bCs/>
          <w:color w:val="auto"/>
          <w:sz w:val="32"/>
          <w:szCs w:val="32"/>
        </w:rPr>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四十五</w:t>
      </w:r>
      <w:r>
        <w:rPr>
          <w:rFonts w:ascii="宋体" w:hAnsi="宋体" w:cs="仿宋_GB2312" w:eastAsia="仿宋_GB2312"/>
          <w:b/>
          <w:bCs/>
          <w:color w:val="auto"/>
          <w:sz w:val="32"/>
          <w:szCs w:val="32"/>
        </w:rPr>
        <w:t xml:space="preserve">条 </w:t>
      </w:r>
      <w:r>
        <w:rPr>
          <w:rFonts w:ascii="宋体" w:hAnsi="宋体" w:cs="仿宋_GB2312" w:eastAsia="仿宋_GB2312"/>
          <w:color w:val="auto"/>
          <w:spacing w:val="-8"/>
          <w:sz w:val="32"/>
          <w:szCs w:val="32"/>
          <w:lang w:eastAsia="zh-CN"/>
        </w:rPr>
        <w:t>产业基金</w:t>
      </w:r>
      <w:r>
        <w:rPr>
          <w:rFonts w:ascii="宋体" w:hAnsi="宋体" w:cs="仿宋_GB2312" w:eastAsia="仿宋_GB2312"/>
          <w:color w:val="auto"/>
          <w:spacing w:val="-8"/>
          <w:sz w:val="32"/>
          <w:szCs w:val="32"/>
        </w:rPr>
        <w:t>与</w:t>
      </w:r>
      <w:r>
        <w:rPr>
          <w:rFonts w:ascii="宋体" w:hAnsi="宋体" w:cs="仿宋_GB2312" w:eastAsia="仿宋_GB2312"/>
          <w:color w:val="auto"/>
          <w:spacing w:val="-8"/>
          <w:sz w:val="32"/>
          <w:szCs w:val="32"/>
          <w:lang w:val="en-US" w:eastAsia="zh-CN"/>
        </w:rPr>
        <w:t>国家级</w:t>
      </w:r>
      <w:r>
        <w:rPr>
          <w:rFonts w:ascii="宋体" w:hAnsi="宋体" w:cs="仿宋_GB2312" w:eastAsia="仿宋_GB2312"/>
          <w:color w:val="auto"/>
          <w:spacing w:val="-8"/>
          <w:sz w:val="32"/>
          <w:szCs w:val="32"/>
        </w:rPr>
        <w:t>、</w:t>
      </w:r>
      <w:r>
        <w:rPr>
          <w:rFonts w:ascii="宋体" w:hAnsi="宋体" w:cs="仿宋_GB2312" w:eastAsia="仿宋_GB2312"/>
          <w:color w:val="auto"/>
          <w:spacing w:val="-8"/>
          <w:sz w:val="32"/>
          <w:szCs w:val="32"/>
          <w:lang w:val="en-US" w:eastAsia="zh-CN"/>
        </w:rPr>
        <w:t>山东</w:t>
      </w:r>
      <w:r>
        <w:rPr>
          <w:rFonts w:ascii="宋体" w:hAnsi="宋体" w:cs="仿宋_GB2312" w:eastAsia="仿宋_GB2312"/>
          <w:color w:val="auto"/>
          <w:spacing w:val="-8"/>
          <w:sz w:val="32"/>
          <w:szCs w:val="32"/>
        </w:rPr>
        <w:t>省级基金共同参股发起设立子</w:t>
      </w:r>
      <w:r>
        <w:rPr>
          <w:rFonts w:ascii="宋体" w:hAnsi="宋体" w:cs="仿宋_GB2312" w:eastAsia="仿宋_GB2312"/>
          <w:color w:val="auto"/>
          <w:spacing w:val="-1"/>
          <w:sz w:val="32"/>
          <w:szCs w:val="32"/>
        </w:rPr>
        <w:t>基金的，按照上级有关规定执行。</w:t>
      </w:r>
    </w:p>
    <w:p>
      <w:pPr>
        <w:pStyle w:val="1"/>
        <w:keepNext w:val="false"/>
        <w:keepLines w:val="false"/>
        <w:pageBreakBefore w:val="false"/>
        <w:widowControl w:val="false"/>
        <w:kinsoku w:val="true"/>
        <w:overflowPunct w:val="true"/>
        <w:bidi w:val="0"/>
        <w:snapToGrid w:val="false"/>
        <w:spacing w:lineRule="exact" w:line="560"/>
        <w:ind w:firstLineChars="200" w:firstLine="0"/>
        <w:textAlignment w:val="auto"/>
        <w:rPr>
          <w:rFonts w:ascii="宋体" w:hAnsi="宋体" w:eastAsia="仿宋_GB2312" w:cs="仿宋_GB2312"/>
          <w:color w:val="auto"/>
          <w:spacing w:val="-12"/>
          <w:sz w:val="32"/>
          <w:szCs w:val="32"/>
        </w:rPr>
      </w:pPr>
      <w:r>
        <w:rPr>
          <w:rFonts w:ascii="宋体" w:hAnsi="宋体" w:cs="仿宋_GB2312" w:eastAsia="仿宋_GB2312"/>
          <w:b/>
          <w:bCs/>
          <w:color w:val="auto"/>
          <w:sz w:val="32"/>
          <w:szCs w:val="32"/>
        </w:rPr>
        <w:t>第</w:t>
      </w:r>
      <w:r>
        <w:rPr>
          <w:rFonts w:ascii="宋体" w:hAnsi="宋体" w:cs="仿宋_GB2312" w:eastAsia="仿宋_GB2312"/>
          <w:b/>
          <w:bCs/>
          <w:color w:val="auto"/>
          <w:sz w:val="32"/>
          <w:szCs w:val="32"/>
          <w:lang w:val="en-US" w:eastAsia="zh-CN"/>
        </w:rPr>
        <w:t>四十六</w:t>
      </w:r>
      <w:r>
        <w:rPr>
          <w:rFonts w:ascii="宋体" w:hAnsi="宋体" w:cs="仿宋_GB2312" w:eastAsia="仿宋_GB2312"/>
          <w:b/>
          <w:bCs/>
          <w:color w:val="auto"/>
          <w:sz w:val="32"/>
          <w:szCs w:val="32"/>
        </w:rPr>
        <w:t>条</w:t>
      </w:r>
      <w:r>
        <w:rPr>
          <w:rFonts w:ascii="宋体" w:hAnsi="宋体" w:cs="仿宋_GB2312" w:eastAsia="仿宋_GB2312"/>
          <w:color w:val="auto"/>
          <w:spacing w:val="-12"/>
          <w:sz w:val="32"/>
          <w:szCs w:val="32"/>
        </w:rPr>
        <w:t xml:space="preserve"> 本办法自</w:t>
      </w:r>
      <w:r>
        <w:rPr>
          <w:rFonts w:eastAsia="仿宋_GB2312" w:cs="仿宋_GB2312" w:ascii="宋体" w:hAnsi="宋体"/>
          <w:color w:val="auto"/>
          <w:spacing w:val="-12"/>
          <w:sz w:val="32"/>
          <w:szCs w:val="32"/>
        </w:rPr>
        <w:t>2022</w:t>
      </w:r>
      <w:r>
        <w:rPr>
          <w:rFonts w:ascii="宋体" w:hAnsi="宋体" w:cs="仿宋_GB2312" w:eastAsia="仿宋_GB2312"/>
          <w:color w:val="auto"/>
          <w:spacing w:val="-12"/>
          <w:sz w:val="32"/>
          <w:szCs w:val="32"/>
        </w:rPr>
        <w:t>年</w:t>
      </w:r>
      <w:r>
        <w:rPr>
          <w:rFonts w:ascii="宋体" w:hAnsi="宋体" w:cs="仿宋_GB2312" w:eastAsia="仿宋_GB2312"/>
          <w:color w:val="auto"/>
          <w:spacing w:val="-12"/>
          <w:sz w:val="32"/>
          <w:szCs w:val="32"/>
          <w:lang w:eastAsia="zh-CN"/>
        </w:rPr>
        <w:t>【】</w:t>
      </w:r>
      <w:r>
        <w:rPr>
          <w:rFonts w:ascii="宋体" w:hAnsi="宋体" w:cs="仿宋_GB2312" w:eastAsia="仿宋_GB2312"/>
          <w:color w:val="auto"/>
          <w:spacing w:val="-12"/>
          <w:sz w:val="32"/>
          <w:szCs w:val="32"/>
        </w:rPr>
        <w:t>月【】日起施行，有效期至【】年【】月【】日。</w:t>
      </w:r>
      <w:r>
        <w:rPr>
          <w:rFonts w:ascii="宋体" w:hAnsi="宋体" w:cs="仿宋_GB2312" w:eastAsia="仿宋_GB2312"/>
          <w:color w:val="auto"/>
          <w:spacing w:val="-2"/>
          <w:sz w:val="32"/>
          <w:szCs w:val="32"/>
          <w:lang w:val="en-US" w:eastAsia="zh-CN"/>
        </w:rPr>
        <w:t>国家</w:t>
      </w:r>
      <w:r>
        <w:rPr>
          <w:rFonts w:ascii="宋体" w:hAnsi="宋体" w:cs="仿宋_GB2312" w:eastAsia="仿宋_GB2312"/>
          <w:color w:val="auto"/>
          <w:spacing w:val="-2"/>
          <w:sz w:val="32"/>
          <w:szCs w:val="32"/>
        </w:rPr>
        <w:t>、</w:t>
      </w:r>
      <w:r>
        <w:rPr>
          <w:rFonts w:ascii="宋体" w:hAnsi="宋体" w:cs="仿宋_GB2312" w:eastAsia="仿宋_GB2312"/>
          <w:color w:val="auto"/>
          <w:spacing w:val="-2"/>
          <w:sz w:val="32"/>
          <w:szCs w:val="32"/>
          <w:lang w:val="en-US" w:eastAsia="zh-CN"/>
        </w:rPr>
        <w:t>山东</w:t>
      </w:r>
      <w:r>
        <w:rPr>
          <w:rFonts w:ascii="宋体" w:hAnsi="宋体" w:cs="仿宋_GB2312" w:eastAsia="仿宋_GB2312"/>
          <w:color w:val="auto"/>
          <w:spacing w:val="-2"/>
          <w:sz w:val="32"/>
          <w:szCs w:val="32"/>
        </w:rPr>
        <w:t>省关于</w:t>
      </w:r>
      <w:r>
        <w:rPr>
          <w:rFonts w:ascii="宋体" w:hAnsi="宋体" w:cs="仿宋_GB2312" w:eastAsia="仿宋_GB2312"/>
          <w:color w:val="auto"/>
          <w:spacing w:val="-2"/>
          <w:sz w:val="32"/>
          <w:szCs w:val="32"/>
          <w:lang w:eastAsia="zh-CN"/>
        </w:rPr>
        <w:t>产业基金</w:t>
      </w:r>
      <w:r>
        <w:rPr>
          <w:rFonts w:ascii="宋体" w:hAnsi="宋体" w:cs="仿宋_GB2312" w:eastAsia="仿宋_GB2312"/>
          <w:color w:val="auto"/>
          <w:spacing w:val="-2"/>
          <w:sz w:val="32"/>
          <w:szCs w:val="32"/>
        </w:rPr>
        <w:t>管理有明确规定的，执行</w:t>
      </w:r>
      <w:r>
        <w:rPr>
          <w:rFonts w:ascii="宋体" w:hAnsi="宋体" w:cs="仿宋_GB2312" w:eastAsia="仿宋_GB2312"/>
          <w:color w:val="auto"/>
          <w:spacing w:val="-2"/>
          <w:sz w:val="32"/>
          <w:szCs w:val="32"/>
          <w:lang w:val="en-US" w:eastAsia="zh-CN"/>
        </w:rPr>
        <w:t>国家</w:t>
      </w:r>
      <w:r>
        <w:rPr>
          <w:rFonts w:ascii="宋体" w:hAnsi="宋体" w:cs="仿宋_GB2312" w:eastAsia="仿宋_GB2312"/>
          <w:color w:val="auto"/>
          <w:spacing w:val="-2"/>
          <w:sz w:val="32"/>
          <w:szCs w:val="32"/>
        </w:rPr>
        <w:t>、省规定。</w:t>
      </w:r>
      <w:r>
        <w:rPr>
          <w:rFonts w:ascii="宋体" w:hAnsi="宋体" w:cs="仿宋_GB2312" w:eastAsia="仿宋_GB2312"/>
          <w:color w:val="auto"/>
          <w:spacing w:val="-3"/>
          <w:sz w:val="32"/>
          <w:szCs w:val="32"/>
        </w:rPr>
        <w:t>在本办法有效期内，如遇</w:t>
      </w:r>
      <w:r>
        <w:rPr>
          <w:rFonts w:ascii="宋体" w:hAnsi="宋体" w:cs="仿宋_GB2312" w:eastAsia="仿宋_GB2312"/>
          <w:color w:val="auto"/>
          <w:spacing w:val="-3"/>
          <w:sz w:val="32"/>
          <w:szCs w:val="32"/>
          <w:lang w:val="en-US" w:eastAsia="zh-CN"/>
        </w:rPr>
        <w:t>国家</w:t>
      </w:r>
      <w:r>
        <w:rPr>
          <w:rFonts w:ascii="宋体" w:hAnsi="宋体" w:cs="仿宋_GB2312" w:eastAsia="仿宋_GB2312"/>
          <w:color w:val="auto"/>
          <w:spacing w:val="-3"/>
          <w:sz w:val="32"/>
          <w:szCs w:val="32"/>
        </w:rPr>
        <w:t>、省</w:t>
      </w:r>
      <w:r>
        <w:rPr>
          <w:rFonts w:ascii="宋体" w:hAnsi="宋体" w:cs="仿宋_GB2312" w:eastAsia="仿宋_GB2312"/>
          <w:color w:val="auto"/>
          <w:spacing w:val="-2"/>
          <w:sz w:val="32"/>
          <w:szCs w:val="32"/>
          <w:lang w:val="en-US"/>
        </w:rPr>
        <w:t>有关</w:t>
      </w:r>
      <w:r>
        <w:rPr>
          <w:rFonts w:ascii="宋体" w:hAnsi="宋体" w:cs="仿宋_GB2312" w:eastAsia="仿宋_GB2312"/>
          <w:color w:val="auto"/>
          <w:spacing w:val="-2"/>
          <w:sz w:val="32"/>
          <w:szCs w:val="32"/>
        </w:rPr>
        <w:t>规定调整的，从其规定。</w:t>
      </w:r>
    </w:p>
    <w:sectPr>
      <w:footerReference w:type="default" r:id="rId2"/>
      <w:type w:val="nextPage"/>
      <w:pgSz w:w="11906" w:h="16838"/>
      <w:pgMar w:left="1531" w:right="1531" w:header="0" w:top="2098" w:footer="850" w:bottom="1984" w:gutter="0"/>
      <w:pgNumType w:fmt="decimal"/>
      <w:formProt w:val="false"/>
      <w:textDirection w:val="lrTb"/>
      <w:docGrid w:type="lines" w:linePitch="312" w:charSpace="18984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86"/>
    <w:family w:val="roman"/>
    <w:pitch w:val="variable"/>
  </w:font>
  <w:font w:name="Times New Roman">
    <w:charset w:val="86"/>
    <w:family w:val="roman"/>
    <w:pitch w:val="variable"/>
  </w:font>
  <w:font w:name="宋体">
    <w:charset w:val="86"/>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11"/>
      <w:jc w:val="center"/>
      <w:rPr/>
    </w:pPr>
    <w:r>
      <w:rPr/>
      <mc:AlternateContent>
        <mc:Choice Requires="wps">
          <w:drawing>
            <wp:anchor behindDoc="1" distT="0" distB="0" distL="0" distR="0" simplePos="0" locked="0" layoutInCell="0" allowOverlap="1" relativeHeight="16">
              <wp:simplePos x="0" y="0"/>
              <wp:positionH relativeFrom="margin">
                <wp:align>center</wp:align>
              </wp:positionH>
              <wp:positionV relativeFrom="paragraph">
                <wp:posOffset>635</wp:posOffset>
              </wp:positionV>
              <wp:extent cx="1831340" cy="434340"/>
              <wp:effectExtent l="0" t="0" r="0" b="0"/>
              <wp:wrapNone/>
              <wp:docPr id="1" name="文本框 1"/>
              <a:graphic xmlns:a="http://schemas.openxmlformats.org/drawingml/2006/main">
                <a:graphicData uri="http://schemas.microsoft.com/office/word/2010/wordprocessingShape">
                  <wps:wsp>
                    <wps:cNvSpPr/>
                    <wps:spPr>
                      <a:xfrm>
                        <a:off x="0" y="0"/>
                        <a:ext cx="1830600" cy="4338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11"/>
                            <w:jc w:val="center"/>
                            <w:rPr>
                              <w:rFonts w:asciiTheme="minorEastAsia" w:hAnsiTheme="minorEastAsia"/>
                              <w:sz w:val="28"/>
                              <w:szCs w:val="28"/>
                            </w:rPr>
                          </w:pPr>
                          <w:sdt>
                            <w:sdtPr>
                              <w:id w:val="2051450194"/>
                            </w:sdtPr>
                            <w:sdtContent>
                              <w:r>
                                <w:rPr>
                                  <w:rFonts w:ascii="宋体" w:hAnsi="宋体"/>
                                  <w:color w:val="000000"/>
                                  <w:sz w:val="28"/>
                                  <w:szCs w:val="28"/>
                                </w:rPr>
                                <w:fldChar w:fldCharType="begin"/>
                              </w:r>
                              <w:r>
                                <w:rPr>
                                  <w:sz w:val="28"/>
                                  <w:szCs w:val="28"/>
                                  <w:rFonts w:ascii="宋体" w:hAnsi="宋体"/>
                                  <w:color w:val="000000"/>
                                </w:rPr>
                                <w:instrText> PAGE </w:instrText>
                              </w:r>
                              <w:r>
                                <w:rPr>
                                  <w:sz w:val="28"/>
                                  <w:szCs w:val="28"/>
                                  <w:rFonts w:ascii="宋体" w:hAnsi="宋体"/>
                                  <w:color w:val="000000"/>
                                </w:rPr>
                                <w:fldChar w:fldCharType="separate"/>
                              </w:r>
                              <w:r>
                                <w:rPr>
                                  <w:sz w:val="28"/>
                                  <w:szCs w:val="28"/>
                                  <w:rFonts w:ascii="宋体" w:hAnsi="宋体"/>
                                  <w:color w:val="000000"/>
                                </w:rPr>
                                <w:t>15</w:t>
                              </w:r>
                              <w:r>
                                <w:rPr>
                                  <w:sz w:val="28"/>
                                  <w:szCs w:val="28"/>
                                  <w:rFonts w:ascii="宋体" w:hAnsi="宋体"/>
                                  <w:color w:val="000000"/>
                                </w:rPr>
                                <w:fldChar w:fldCharType="end"/>
                              </w:r>
                            </w:sdtContent>
                          </w:sdt>
                        </w:p>
                        <w:p>
                          <w:pPr>
                            <w:pStyle w:val="Style14"/>
                            <w:rPr>
                              <w:rFonts w:asciiTheme="minorEastAsia" w:hAnsiTheme="minorEastAsia"/>
                              <w:sz w:val="28"/>
                              <w:szCs w:val="28"/>
                            </w:rPr>
                          </w:pPr>
                          <w:r>
                            <w:rPr>
                              <w:rFonts w:asciiTheme="minorEastAsia" w:hAnsiTheme="minorEastAsia"/>
                              <w:sz w:val="28"/>
                              <w:szCs w:val="28"/>
                            </w:rPr>
                          </w:r>
                        </w:p>
                      </w:txbxContent>
                    </wps:txbx>
                    <wps:bodyPr lIns="0" rIns="0" tIns="0" bIns="0">
                      <a:spAutoFit/>
                    </wps:bodyPr>
                  </wps:wsp>
                </a:graphicData>
              </a:graphic>
            </wp:anchor>
          </w:drawing>
        </mc:Choice>
        <mc:Fallback>
          <w:pict>
            <v:rect id="shape_0" ID="文本框 1" stroked="f" style="position:absolute;margin-left:149pt;margin-top:0.05pt;width:144.1pt;height:34.1pt;mso-wrap-style:square;v-text-anchor:top;mso-position-horizontal:center;mso-position-horizontal-relative:margin">
              <v:fill o:detectmouseclick="t" on="false"/>
              <v:stroke color="#3465a4" weight="6480" joinstyle="round" endcap="flat"/>
              <v:textbox>
                <w:txbxContent>
                  <w:p>
                    <w:pPr>
                      <w:pStyle w:val="11"/>
                      <w:jc w:val="center"/>
                      <w:rPr>
                        <w:rFonts w:asciiTheme="minorEastAsia" w:hAnsiTheme="minorEastAsia"/>
                        <w:sz w:val="28"/>
                        <w:szCs w:val="28"/>
                      </w:rPr>
                    </w:pPr>
                    <w:sdt>
                      <w:sdtPr>
                        <w:id w:val="1420816126"/>
                      </w:sdtPr>
                      <w:sdtContent>
                        <w:r>
                          <w:rPr>
                            <w:rFonts w:ascii="宋体" w:hAnsi="宋体"/>
                            <w:color w:val="000000"/>
                            <w:sz w:val="28"/>
                            <w:szCs w:val="28"/>
                          </w:rPr>
                          <w:fldChar w:fldCharType="begin"/>
                        </w:r>
                        <w:r>
                          <w:rPr>
                            <w:sz w:val="28"/>
                            <w:szCs w:val="28"/>
                            <w:rFonts w:ascii="宋体" w:hAnsi="宋体"/>
                            <w:color w:val="000000"/>
                          </w:rPr>
                          <w:instrText> PAGE </w:instrText>
                        </w:r>
                        <w:r>
                          <w:rPr>
                            <w:sz w:val="28"/>
                            <w:szCs w:val="28"/>
                            <w:rFonts w:ascii="宋体" w:hAnsi="宋体"/>
                            <w:color w:val="000000"/>
                          </w:rPr>
                          <w:fldChar w:fldCharType="separate"/>
                        </w:r>
                        <w:r>
                          <w:rPr>
                            <w:sz w:val="28"/>
                            <w:szCs w:val="28"/>
                            <w:rFonts w:ascii="宋体" w:hAnsi="宋体"/>
                            <w:color w:val="000000"/>
                          </w:rPr>
                          <w:t>15</w:t>
                        </w:r>
                        <w:r>
                          <w:rPr>
                            <w:sz w:val="28"/>
                            <w:szCs w:val="28"/>
                            <w:rFonts w:ascii="宋体" w:hAnsi="宋体"/>
                            <w:color w:val="000000"/>
                          </w:rPr>
                          <w:fldChar w:fldCharType="end"/>
                        </w:r>
                      </w:sdtContent>
                    </w:sdt>
                  </w:p>
                  <w:p>
                    <w:pPr>
                      <w:pStyle w:val="Style14"/>
                      <w:rPr>
                        <w:rFonts w:asciiTheme="minorEastAsia" w:hAnsiTheme="minorEastAsia"/>
                        <w:sz w:val="28"/>
                        <w:szCs w:val="28"/>
                      </w:rPr>
                    </w:pPr>
                    <w:r>
                      <w:rPr>
                        <w:rFonts w:asciiTheme="minorEastAsia" w:hAnsiTheme="minorEastAsia"/>
                        <w:sz w:val="28"/>
                        <w:szCs w:val="28"/>
                      </w:rPr>
                    </w:r>
                  </w:p>
                </w:txbxContent>
              </v:textbox>
              <w10:wrap type="none"/>
            </v:rect>
          </w:pict>
        </mc:Fallback>
      </mc:AlternateContent>
    </w:r>
  </w:p>
  <w:p>
    <w:pPr>
      <w:pStyle w:val="11"/>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2"/>
      <w:numFmt w:val="taiwaneseCountingThousand"/>
      <w:suff w:val="space"/>
      <w:lvlText w:val="第%1章"/>
      <w:lvlJc w:val="left"/>
      <w:pPr>
        <w:tabs>
          <w:tab w:val="num" w:pos="0"/>
        </w:tabs>
        <w:ind w:left="0" w:hanging="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420"/>
  <w:autoHyphenation w:val="true"/>
  <w:compat>
    <w:doNotExpandShiftReturn/>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US" w:eastAsia="zh-CN" w:bidi="hi-IN"/>
      </w:rPr>
    </w:rPrDefault>
    <w:pPrDefault>
      <w:pPr>
        <w:suppressAutoHyphens w:val="fals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9"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99" w:semiHidden="0" w:qFormat="1"/>
    <w:lsdException w:name="header" w:uiPriority="99" w:semiHidden="0" w:unhideWhenUsed="0" w:qFormat="1"/>
    <w:lsdException w:name="footer" w:uiPriority="99" w:semiHidden="0" w:unhideWhenUsed="0" w:qFormat="1"/>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qFormat="1"/>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1" w:semiHidden="0" w:qFormat="1"/>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99" w:semiHidden="0" w:qFormat="1"/>
    <w:lsdException w:name="annotation subject" w:uiPriority="0" w:semiHidden="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semiHidden="0" w:unhideWhenUsed="0" w:qFormat="1"/>
    <w:lsdException w:name="Table Grid" w:uiPriority="0" w:semiHidden="0" w:unhideWhenUsed="0" w:qFormat="1"/>
    <w:lsdException w:name="Table Theme" w:uiPriority="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Web">
    <w:name w:val="Normal (Web)"/>
    <w:basedOn w:val="1"/>
    <w:uiPriority w:val="0"/>
    <w:qFormat/>
    <w:pPr/>
    <w:rPr>
      <w:sz w:val="24"/>
    </w:rPr>
  </w:style>
  <w:style w:type="paragraph" w:styleId="1" w:customStyle="1">
    <w:name w:val="正文1"/>
    <w:uiPriority w:val="0"/>
    <w:qFormat/>
    <w:pPr>
      <w:widowControl w:val="false"/>
      <w:suppressAutoHyphens w:val="false"/>
      <w:bidi w:val="0"/>
      <w:spacing w:beforeLines="0" w:beforeAutospacing="0" w:afterLines="0" w:afterAutospacing="0"/>
      <w:jc w:val="both"/>
    </w:pPr>
    <w:rPr>
      <w:rFonts w:ascii="Calibri" w:hAnsi="Calibri" w:eastAsia="宋体" w:cs="宋体" w:asciiTheme="minorHAnsi" w:cstheme="minorBidi" w:eastAsiaTheme="minorEastAsia" w:hAnsiTheme="minorHAnsi"/>
      <w:color w:val="auto"/>
      <w:kern w:val="2"/>
      <w:sz w:val="21"/>
      <w:szCs w:val="24"/>
      <w:lang w:val="en-US" w:eastAsia="zh-CN" w:bidi="ar-SA"/>
    </w:rPr>
  </w:style>
  <w:style w:type="paragraph" w:styleId="11" w:customStyle="1">
    <w:name w:val="页脚1"/>
    <w:basedOn w:val="1"/>
    <w:uiPriority w:val="99"/>
    <w:qFormat/>
    <w:pPr>
      <w:tabs>
        <w:tab w:val="clear" w:pos="420"/>
        <w:tab w:val="center" w:pos="4153" w:leader="none"/>
        <w:tab w:val="right" w:pos="8306" w:leader="none"/>
      </w:tabs>
      <w:snapToGrid w:val="false"/>
      <w:jc w:val="left"/>
    </w:pPr>
    <w:rPr>
      <w:sz w:val="18"/>
      <w:szCs w:val="18"/>
    </w:rPr>
  </w:style>
  <w:style w:type="paragraph" w:styleId="Style14" w:customStyle="1">
    <w:name w:val="框架内容"/>
    <w:basedOn w:val="1"/>
    <w:uiPriority w:val="0"/>
    <w:qFormat/>
    <w:pPr/>
    <w:rPr/>
  </w:style>
  <w:style w:type="table" w:default="1" w:styleId="5">
    <w:name w:val="Normal Table"/>
    <w:uiPriority w:val="99"/>
    <w:unhideWhenUsed/>
    <w:qFormat/>
    <w:tblPr>
      <w:tblCellMar>
        <w:top w:w="0" w:type="dxa"/>
        <w:left w:w="108" w:type="dxa"/>
        <w:bottom w:w="0" w:type="dxa"/>
        <w:right w:w="108" w:type="dxa"/>
      </w:tblCellMar>
    </w:tblPr>
  </w:style>
  <w:style w:type="table" w:styleId="6">
    <w:name w:val="Table Grid"/>
    <w:basedOn w:val="5"/>
    <w:uiPriority w:val="0"/>
    <w:qFormat/>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85</TotalTime>
  <Application>LanShanOffice/1.4.1.10907$Windows_X86_64 LibreOffice_project/9c1eafdd6df65fffc15a828d5a9fd7d92823ade4</Application>
  <AppVersion>15.0000</AppVersion>
  <Pages>15</Pages>
  <Words>6656</Words>
  <Characters>6705</Characters>
  <CharactersWithSpaces>6792</CharactersWithSpaces>
  <Paragraphs>122</Paragraphs>
  <Company>微软中国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2022-03-01T16:47:00Z</dcterms:created>
  <dc:creator>lenovo</dc:creator>
  <dc:description/>
  <dc:language>zh-CN</dc:language>
  <cp:lastModifiedBy/>
  <cp:lastPrinted>2022-09-16T09:26:00Z</cp:lastPrinted>
  <dcterms:modified xsi:type="dcterms:W3CDTF">2022-09-23T10:48:42Z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E0BF599E3EF044CE93224233D9C1FFA0</vt:lpwstr>
  </property>
  <property fmtid="{D5CDD505-2E9C-101B-9397-08002B2CF9AE}" pid="3" name="KSOProductBuildVer">
    <vt:lpwstr>2052-11.1.0.12358</vt:lpwstr>
  </property>
</Properties>
</file>