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E85C4B">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14:paraId="6A72DE0C">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14:paraId="7EA39DC5">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乳市监处罚〔2026〕202号</w:t>
      </w:r>
      <w:bookmarkEnd w:id="2"/>
    </w:p>
    <w:p w14:paraId="01D329AB">
      <w:pPr>
        <w:spacing w:before="315" w:beforeLines="100" w:line="540" w:lineRule="exact"/>
        <w:ind w:left="142" w:hanging="142"/>
        <w:rPr>
          <w:rFonts w:hint="eastAsia" w:ascii="Times New Roman" w:hAnsi="Times New Roman" w:eastAsia="仿宋_GB2312" w:cs="Mongolian Baiti"/>
          <w:b w:val="0"/>
          <w:bCs/>
          <w:color w:val="auto"/>
          <w:sz w:val="32"/>
          <w:szCs w:val="32"/>
          <w:u w:val="none"/>
          <w:lang w:val="en-US" w:eastAsia="zh-CN"/>
        </w:rPr>
      </w:pPr>
      <w:r>
        <w:rPr>
          <w:rFonts w:hint="eastAsia" w:ascii="Times New Roman" w:hAnsi="Times New Roman" w:eastAsia="仿宋_GB2312" w:cs="Mongolian Baiti"/>
          <w:b w:val="0"/>
          <w:bCs/>
          <w:color w:val="auto"/>
          <w:kern w:val="1"/>
          <w:sz w:val="32"/>
          <w:szCs w:val="32"/>
          <w:u w:val="none"/>
        </w:rPr>
        <w:t>当事人：</w:t>
      </w:r>
      <w:bookmarkStart w:id="3" w:name="CALCULATE—DSR—tAjDsrs_cMc"/>
      <w:r>
        <w:rPr>
          <w:rFonts w:hint="eastAsia" w:ascii="Times New Roman" w:hAnsi="Times New Roman" w:eastAsia="仿宋_GB2312" w:cs="Mongolian Baiti"/>
          <w:b w:val="0"/>
          <w:color w:val="auto"/>
          <w:sz w:val="32"/>
          <w:u w:val="none"/>
        </w:rPr>
        <w:t>乳山金路矿业有限公司</w:t>
      </w:r>
      <w:bookmarkEnd w:id="3"/>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p>
    <w:p w14:paraId="3CFD1A68">
      <w:pPr>
        <w:spacing w:line="540" w:lineRule="exact"/>
        <w:ind w:left="140" w:hanging="140"/>
        <w:rPr>
          <w:rFonts w:hint="eastAsia" w:ascii="Times New Roman" w:hAnsi="Times New Roman" w:eastAsia="仿宋_GB2312" w:cs="Mongolian Baiti"/>
          <w:b w:val="0"/>
          <w:bCs/>
          <w:color w:val="auto"/>
          <w:kern w:val="1"/>
          <w:sz w:val="32"/>
          <w:szCs w:val="32"/>
          <w:u w:val="none"/>
        </w:rPr>
      </w:pPr>
      <w:r>
        <w:rPr>
          <w:rFonts w:hint="eastAsia" w:ascii="Times New Roman" w:hAnsi="Times New Roman" w:eastAsia="仿宋_GB2312" w:cs="微软雅黑"/>
          <w:b w:val="0"/>
          <w:bCs/>
          <w:color w:val="auto"/>
          <w:kern w:val="1"/>
          <w:sz w:val="32"/>
          <w:szCs w:val="32"/>
          <w:u w:val="none"/>
        </w:rPr>
        <w:t>主体资格证照</w:t>
      </w:r>
      <w:r>
        <w:rPr>
          <w:rFonts w:hint="eastAsia" w:ascii="Times New Roman" w:hAnsi="Times New Roman" w:eastAsia="仿宋_GB2312" w:cs="Mongolian Baiti"/>
          <w:b w:val="0"/>
          <w:bCs/>
          <w:color w:val="auto"/>
          <w:kern w:val="1"/>
          <w:sz w:val="32"/>
          <w:szCs w:val="32"/>
          <w:u w:val="none"/>
        </w:rPr>
        <w:t>名称：</w:t>
      </w:r>
      <w:bookmarkStart w:id="4" w:name="CALCULATE—DSR—tAjDsrs_cZtzgzzmc"/>
      <w:r>
        <w:rPr>
          <w:rFonts w:hint="eastAsia" w:ascii="Times New Roman" w:hAnsi="Times New Roman" w:eastAsia="仿宋_GB2312" w:cs="Mongolian Baiti"/>
          <w:b w:val="0"/>
          <w:color w:val="auto"/>
          <w:sz w:val="32"/>
          <w:u w:val="none"/>
        </w:rPr>
        <w:t>营业执照</w:t>
      </w:r>
      <w:bookmarkEnd w:id="4"/>
      <w:r>
        <w:rPr>
          <w:rFonts w:hint="eastAsia" w:ascii="Times New Roman" w:hAnsi="Times New Roman" w:eastAsia="仿宋_GB2312" w:cs="Mongolian Baiti"/>
          <w:b w:val="0"/>
          <w:bCs/>
          <w:color w:val="auto"/>
          <w:kern w:val="1"/>
          <w:sz w:val="32"/>
          <w:szCs w:val="32"/>
          <w:u w:val="none"/>
        </w:rPr>
        <w:t xml:space="preserve">                                  </w:t>
      </w:r>
    </w:p>
    <w:p w14:paraId="6112D816">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统一社会信用代码：</w:t>
      </w:r>
      <w:bookmarkStart w:id="5" w:name="CALCULATE—DSR—tAjDsrs_cTzshxydm"/>
      <w:r>
        <w:rPr>
          <w:rFonts w:hint="eastAsia" w:ascii="Times New Roman" w:hAnsi="Times New Roman" w:eastAsia="仿宋_GB2312" w:cs="Mongolian Baiti"/>
          <w:b w:val="0"/>
          <w:color w:val="auto"/>
          <w:sz w:val="32"/>
          <w:u w:val="none"/>
        </w:rPr>
        <w:t>913710836768252721</w:t>
      </w:r>
      <w:bookmarkEnd w:id="5"/>
      <w:r>
        <w:rPr>
          <w:rFonts w:hint="eastAsia" w:ascii="Times New Roman" w:hAnsi="Times New Roman" w:eastAsia="仿宋_GB2312" w:cs="Mongolian Baiti"/>
          <w:b w:val="0"/>
          <w:bCs/>
          <w:color w:val="auto"/>
          <w:kern w:val="1"/>
          <w:sz w:val="32"/>
          <w:szCs w:val="32"/>
          <w:u w:val="none"/>
        </w:rPr>
        <w:t xml:space="preserve">                                  </w:t>
      </w:r>
    </w:p>
    <w:p w14:paraId="7EDC33E1">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住所（住址）：</w:t>
      </w:r>
      <w:bookmarkStart w:id="6" w:name="CALCULATE—DSR—tAjDsrs_cLxdzSheng"/>
      <w:r>
        <w:rPr>
          <w:rFonts w:hint="eastAsia" w:ascii="Times New Roman" w:hAnsi="Times New Roman" w:eastAsia="仿宋_GB2312" w:cs="Mongolian Baiti"/>
          <w:b w:val="0"/>
          <w:color w:val="auto"/>
          <w:sz w:val="32"/>
          <w:u w:val="none"/>
        </w:rPr>
        <w:t>山东省威海市乳山市冯家镇石城村</w:t>
      </w:r>
      <w:bookmarkEnd w:id="6"/>
      <w:r>
        <w:rPr>
          <w:rFonts w:hint="eastAsia"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lang w:val="en-US" w:eastAsia="zh-CN"/>
        </w:rPr>
        <w:t xml:space="preserve"> </w:t>
      </w:r>
    </w:p>
    <w:p w14:paraId="6D06CE20">
      <w:pPr>
        <w:spacing w:line="540" w:lineRule="exact"/>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法定代表人（负责人</w:t>
      </w:r>
      <w:r>
        <w:rPr>
          <w:rFonts w:hint="eastAsia" w:ascii="Times New Roman" w:hAnsi="Times New Roman" w:eastAsia="仿宋_GB2312" w:cs="Mongolian Baiti"/>
          <w:b w:val="0"/>
          <w:bCs/>
          <w:color w:val="auto"/>
          <w:kern w:val="1"/>
          <w:sz w:val="32"/>
          <w:szCs w:val="32"/>
          <w:u w:val="none"/>
          <w:lang w:eastAsia="zh-CN"/>
        </w:rPr>
        <w:t>、经营者</w:t>
      </w:r>
      <w:r>
        <w:rPr>
          <w:rFonts w:hint="eastAsia" w:ascii="Times New Roman" w:hAnsi="Times New Roman" w:eastAsia="仿宋_GB2312" w:cs="Mongolian Baiti"/>
          <w:b w:val="0"/>
          <w:bCs/>
          <w:color w:val="auto"/>
          <w:kern w:val="1"/>
          <w:sz w:val="32"/>
          <w:szCs w:val="32"/>
          <w:u w:val="none"/>
        </w:rPr>
        <w:t>）：</w:t>
      </w:r>
      <w:bookmarkStart w:id="7" w:name="CALCULATE—DSR—tAjDsrs_cFddbr"/>
      <w:r>
        <w:rPr>
          <w:rFonts w:hint="eastAsia" w:ascii="Times New Roman" w:hAnsi="Times New Roman" w:eastAsia="仿宋_GB2312" w:cs="Mongolian Baiti"/>
          <w:b w:val="0"/>
          <w:color w:val="auto"/>
          <w:sz w:val="32"/>
          <w:u w:val="none"/>
        </w:rPr>
        <w:t>李霞</w:t>
      </w:r>
      <w:bookmarkEnd w:id="7"/>
      <w:r>
        <w:rPr>
          <w:rFonts w:hint="eastAsia" w:ascii="Times New Roman" w:hAnsi="Times New Roman" w:eastAsia="仿宋_GB2312" w:cs="Mongolian Baiti"/>
          <w:b w:val="0"/>
          <w:bCs/>
          <w:color w:val="auto"/>
          <w:kern w:val="1"/>
          <w:sz w:val="32"/>
          <w:szCs w:val="32"/>
          <w:u w:val="none"/>
        </w:rPr>
        <w:t xml:space="preserve">                       </w:t>
      </w:r>
    </w:p>
    <w:p w14:paraId="1E91261F">
      <w:pPr>
        <w:keepNext w:val="0"/>
        <w:keepLines w:val="0"/>
        <w:pageBreakBefore w:val="0"/>
        <w:widowControl w:val="0"/>
        <w:kinsoku/>
        <w:wordWrap/>
        <w:overflowPunct/>
        <w:topLinePunct w:val="0"/>
        <w:bidi w:val="0"/>
        <w:snapToGrid/>
        <w:spacing w:line="580" w:lineRule="exact"/>
        <w:ind w:left="140" w:hanging="140"/>
        <w:textAlignment w:val="auto"/>
        <w:rPr>
          <w:rFonts w:ascii="Times New Roman" w:hAnsi="Times New Roman" w:eastAsia="仿宋_GB2312" w:cs="Mongolian Baiti"/>
          <w:kern w:val="1"/>
          <w:sz w:val="32"/>
          <w:szCs w:val="32"/>
        </w:rPr>
      </w:pPr>
      <w:r>
        <w:rPr>
          <w:rFonts w:hint="eastAsia" w:ascii="Times New Roman" w:hAnsi="Times New Roman" w:eastAsia="仿宋_GB2312" w:cs="Mongolian Baiti"/>
          <w:b w:val="0"/>
          <w:bCs/>
          <w:color w:val="auto"/>
          <w:kern w:val="1"/>
          <w:sz w:val="32"/>
          <w:szCs w:val="32"/>
          <w:u w:val="none"/>
        </w:rPr>
        <w:t>身份证件号码：</w:t>
      </w:r>
      <w:bookmarkStart w:id="8" w:name="CALCULATE—DSR—tAjDsrs_cZjhm"/>
      <w:r>
        <w:rPr>
          <w:rFonts w:hint="eastAsia" w:ascii="Times New Roman" w:hAnsi="Times New Roman" w:eastAsia="仿宋_GB2312" w:cs="Mongolian Baiti"/>
          <w:b w:val="0"/>
          <w:color w:val="auto"/>
          <w:sz w:val="32"/>
          <w:u w:val="none"/>
        </w:rPr>
        <w:t>371002</w:t>
      </w:r>
      <w:bookmarkEnd w:id="8"/>
      <w:bookmarkStart w:id="10" w:name="_GoBack"/>
      <w:r>
        <w:rPr>
          <w:rFonts w:hint="eastAsia" w:ascii="Times New Roman" w:hAnsi="Times New Roman" w:eastAsia="仿宋_GB2312" w:cs="Mongolian Baiti"/>
          <w:b w:val="0"/>
          <w:color w:val="auto"/>
          <w:sz w:val="32"/>
          <w:u w:val="none"/>
          <w:lang w:val="en-US" w:eastAsia="zh-CN"/>
        </w:rPr>
        <w:t>************</w:t>
      </w:r>
      <w:bookmarkEnd w:id="10"/>
      <w:r>
        <w:rPr>
          <w:rFonts w:hint="eastAsia" w:ascii="Times New Roman" w:hAnsi="Times New Roman" w:eastAsia="仿宋_GB2312" w:cs="Mongolian Baiti"/>
          <w:color w:val="000000"/>
          <w:kern w:val="1"/>
          <w:sz w:val="32"/>
          <w:szCs w:val="32"/>
          <w:u w:val="none"/>
        </w:rPr>
        <w:t xml:space="preserve">               </w:t>
      </w:r>
    </w:p>
    <w:p w14:paraId="2CD4F53B">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2025年11月3日接信用监管科提供案件线索，通过国家企业信用信息公示系统发现乳山金路矿业有限公司2021-2024年度均未申报企业年报。其行为涉嫌违反《中华人民共和国公司法》第二百六十条之规定，为查明事实，本局于2025年11月3日立案。在调查中，我局执法人员对当事人企业年报情况，在乳山市行政审批服务局登记情况，在国家税务总局乳山市税务局税务报税情况，在乳山市社会保险事业中心社会保险缴纳情况进行了调查。对当事人进行了现场检查。</w:t>
      </w:r>
    </w:p>
    <w:p w14:paraId="5AEC64FF">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经查，当事人于2008年6月23日设立，因未依照《企业信息公示暂行条例》第八条规定的期限公示年度报告，于2025年7月11日、2024年7月12日、2023年7月14日、2022年7月14日共四次被列入经营异常名录。2025年11月24日，我局执法人员根据企业注册信息依法对威海市乳山市冯家镇石城村进行现场检查。经现场核查，乳山金路矿业有限公司住所查无该企业。现场拨打企业的联系电话，无法联系到当事人。另查明，当事人税务状态为非正常户注销状态；社保未缴费。</w:t>
      </w:r>
    </w:p>
    <w:p w14:paraId="30537E72">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上述事实，主要有以下证据证明：</w:t>
      </w:r>
    </w:p>
    <w:p w14:paraId="741FCAF8">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1、乳山市行政审批服务局向我局出具的当事人企业信息、法定代表人信息和住所证明打印件各1份，证明当事人主体资格的事实；</w:t>
      </w:r>
    </w:p>
    <w:p w14:paraId="3ADB4AA8">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2、国家企业信用信息公示系统网站上载明的当事人情况截图打印件1份，证明当事人被列入经营异常名录的事实；</w:t>
      </w:r>
    </w:p>
    <w:p w14:paraId="5F05F969">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3、我局向国家税务总局乳山市税务局、乳山市人力资源和社会保障局出具的协助调查函（含拟吊销企业名单）扫描打印件各1份，国家税务总局乳山市税务局向我局出具的纳税申报情况证明、乳山市人力资源和社会保障局向我局出具的社会保险参保情况证明扫描打印件各1份，现场笔录、现场照片打印件、乳山市冯家镇石城村村民委员会出具的证明各1份。证明当事人开业后自行停业连续六个月以上的事实。</w:t>
      </w:r>
    </w:p>
    <w:p w14:paraId="2083C687">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以上证据和笔录（除证据2）均由相关人（单位）签名盖章认可。</w:t>
      </w:r>
    </w:p>
    <w:p w14:paraId="22E06345">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ascii="Times New Roman" w:eastAsia="仿宋_GB2312" w:cs="仿宋_GB2312"/>
          <w:color w:val="000000"/>
        </w:rPr>
      </w:pPr>
      <w:r>
        <w:rPr>
          <w:rFonts w:hint="eastAsia" w:ascii="Times New Roman" w:eastAsia="仿宋_GB2312" w:cs="仿宋_GB2312"/>
          <w:color w:val="000000" w:themeColor="text1"/>
          <w:u w:val="none"/>
          <w14:textFill>
            <w14:solidFill>
              <w14:schemeClr w14:val="tx1"/>
            </w14:solidFill>
          </w14:textFill>
        </w:rPr>
        <w:t>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1</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13</w:t>
      </w:r>
      <w:r>
        <w:rPr>
          <w:rFonts w:hint="eastAsia" w:ascii="Times New Roman" w:eastAsia="仿宋_GB2312" w:cs="仿宋_GB2312"/>
          <w:color w:val="000000" w:themeColor="text1"/>
          <w:u w:val="none"/>
          <w14:textFill>
            <w14:solidFill>
              <w14:schemeClr w14:val="tx1"/>
            </w14:solidFill>
          </w14:textFill>
        </w:rPr>
        <w:t>日，本局向当事人直接送达了乳市监罚告〔202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w:t>
      </w:r>
      <w:r>
        <w:rPr>
          <w:rFonts w:hint="eastAsia" w:ascii="Times New Roman" w:eastAsia="仿宋_GB2312" w:cs="仿宋_GB2312"/>
          <w:color w:val="000000" w:themeColor="text1"/>
          <w:u w:val="none"/>
          <w:lang w:val="en-US" w:eastAsia="zh-CN"/>
          <w14:textFill>
            <w14:solidFill>
              <w14:schemeClr w14:val="tx1"/>
            </w14:solidFill>
          </w14:textFill>
        </w:rPr>
        <w:t>34</w:t>
      </w:r>
      <w:r>
        <w:rPr>
          <w:rFonts w:hint="eastAsia" w:ascii="Times New Roman" w:eastAsia="仿宋_GB2312" w:cs="仿宋_GB2312"/>
          <w:color w:val="000000" w:themeColor="text1"/>
          <w:u w:val="none"/>
          <w14:textFill>
            <w14:solidFill>
              <w14:schemeClr w14:val="tx1"/>
            </w14:solidFill>
          </w14:textFill>
        </w:rPr>
        <w:t>号《行政处罚告知书》，因通过住所及电话无法联系当事人，无法直接送达，我局通过邮寄送达上述《行政处罚告知书》，因“无法联系</w:t>
      </w:r>
      <w:r>
        <w:rPr>
          <w:rFonts w:ascii="Times New Roman" w:eastAsia="仿宋_GB2312" w:cs="仿宋_GB2312"/>
          <w:color w:val="000000" w:themeColor="text1"/>
          <w:u w:val="none"/>
          <w14:textFill>
            <w14:solidFill>
              <w14:schemeClr w14:val="tx1"/>
            </w14:solidFill>
          </w14:textFill>
        </w:rPr>
        <w:t>到收件人</w:t>
      </w:r>
      <w:r>
        <w:rPr>
          <w:rFonts w:hint="eastAsia" w:ascii="Times New Roman" w:eastAsia="仿宋_GB2312" w:cs="仿宋_GB2312"/>
          <w:color w:val="000000" w:themeColor="text1"/>
          <w:u w:val="none"/>
          <w14:textFill>
            <w14:solidFill>
              <w14:schemeClr w14:val="tx1"/>
            </w14:solidFill>
          </w14:textFill>
        </w:rPr>
        <w:t>”，邮件于202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1</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15</w:t>
      </w:r>
      <w:r>
        <w:rPr>
          <w:rFonts w:hint="eastAsia" w:ascii="Times New Roman" w:eastAsia="仿宋_GB2312" w:cs="仿宋_GB2312"/>
          <w:color w:val="000000" w:themeColor="text1"/>
          <w:u w:val="none"/>
          <w14:textFill>
            <w14:solidFill>
              <w14:schemeClr w14:val="tx1"/>
            </w14:solidFill>
          </w14:textFill>
        </w:rPr>
        <w:t>日被退回，我局于202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1</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20</w:t>
      </w:r>
      <w:r>
        <w:rPr>
          <w:rFonts w:hint="eastAsia" w:ascii="Times New Roman" w:eastAsia="仿宋_GB2312" w:cs="仿宋_GB2312"/>
          <w:color w:val="000000" w:themeColor="text1"/>
          <w:u w:val="none"/>
          <w14:textFill>
            <w14:solidFill>
              <w14:schemeClr w14:val="tx1"/>
            </w14:solidFill>
          </w14:textFill>
        </w:rPr>
        <w:t>日公告送达上述《行政处罚告知书》，当事人在公告之日起30日内未到我局领取，视为</w:t>
      </w:r>
      <w:r>
        <w:rPr>
          <w:rFonts w:hint="eastAsia" w:ascii="Times New Roman" w:eastAsia="仿宋_GB2312" w:cs="仿宋_GB2312"/>
          <w:color w:val="000000" w:themeColor="text1"/>
          <w:u w:val="none"/>
          <w:lang w:val="en-US" w:eastAsia="zh-CN"/>
          <w14:textFill>
            <w14:solidFill>
              <w14:schemeClr w14:val="tx1"/>
            </w14:solidFill>
          </w14:textFill>
        </w:rPr>
        <w:t>已</w:t>
      </w:r>
      <w:r>
        <w:rPr>
          <w:rFonts w:hint="eastAsia" w:ascii="Times New Roman" w:eastAsia="仿宋_GB2312" w:cs="仿宋_GB2312"/>
          <w:color w:val="000000" w:themeColor="text1"/>
          <w:u w:val="none"/>
          <w14:textFill>
            <w14:solidFill>
              <w14:schemeClr w14:val="tx1"/>
            </w14:solidFill>
          </w14:textFill>
        </w:rPr>
        <w:t>送达《行政处罚告知书》。当事人在规定时间内未向本局提出陈述、申辩和听证，视为当事人已放弃陈述、申辩和听证的权利。</w:t>
      </w:r>
      <w:r>
        <w:rPr>
          <w:rFonts w:hint="eastAsia" w:ascii="Times New Roman" w:eastAsia="仿宋_GB2312" w:cs="仿宋_GB2312"/>
          <w:color w:val="000000"/>
          <w:u w:val="none"/>
        </w:rPr>
        <w:t xml:space="preserve">                                 </w:t>
      </w:r>
    </w:p>
    <w:p w14:paraId="4111AE41">
      <w:pPr>
        <w:keepNext w:val="0"/>
        <w:keepLines w:val="0"/>
        <w:pageBreakBefore w:val="0"/>
        <w:widowControl w:val="0"/>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当事人开业后已经自行停业连续六个月以上，该行为构成《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2E388DA7">
      <w:pPr>
        <w:keepNext w:val="0"/>
        <w:keepLines w:val="0"/>
        <w:pageBreakBefore w:val="0"/>
        <w:widowControl w:val="0"/>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5E622AAE">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color w:val="000000"/>
        </w:rPr>
      </w:pPr>
      <w:r>
        <w:rPr>
          <w:rFonts w:hint="eastAsia" w:ascii="仿宋_GB2312" w:hAnsi="仿宋_GB2312" w:eastAsia="仿宋_GB2312" w:cs="仿宋_GB2312"/>
          <w:bCs/>
          <w:sz w:val="32"/>
          <w:szCs w:val="32"/>
        </w:rPr>
        <w:t>依据《中华人民共和国公司法》第二百六十条第一款“公司成立后无正当理由超过六个月未开业的，或者开业后自行停业连续六个月以上的，可以由公司登记机关吊销营业执照。”之规定，</w:t>
      </w:r>
      <w:r>
        <w:rPr>
          <w:rFonts w:hint="eastAsia" w:ascii="仿宋_GB2312" w:hAnsi="仿宋_GB2312" w:eastAsia="仿宋_GB2312" w:cs="仿宋_GB2312"/>
          <w:bCs/>
          <w:sz w:val="32"/>
          <w:szCs w:val="32"/>
          <w:lang w:eastAsia="zh-CN"/>
        </w:rPr>
        <w:t>决定</w:t>
      </w:r>
      <w:r>
        <w:rPr>
          <w:rFonts w:hint="eastAsia" w:ascii="仿宋_GB2312" w:hAnsi="仿宋_GB2312" w:eastAsia="仿宋_GB2312" w:cs="仿宋_GB2312"/>
          <w:bCs/>
          <w:sz w:val="32"/>
          <w:szCs w:val="32"/>
        </w:rPr>
        <w:t>对</w:t>
      </w:r>
      <w:r>
        <w:rPr>
          <w:rFonts w:ascii="仿宋_GB2312" w:hAnsi="仿宋_GB2312" w:eastAsia="仿宋_GB2312" w:cs="仿宋_GB2312"/>
          <w:bCs/>
          <w:sz w:val="32"/>
          <w:szCs w:val="32"/>
        </w:rPr>
        <w:t>当事人</w:t>
      </w:r>
      <w:r>
        <w:rPr>
          <w:rFonts w:hint="eastAsia" w:ascii="仿宋_GB2312" w:hAnsi="仿宋_GB2312" w:eastAsia="仿宋_GB2312" w:cs="仿宋_GB2312"/>
          <w:bCs/>
          <w:sz w:val="32"/>
          <w:szCs w:val="32"/>
        </w:rPr>
        <w:t>处罚如下：吊销营业执照。</w:t>
      </w:r>
      <w:r>
        <w:rPr>
          <w:rFonts w:hint="eastAsia" w:ascii="仿宋_GB2312" w:hAnsi="仿宋_GB2312" w:eastAsia="仿宋_GB2312" w:cs="仿宋_GB2312"/>
          <w:color w:val="000000"/>
          <w:u w:val="none"/>
        </w:rPr>
        <w:t xml:space="preserve">    </w:t>
      </w:r>
    </w:p>
    <w:p w14:paraId="21C254A8">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ascii="仿宋_GB2312" w:hAnsi="仿宋_GB2312" w:eastAsia="仿宋_GB2312" w:cs="仿宋_GB2312"/>
          <w:color w:val="000000"/>
        </w:rPr>
      </w:pPr>
      <w:r>
        <w:rPr>
          <w:rFonts w:hint="eastAsia" w:ascii="仿宋_GB2312" w:hAnsi="仿宋_GB2312" w:eastAsia="仿宋_GB2312" w:cs="仿宋_GB2312"/>
          <w:color w:val="000000"/>
          <w:u w:val="none"/>
        </w:rPr>
        <w:t>如不服本行政处罚决定，可在收到本行政处罚决定书之日起六十日内向乳山市人民政府申请行政复议，也可以在六个月内依法向威海任一</w:t>
      </w:r>
      <w:r>
        <w:rPr>
          <w:rFonts w:ascii="仿宋_GB2312" w:hAnsi="仿宋_GB2312" w:eastAsia="仿宋_GB2312" w:cs="仿宋_GB2312"/>
          <w:color w:val="000000"/>
          <w:u w:val="none"/>
        </w:rPr>
        <w:t>基层人民法院</w:t>
      </w:r>
      <w:r>
        <w:rPr>
          <w:rFonts w:hint="eastAsia" w:ascii="仿宋_GB2312" w:hAnsi="仿宋_GB2312" w:eastAsia="仿宋_GB2312" w:cs="仿宋_GB2312"/>
          <w:color w:val="000000"/>
          <w:u w:val="none"/>
        </w:rPr>
        <w:t>提起行政诉讼。申请行政复议或者提起行政诉讼期间，行政处罚不停止执行。</w:t>
      </w:r>
    </w:p>
    <w:p w14:paraId="7BC61780">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3B87A978">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68584A38">
      <w:pPr>
        <w:keepNext w:val="0"/>
        <w:keepLines w:val="0"/>
        <w:pageBreakBefore w:val="0"/>
        <w:widowControl w:val="0"/>
        <w:kinsoku/>
        <w:wordWrap/>
        <w:overflowPunct/>
        <w:topLinePunct w:val="0"/>
        <w:bidi w:val="0"/>
        <w:snapToGrid/>
        <w:spacing w:line="580" w:lineRule="exact"/>
        <w:ind w:right="640" w:firstLine="601"/>
        <w:jc w:val="right"/>
        <w:textAlignment w:val="auto"/>
        <w:rPr>
          <w:rFonts w:ascii="Times New Roman" w:hAnsi="Times New Roman" w:eastAsia="仿宋_GB2312" w:cs="仿宋"/>
          <w:color w:val="000000"/>
          <w:sz w:val="32"/>
          <w:szCs w:val="32"/>
        </w:rPr>
      </w:pPr>
      <w:r>
        <w:rPr>
          <w:rFonts w:hint="eastAsia" w:ascii="Times New Roman" w:hAnsi="Times New Roman" w:eastAsia="仿宋_GB2312" w:cs="仿宋_GB2312"/>
          <w:color w:val="000000"/>
          <w:sz w:val="32"/>
          <w:szCs w:val="32"/>
          <w:u w:val="none"/>
        </w:rPr>
        <w:t xml:space="preserve">                   </w:t>
      </w:r>
      <w:r>
        <w:rPr>
          <w:rFonts w:hint="eastAsia" w:ascii="Times New Roman" w:hAnsi="Times New Roman" w:eastAsia="仿宋_GB2312" w:cs="仿宋"/>
          <w:color w:val="000000"/>
          <w:sz w:val="32"/>
          <w:szCs w:val="32"/>
          <w:u w:val="none"/>
        </w:rPr>
        <w:t xml:space="preserve">乳山市市场监督管理局                                    </w:t>
      </w:r>
    </w:p>
    <w:p w14:paraId="5C9C65F5">
      <w:pPr>
        <w:spacing w:line="560" w:lineRule="exact"/>
        <w:ind w:right="640" w:firstLine="601"/>
        <w:jc w:val="center"/>
        <w:outlineLvl w:val="1"/>
        <w:rPr>
          <w:rFonts w:ascii="Times New Roman" w:hAnsi="Times New Roman" w:eastAsia="仿宋_GB2312" w:cs="仿宋"/>
          <w:color w:val="auto"/>
          <w:sz w:val="32"/>
          <w:szCs w:val="32"/>
        </w:rPr>
      </w:pPr>
      <w:r>
        <w:rPr>
          <w:rFonts w:hint="eastAsia" w:ascii="Times New Roman" w:hAnsi="Times New Roman" w:eastAsia="仿宋_GB2312" w:cs="仿宋"/>
          <w:color w:val="auto"/>
          <w:sz w:val="32"/>
          <w:szCs w:val="32"/>
          <w:lang w:val="en-US" w:eastAsia="zh-CN"/>
        </w:rPr>
        <w:t xml:space="preserve">                            </w:t>
      </w:r>
      <w:r>
        <w:rPr>
          <w:rFonts w:hint="eastAsia" w:ascii="Times New Roman" w:hAnsi="Times New Roman" w:eastAsia="仿宋_GB2312" w:cs="仿宋"/>
          <w:color w:val="auto"/>
          <w:sz w:val="32"/>
          <w:szCs w:val="32"/>
        </w:rPr>
        <w:t>（印 章）</w:t>
      </w:r>
    </w:p>
    <w:p w14:paraId="710AEBE7">
      <w:pPr>
        <w:keepNext w:val="0"/>
        <w:keepLines w:val="0"/>
        <w:pageBreakBefore w:val="0"/>
        <w:widowControl w:val="0"/>
        <w:kinsoku/>
        <w:wordWrap/>
        <w:overflowPunct/>
        <w:topLinePunct w:val="0"/>
        <w:bidi w:val="0"/>
        <w:snapToGrid/>
        <w:spacing w:line="580" w:lineRule="exact"/>
        <w:ind w:right="1280" w:firstLine="600"/>
        <w:jc w:val="right"/>
        <w:textAlignment w:val="auto"/>
        <w:rPr>
          <w:rFonts w:ascii="仿宋_GB2312" w:hAnsi="Times New Roman" w:eastAsia="仿宋_GB2312" w:cs="仿宋"/>
          <w:color w:val="000000"/>
          <w:sz w:val="32"/>
          <w:szCs w:val="32"/>
        </w:rPr>
      </w:pPr>
      <w:bookmarkStart w:id="9" w:name="CALCULATE—TIME—NOW"/>
      <w:r>
        <w:rPr>
          <w:rFonts w:hint="eastAsia" w:ascii="仿宋_GB2312" w:hAnsi="Times New Roman" w:eastAsia="仿宋_GB2312" w:cs="仿宋"/>
          <w:color w:val="auto"/>
          <w:sz w:val="32"/>
        </w:rPr>
        <w:t>2026年3月2日</w:t>
      </w:r>
      <w:bookmarkEnd w:id="9"/>
      <w:r>
        <w:rPr>
          <w:rFonts w:hint="eastAsia" w:ascii="仿宋_GB2312" w:hAnsi="Times New Roman" w:eastAsia="仿宋_GB2312" w:cs="仿宋"/>
          <w:color w:val="000000"/>
          <w:sz w:val="32"/>
          <w:szCs w:val="32"/>
          <w:u w:val="none"/>
        </w:rPr>
        <w:t xml:space="preserve">  </w:t>
      </w:r>
    </w:p>
    <w:p w14:paraId="66A38B97">
      <w:pPr>
        <w:spacing w:line="580" w:lineRule="exact"/>
        <w:ind w:right="1280" w:firstLine="600"/>
        <w:jc w:val="right"/>
        <w:rPr>
          <w:rFonts w:ascii="仿宋_GB2312" w:hAnsi="Times New Roman" w:eastAsia="仿宋_GB2312" w:cs="仿宋"/>
          <w:color w:val="000000"/>
          <w:sz w:val="32"/>
          <w:szCs w:val="32"/>
        </w:rPr>
      </w:pPr>
    </w:p>
    <w:p w14:paraId="6F8E4082">
      <w:pPr>
        <w:spacing w:line="580" w:lineRule="exact"/>
        <w:ind w:right="1280" w:firstLine="600"/>
        <w:jc w:val="right"/>
        <w:rPr>
          <w:rFonts w:ascii="仿宋_GB2312" w:hAnsi="Times New Roman" w:eastAsia="仿宋_GB2312" w:cs="仿宋"/>
          <w:color w:val="000000"/>
          <w:sz w:val="32"/>
          <w:szCs w:val="32"/>
        </w:rPr>
      </w:pPr>
    </w:p>
    <w:p w14:paraId="4D897812">
      <w:pPr>
        <w:spacing w:line="580" w:lineRule="exact"/>
        <w:ind w:right="1280" w:firstLine="600"/>
        <w:jc w:val="right"/>
        <w:rPr>
          <w:rFonts w:ascii="仿宋_GB2312" w:hAnsi="Times New Roman" w:eastAsia="仿宋_GB2312" w:cs="仿宋"/>
          <w:color w:val="000000"/>
          <w:sz w:val="32"/>
          <w:szCs w:val="32"/>
        </w:rPr>
      </w:pPr>
    </w:p>
    <w:p w14:paraId="49043A38">
      <w:pPr>
        <w:spacing w:line="580" w:lineRule="exact"/>
        <w:ind w:right="1280" w:firstLine="600"/>
        <w:jc w:val="right"/>
        <w:rPr>
          <w:rFonts w:ascii="仿宋_GB2312" w:hAnsi="Times New Roman" w:eastAsia="仿宋_GB2312" w:cs="仿宋"/>
          <w:color w:val="000000"/>
          <w:sz w:val="32"/>
          <w:szCs w:val="32"/>
        </w:rPr>
      </w:pPr>
    </w:p>
    <w:p w14:paraId="443E15E4">
      <w:pPr>
        <w:spacing w:line="580" w:lineRule="exact"/>
        <w:ind w:right="1280" w:firstLine="600"/>
        <w:jc w:val="right"/>
        <w:rPr>
          <w:rFonts w:ascii="仿宋_GB2312" w:hAnsi="Times New Roman" w:eastAsia="仿宋_GB2312" w:cs="仿宋"/>
          <w:color w:val="000000"/>
          <w:sz w:val="32"/>
          <w:szCs w:val="32"/>
        </w:rPr>
      </w:pPr>
    </w:p>
    <w:p w14:paraId="2CE899DA">
      <w:pPr>
        <w:spacing w:line="580" w:lineRule="exact"/>
        <w:ind w:right="1280" w:firstLine="600"/>
        <w:jc w:val="right"/>
        <w:rPr>
          <w:rFonts w:ascii="仿宋_GB2312" w:hAnsi="Times New Roman" w:eastAsia="仿宋_GB2312" w:cs="仿宋"/>
          <w:color w:val="000000"/>
          <w:sz w:val="32"/>
          <w:szCs w:val="32"/>
        </w:rPr>
      </w:pPr>
    </w:p>
    <w:p w14:paraId="25747A0B">
      <w:pPr>
        <w:spacing w:line="580" w:lineRule="exact"/>
        <w:ind w:right="1280" w:firstLine="600"/>
        <w:jc w:val="right"/>
        <w:rPr>
          <w:rFonts w:ascii="仿宋_GB2312" w:hAnsi="Times New Roman" w:eastAsia="仿宋_GB2312" w:cs="仿宋"/>
          <w:color w:val="000000"/>
          <w:sz w:val="32"/>
          <w:szCs w:val="32"/>
        </w:rPr>
      </w:pPr>
    </w:p>
    <w:p w14:paraId="1515FEAF">
      <w:pPr>
        <w:spacing w:line="580" w:lineRule="exact"/>
        <w:ind w:right="1280" w:firstLine="600"/>
        <w:jc w:val="right"/>
        <w:rPr>
          <w:rFonts w:ascii="仿宋_GB2312" w:hAnsi="Times New Roman" w:eastAsia="仿宋_GB2312" w:cs="仿宋"/>
          <w:color w:val="000000"/>
          <w:sz w:val="32"/>
          <w:szCs w:val="32"/>
        </w:rPr>
      </w:pPr>
    </w:p>
    <w:p w14:paraId="17FFA433">
      <w:pPr>
        <w:spacing w:line="580" w:lineRule="exact"/>
        <w:ind w:right="1280" w:firstLine="600"/>
        <w:jc w:val="right"/>
        <w:rPr>
          <w:rFonts w:ascii="仿宋_GB2312" w:hAnsi="Times New Roman" w:eastAsia="仿宋_GB2312" w:cs="仿宋"/>
          <w:color w:val="000000"/>
          <w:sz w:val="32"/>
          <w:szCs w:val="32"/>
        </w:rPr>
      </w:pPr>
    </w:p>
    <w:p w14:paraId="00034054">
      <w:pPr>
        <w:spacing w:line="580" w:lineRule="exact"/>
        <w:ind w:right="1280"/>
        <w:jc w:val="both"/>
        <w:rPr>
          <w:rFonts w:ascii="仿宋_GB2312" w:hAnsi="Times New Roman" w:eastAsia="仿宋_GB2312" w:cs="仿宋"/>
          <w:color w:val="000000"/>
          <w:sz w:val="32"/>
          <w:szCs w:val="32"/>
        </w:rPr>
      </w:pPr>
    </w:p>
    <w:p w14:paraId="527A92D9">
      <w:pPr>
        <w:spacing w:line="580" w:lineRule="exact"/>
        <w:ind w:right="1280" w:firstLine="600"/>
        <w:jc w:val="right"/>
        <w:rPr>
          <w:rFonts w:ascii="仿宋_GB2312" w:hAnsi="Times New Roman" w:eastAsia="仿宋_GB2312" w:cs="仿宋"/>
          <w:color w:val="000000"/>
          <w:sz w:val="32"/>
          <w:szCs w:val="32"/>
        </w:rPr>
      </w:pPr>
      <w:r>
        <w:rPr>
          <w:rFonts w:hint="eastAsia" w:ascii="仿宋_GB2312" w:hAnsi="Times New Roman" w:eastAsia="仿宋_GB2312" w:cs="仿宋"/>
          <w:color w:val="000000"/>
          <w:sz w:val="32"/>
          <w:szCs w:val="32"/>
          <w:u w:val="none"/>
        </w:rPr>
        <w:t xml:space="preserve">  </w:t>
      </w:r>
    </w:p>
    <w:p w14:paraId="57654475">
      <w:pPr>
        <w:pStyle w:val="3"/>
        <w:spacing w:before="1" w:line="580" w:lineRule="exact"/>
        <w:ind w:left="163"/>
        <w:rPr>
          <w:rFonts w:ascii="Times New Roman" w:eastAsia="仿宋_GB2312" w:cs="仿宋"/>
          <w:bCs/>
          <w:color w:val="000000"/>
          <w:sz w:val="44"/>
          <w:szCs w:val="44"/>
        </w:rPr>
      </w:pPr>
      <w:r>
        <w:rPr>
          <w:rFonts w:hint="eastAsia" w:ascii="黑体" w:hAnsi="黑体" w:eastAsia="黑体"/>
          <w:color w:val="000000"/>
          <w:spacing w:val="-16"/>
          <w:u w:val="none"/>
        </w:rPr>
        <w:t>（市场监督管理部门将依法向社会公开行政处罚决定信息）</w:t>
      </w:r>
    </w:p>
    <w:p w14:paraId="2DA7B40E">
      <w:pPr>
        <w:spacing w:line="580" w:lineRule="exact"/>
        <w:rPr>
          <w:rFonts w:ascii="Times New Roman" w:hAnsi="Times New Roman" w:eastAsia="仿宋_GB2312" w:cs="Mongolian Baiti"/>
          <w:bCs/>
          <w:sz w:val="32"/>
          <w:szCs w:val="32"/>
        </w:rPr>
      </w:pPr>
      <w:r>
        <w:rPr>
          <w:rFonts w:ascii="Times New Roman" w:hAnsi="Times New Roman" w:eastAsia="仿宋_GB2312"/>
          <w:color w:val="000000"/>
          <w:sz w:val="32"/>
          <w:u w:val="none"/>
        </w:rPr>
        <mc:AlternateContent>
          <mc:Choice Requires="wps">
            <w:drawing>
              <wp:anchor distT="0" distB="0" distL="114300" distR="114300" simplePos="0" relativeHeight="251660288" behindDoc="0" locked="0" layoutInCell="1" allowOverlap="1">
                <wp:simplePos x="0" y="0"/>
                <wp:positionH relativeFrom="column">
                  <wp:align>center</wp:align>
                </wp:positionH>
                <wp:positionV relativeFrom="paragraph">
                  <wp:posOffset>-2540</wp:posOffset>
                </wp:positionV>
                <wp:extent cx="5550535" cy="635"/>
                <wp:effectExtent l="0" t="0" r="0" b="0"/>
                <wp:wrapNone/>
                <wp:docPr id="2" name="直接连接符 2"/>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0.2pt;height:0.05pt;width:437.05pt;mso-position-horizontal:center;z-index:251660288;mso-width-relative:page;mso-height-relative:page;" filled="f"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qdBoa&#10;1AAAAAQBAAAPAAAAAAAAAAEAIAAAACIAAABkcnMvZG93bnJldi54bWxQSwECFAAUAAAACACHTuJA&#10;rJLJJOwBAADbAwAADgAAAAAAAAABACAAAAAjAQAAZHJzL2Uyb0RvYy54bWxQSwUGAAAAAAYABgBZ&#10;AQAAgQUAAAAA&#10;">
                <v:fill on="f" focussize="0,0"/>
                <v:stroke weight="1.25pt" color="#000000" joinstyle="round"/>
                <v:imagedata o:title=""/>
                <o:lock v:ext="edit" aspectratio="f"/>
              </v:line>
            </w:pict>
          </mc:Fallback>
        </mc:AlternateConten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 name="直接连接符 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i+/zkdcAAAAKAQAADwAAAAAAAAABACAAAAAiAAAAZHJzL2Rvd25yZXYueG1sUEsBAhQAFAAA&#10;AAgAh07iQN2BzWfwAQAA2QMAAA4AAAAAAAAAAQAgAAAAJgEAAGRycy9lMm9Eb2MueG1sUEsFBgAA&#10;AAAGAAYAWQEAAIg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本文书一式三份，一份送达，一份归档，一份办案机构留存。</w:t>
      </w:r>
    </w:p>
    <w:p w14:paraId="41503C30">
      <w:pPr>
        <w:spacing w:line="500" w:lineRule="exact"/>
        <w:rPr>
          <w:color w:val="auto"/>
        </w:rPr>
      </w:pP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angal">
    <w:altName w:val="优设标题黑"/>
    <w:panose1 w:val="00000400000000000000"/>
    <w:charset w:val="00"/>
    <w:family w:val="roman"/>
    <w:pitch w:val="default"/>
    <w:sig w:usb0="00000000" w:usb1="00000000" w:usb2="00000000" w:usb3="00000000" w:csb0="00000000" w:csb1="00000000"/>
  </w:font>
  <w:font w:name="优设标题黑">
    <w:panose1 w:val="00000500000000000000"/>
    <w:charset w:val="86"/>
    <w:family w:val="auto"/>
    <w:pitch w:val="default"/>
    <w:sig w:usb0="00000001" w:usb1="00000000" w:usb2="00000016"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Mongolian Baiti">
    <w:altName w:val="汉仪叶叶相思体简"/>
    <w:panose1 w:val="03000500000000000000"/>
    <w:charset w:val="00"/>
    <w:family w:val="script"/>
    <w:pitch w:val="default"/>
    <w:sig w:usb0="00000000" w:usb1="00000000" w:usb2="00020000" w:usb3="00000000" w:csb0="00000001" w:csb1="00000000"/>
  </w:font>
  <w:font w:name="汉仪叶叶相思体简">
    <w:panose1 w:val="02010509060101010101"/>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CE69B5">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RhOGIwODJhYjliZTc2ZWVlOTg1NDc2NTgzMTU0ZDgifQ=="/>
    <w:docVar w:name="KSO_WPS_MARK_KEY" w:val="ad3abea3-8ba7-47a2-bc3f-332894d4261f"/>
  </w:docVars>
  <w:rsids>
    <w:rsidRoot w:val="5BA419F7"/>
    <w:rsid w:val="00193C35"/>
    <w:rsid w:val="0032134F"/>
    <w:rsid w:val="02B83402"/>
    <w:rsid w:val="04CD463F"/>
    <w:rsid w:val="04FA4431"/>
    <w:rsid w:val="06BAE61F"/>
    <w:rsid w:val="071C7669"/>
    <w:rsid w:val="0776795A"/>
    <w:rsid w:val="08365B64"/>
    <w:rsid w:val="0B22091D"/>
    <w:rsid w:val="0CF71776"/>
    <w:rsid w:val="103E22C5"/>
    <w:rsid w:val="1350279A"/>
    <w:rsid w:val="14203063"/>
    <w:rsid w:val="143E1E38"/>
    <w:rsid w:val="152E563E"/>
    <w:rsid w:val="15B93156"/>
    <w:rsid w:val="17F3F170"/>
    <w:rsid w:val="18325353"/>
    <w:rsid w:val="18B229B2"/>
    <w:rsid w:val="19FE4517"/>
    <w:rsid w:val="1AE345F4"/>
    <w:rsid w:val="1CFF9BC3"/>
    <w:rsid w:val="1DA4420A"/>
    <w:rsid w:val="1F2B5D07"/>
    <w:rsid w:val="1FD31F15"/>
    <w:rsid w:val="236534A4"/>
    <w:rsid w:val="244E1F2B"/>
    <w:rsid w:val="24626694"/>
    <w:rsid w:val="258D6CE0"/>
    <w:rsid w:val="2B1B3EFC"/>
    <w:rsid w:val="2CEA3815"/>
    <w:rsid w:val="2DE10173"/>
    <w:rsid w:val="2F327E79"/>
    <w:rsid w:val="2F7CE1EF"/>
    <w:rsid w:val="30DB5683"/>
    <w:rsid w:val="342602B0"/>
    <w:rsid w:val="3585615B"/>
    <w:rsid w:val="368E5656"/>
    <w:rsid w:val="377FBB27"/>
    <w:rsid w:val="37F16547"/>
    <w:rsid w:val="38B63DA7"/>
    <w:rsid w:val="3930619F"/>
    <w:rsid w:val="3A4E178D"/>
    <w:rsid w:val="3BF97ECA"/>
    <w:rsid w:val="3C2965F0"/>
    <w:rsid w:val="3F2604DF"/>
    <w:rsid w:val="3F6783E4"/>
    <w:rsid w:val="3FFF82D4"/>
    <w:rsid w:val="402E7C06"/>
    <w:rsid w:val="40FE5F8F"/>
    <w:rsid w:val="425049CE"/>
    <w:rsid w:val="4659781C"/>
    <w:rsid w:val="48C10000"/>
    <w:rsid w:val="4A256B30"/>
    <w:rsid w:val="4B8F0B22"/>
    <w:rsid w:val="4C02380F"/>
    <w:rsid w:val="4CC8271B"/>
    <w:rsid w:val="4D9306AE"/>
    <w:rsid w:val="4E8950D9"/>
    <w:rsid w:val="4F0457DF"/>
    <w:rsid w:val="547C0750"/>
    <w:rsid w:val="57503162"/>
    <w:rsid w:val="591F0542"/>
    <w:rsid w:val="5BA419F7"/>
    <w:rsid w:val="5BF91583"/>
    <w:rsid w:val="5BFB2E57"/>
    <w:rsid w:val="5DD7483B"/>
    <w:rsid w:val="5DF326CC"/>
    <w:rsid w:val="5E5FAB03"/>
    <w:rsid w:val="5F9FEDD5"/>
    <w:rsid w:val="5FBEF003"/>
    <w:rsid w:val="5FE33914"/>
    <w:rsid w:val="5FFA4D85"/>
    <w:rsid w:val="602422E6"/>
    <w:rsid w:val="60B635F2"/>
    <w:rsid w:val="612E7E8C"/>
    <w:rsid w:val="64E43803"/>
    <w:rsid w:val="66733921"/>
    <w:rsid w:val="69690BB2"/>
    <w:rsid w:val="6AD7030F"/>
    <w:rsid w:val="6BCC1BB9"/>
    <w:rsid w:val="6D923254"/>
    <w:rsid w:val="6E04767D"/>
    <w:rsid w:val="6E6950E9"/>
    <w:rsid w:val="6F732ABB"/>
    <w:rsid w:val="6FF58B64"/>
    <w:rsid w:val="6FF8F863"/>
    <w:rsid w:val="70CF02CA"/>
    <w:rsid w:val="71013020"/>
    <w:rsid w:val="710D7C3E"/>
    <w:rsid w:val="7376089F"/>
    <w:rsid w:val="75B2DA43"/>
    <w:rsid w:val="75BD90DB"/>
    <w:rsid w:val="777F65B4"/>
    <w:rsid w:val="77DF8BD4"/>
    <w:rsid w:val="77EFD5CC"/>
    <w:rsid w:val="77FFADAC"/>
    <w:rsid w:val="7B0F6E9A"/>
    <w:rsid w:val="7BFD6076"/>
    <w:rsid w:val="7C8E43D6"/>
    <w:rsid w:val="7DA813EB"/>
    <w:rsid w:val="7DF3749A"/>
    <w:rsid w:val="7DFF108F"/>
    <w:rsid w:val="7EED8AE6"/>
    <w:rsid w:val="7FEADF5C"/>
    <w:rsid w:val="91BF8AB9"/>
    <w:rsid w:val="9FF1B21D"/>
    <w:rsid w:val="A4F72292"/>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EFE83A"/>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573</Words>
  <Characters>671</Characters>
  <Lines>0</Lines>
  <Paragraphs>0</Paragraphs>
  <TotalTime>0</TotalTime>
  <ScaleCrop>false</ScaleCrop>
  <LinksUpToDate>false</LinksUpToDate>
  <CharactersWithSpaces>1921</CharactersWithSpaces>
  <Application>WPS Office_12.8.2.20327_F1E327BC-269C-435d-A152-05C5408002CA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2021-08-04T02:04:00Z</dcterms:created>
  <dc:creator>胖林宝宝噜啦噜～</dc:creator>
  <cp:lastModifiedBy>user</cp:lastModifiedBy>
  <dcterms:modified xsi:type="dcterms:W3CDTF">2026-03-18T10:42:06Z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2052-12.8.2.20327</vt:lpwstr>
  </property>
  <property fmtid="{D5CDD505-2E9C-101B-9397-08002B2CF9AE}" pid="3" name="ICV">
    <vt:lpwstr>526F4C53292B48849053E71A59849707</vt:lpwstr>
  </property>
</Properties>
</file>