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4A7D2">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auto"/>
          <w:sz w:val="44"/>
        </w:rPr>
        <w:t>乳山市市场监督管理局</w:t>
      </w:r>
      <w:bookmarkEnd w:id="0"/>
    </w:p>
    <w:p w14:paraId="36ED47D5">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auto"/>
          <w:sz w:val="44"/>
          <w:szCs w:val="44"/>
          <w:lang w:val="en-US"/>
        </w:rPr>
        <w:t>行政处罚告知书</w:t>
      </w:r>
      <w:bookmarkEnd w:id="1"/>
    </w:p>
    <w:p w14:paraId="3BCEEDF3">
      <w:pPr>
        <w:spacing w:line="560" w:lineRule="exact"/>
        <w:jc w:val="center"/>
        <w:outlineLvl w:val="1"/>
        <w:rPr>
          <w:rFonts w:hint="eastAsia" w:ascii="Times New Roman" w:hAnsi="Times New Roman" w:eastAsia="仿宋_GB2312" w:cs="仿宋"/>
          <w:color w:val="auto"/>
          <w:sz w:val="32"/>
          <w:szCs w:val="32"/>
        </w:rPr>
      </w:pPr>
      <w:bookmarkStart w:id="2" w:name="tAj_wh"/>
      <w:r>
        <w:rPr>
          <w:rFonts w:hint="default" w:ascii="Times New Roman" w:hAnsi="Times New Roman" w:eastAsia="仿宋_GB2312" w:cs="仿宋"/>
          <w:color w:val="auto"/>
          <w:sz w:val="32"/>
        </w:rPr>
        <w:t>乳市监罚告〔2026〕342号</w:t>
      </w:r>
      <w:bookmarkEnd w:id="2"/>
    </w:p>
    <w:p w14:paraId="1DAEBE0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
          <w:color w:val="auto"/>
          <w:sz w:val="32"/>
          <w:szCs w:val="32"/>
        </w:rPr>
      </w:pPr>
      <w:bookmarkStart w:id="3" w:name="CALCULATE—DSR—tAjDsrs_cMc"/>
      <w:r>
        <w:rPr>
          <w:rFonts w:hint="eastAsia" w:ascii="仿宋_GB2312" w:hAnsi="仿宋" w:eastAsia="仿宋_GB2312" w:cs="仿宋"/>
          <w:color w:val="auto"/>
          <w:sz w:val="32"/>
          <w:u w:val="none"/>
        </w:rPr>
        <w:t>乳山市富丽园服饰有限公司</w:t>
      </w:r>
      <w:bookmarkEnd w:id="3"/>
      <w:r>
        <w:rPr>
          <w:rFonts w:hint="eastAsia" w:ascii="Times New Roman" w:hAnsi="Times New Roman" w:eastAsia="仿宋_GB2312" w:cs="仿宋"/>
          <w:color w:val="auto"/>
          <w:sz w:val="32"/>
          <w:szCs w:val="32"/>
        </w:rPr>
        <w:t>：</w:t>
      </w:r>
    </w:p>
    <w:p w14:paraId="49BBC9B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
          <w:sz w:val="32"/>
          <w:szCs w:val="32"/>
          <w:lang w:eastAsia="zh-CN"/>
        </w:rPr>
      </w:pPr>
      <w:r>
        <w:rPr>
          <w:rFonts w:hint="eastAsia" w:ascii="Times New Roman" w:hAnsi="Times New Roman" w:eastAsia="仿宋_GB2312" w:cs="仿宋"/>
          <w:sz w:val="32"/>
          <w:szCs w:val="32"/>
          <w:lang w:val="en-US" w:eastAsia="zh-CN"/>
        </w:rPr>
        <w:t>由本局立案调查的你单位</w:t>
      </w:r>
      <w:r>
        <w:rPr>
          <w:rFonts w:hint="eastAsia" w:ascii="仿宋_GB2312" w:hAnsi="仿宋" w:eastAsia="仿宋_GB2312" w:cs="仿宋"/>
          <w:sz w:val="32"/>
          <w:szCs w:val="32"/>
          <w:u w:val="none" w:color="auto"/>
          <w:lang w:val="en-US" w:eastAsia="zh-CN"/>
        </w:rPr>
        <w:t>涉嫌</w:t>
      </w:r>
      <w:bookmarkStart w:id="4" w:name="tAj_cAjmcZywfxw"/>
      <w:r>
        <w:rPr>
          <w:rFonts w:hint="eastAsia" w:ascii="仿宋_GB2312" w:hAnsi="仿宋" w:eastAsia="仿宋_GB2312" w:cs="仿宋"/>
          <w:sz w:val="32"/>
          <w:szCs w:val="32"/>
          <w:u w:val="none" w:color="auto"/>
          <w:lang w:val="en-US" w:eastAsia="zh-CN"/>
        </w:rPr>
        <w:t>开业后自行停业连续六个月以上</w:t>
      </w:r>
      <w:bookmarkEnd w:id="4"/>
      <w:r>
        <w:rPr>
          <w:rFonts w:hint="eastAsia" w:ascii="Times New Roman" w:hAnsi="Times New Roman" w:eastAsia="仿宋_GB2312" w:cs="仿宋"/>
          <w:sz w:val="32"/>
          <w:szCs w:val="32"/>
          <w:lang w:eastAsia="zh-CN"/>
        </w:rPr>
        <w:t>一案，已调查终结。依据《中华人民共和国行政处罚法》第四十四条的规定，现将本局拟作出行政处罚的内容及事实、理由、依据告知如下：</w:t>
      </w:r>
    </w:p>
    <w:p w14:paraId="20A4FE8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sz w:val="32"/>
          <w:szCs w:val="32"/>
        </w:rPr>
      </w:pPr>
      <w:bookmarkStart w:id="6" w:name="_GoBack"/>
      <w:r>
        <w:rPr>
          <w:rFonts w:hint="eastAsia" w:ascii="仿宋_GB2312" w:hAnsi="仿宋_GB2312" w:eastAsia="仿宋_GB2312" w:cs="仿宋_GB2312"/>
          <w:bCs/>
          <w:sz w:val="32"/>
          <w:szCs w:val="32"/>
          <w:lang w:val="en-US" w:eastAsia="zh-CN"/>
        </w:rPr>
        <w:t>2026年05月15日</w:t>
      </w:r>
      <w:r>
        <w:rPr>
          <w:rFonts w:hint="eastAsia" w:ascii="仿宋_GB2312" w:hAnsi="仿宋_GB2312" w:eastAsia="仿宋_GB2312" w:cs="仿宋_GB2312"/>
          <w:bCs/>
          <w:sz w:val="32"/>
          <w:szCs w:val="32"/>
        </w:rPr>
        <w:t>接信用监管科提供案件线索，</w:t>
      </w:r>
      <w:r>
        <w:rPr>
          <w:rFonts w:hint="eastAsia" w:ascii="仿宋_GB2312" w:hAnsi="仿宋_GB2312" w:eastAsia="仿宋_GB2312" w:cs="仿宋_GB2312"/>
          <w:bCs/>
          <w:sz w:val="32"/>
          <w:szCs w:val="32"/>
          <w:lang w:eastAsia="zh-CN"/>
        </w:rPr>
        <w:t>通过国家企业信用信息公示系统发现乳山市富丽园服饰有限公司</w:t>
      </w:r>
      <w:r>
        <w:rPr>
          <w:rFonts w:hint="eastAsia" w:ascii="仿宋_GB2312" w:hAnsi="仿宋_GB2312" w:eastAsia="仿宋_GB2312" w:cs="仿宋_GB2312"/>
          <w:bCs/>
          <w:sz w:val="32"/>
          <w:szCs w:val="32"/>
          <w:lang w:val="en-US" w:eastAsia="zh-CN"/>
        </w:rPr>
        <w:t>2021-</w:t>
      </w: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年度未申报</w:t>
      </w:r>
      <w:r>
        <w:rPr>
          <w:rFonts w:hint="eastAsia" w:ascii="仿宋_GB2312" w:hAnsi="仿宋_GB2312" w:eastAsia="仿宋_GB2312" w:cs="仿宋_GB2312"/>
          <w:bCs/>
          <w:sz w:val="32"/>
          <w:szCs w:val="32"/>
          <w:lang w:val="en-US" w:eastAsia="zh-CN"/>
        </w:rPr>
        <w:t>企业年报。</w:t>
      </w:r>
      <w:r>
        <w:rPr>
          <w:rFonts w:hint="eastAsia" w:ascii="Times New Roman" w:hAnsi="仿宋_GB2312" w:eastAsia="仿宋_GB2312" w:cs="仿宋_GB2312"/>
          <w:b w:val="0"/>
          <w:bCs w:val="0"/>
          <w:sz w:val="32"/>
          <w:szCs w:val="32"/>
          <w:lang w:eastAsia="zh-CN"/>
        </w:rPr>
        <w:t>其行为</w:t>
      </w:r>
      <w:r>
        <w:rPr>
          <w:rFonts w:hint="eastAsia" w:ascii="Times New Roman" w:hAnsi="仿宋_GB2312" w:eastAsia="仿宋_GB2312" w:cs="仿宋_GB2312"/>
          <w:b w:val="0"/>
          <w:bCs w:val="0"/>
          <w:sz w:val="32"/>
          <w:szCs w:val="32"/>
        </w:rPr>
        <w:t>涉嫌违反《中华人民共和国公司法》</w:t>
      </w:r>
      <w:r>
        <w:rPr>
          <w:rFonts w:hint="eastAsia" w:ascii="Times New Roman" w:hAnsi="仿宋_GB2312" w:eastAsia="仿宋_GB2312" w:cs="仿宋_GB2312"/>
          <w:b w:val="0"/>
          <w:bCs w:val="0"/>
          <w:sz w:val="32"/>
          <w:szCs w:val="32"/>
          <w:lang w:eastAsia="zh-CN"/>
        </w:rPr>
        <w:t>第二百六十条</w:t>
      </w:r>
      <w:r>
        <w:rPr>
          <w:rFonts w:hint="eastAsia" w:ascii="Times New Roman" w:hAnsi="仿宋_GB2312" w:eastAsia="仿宋_GB2312" w:cs="仿宋_GB2312"/>
          <w:b w:val="0"/>
          <w:bCs w:val="0"/>
          <w:sz w:val="32"/>
          <w:szCs w:val="32"/>
        </w:rPr>
        <w:t>之规定</w:t>
      </w:r>
      <w:r>
        <w:rPr>
          <w:rFonts w:hint="eastAsia" w:ascii="仿宋_GB2312" w:hAnsi="仿宋_GB2312" w:eastAsia="仿宋_GB2312" w:cs="仿宋_GB2312"/>
          <w:bCs/>
          <w:sz w:val="32"/>
          <w:szCs w:val="32"/>
        </w:rPr>
        <w:t>，为查明事实，本局于</w:t>
      </w:r>
      <w:r>
        <w:rPr>
          <w:rFonts w:hint="eastAsia" w:ascii="仿宋_GB2312" w:hAnsi="仿宋_GB2312" w:eastAsia="仿宋_GB2312" w:cs="仿宋_GB2312"/>
          <w:bCs/>
          <w:sz w:val="32"/>
          <w:szCs w:val="32"/>
          <w:lang w:val="en-US" w:eastAsia="zh-CN"/>
        </w:rPr>
        <w:t>2026年05月22日</w:t>
      </w:r>
      <w:r>
        <w:rPr>
          <w:rFonts w:hint="eastAsia" w:ascii="仿宋_GB2312" w:hAnsi="仿宋_GB2312" w:eastAsia="仿宋_GB2312" w:cs="仿宋_GB2312"/>
          <w:bCs/>
          <w:sz w:val="32"/>
          <w:szCs w:val="32"/>
        </w:rPr>
        <w:t>立案。在调查中，我局执法人员对</w:t>
      </w:r>
      <w:r>
        <w:rPr>
          <w:rFonts w:hint="eastAsia" w:ascii="Times New Roman" w:hAnsi="Times New Roman" w:eastAsia="仿宋_GB2312" w:cs="仿宋"/>
          <w:sz w:val="32"/>
          <w:szCs w:val="32"/>
          <w:lang w:val="en-US" w:eastAsia="zh-CN"/>
        </w:rPr>
        <w:t>你单位</w:t>
      </w:r>
      <w:r>
        <w:rPr>
          <w:rFonts w:hint="eastAsia" w:ascii="仿宋_GB2312" w:hAnsi="仿宋_GB2312" w:eastAsia="仿宋_GB2312" w:cs="仿宋_GB2312"/>
          <w:bCs/>
          <w:sz w:val="32"/>
          <w:szCs w:val="32"/>
        </w:rPr>
        <w:t>企业年报情况，在乳山市行政审批服务局登记情况，在国家税务总局乳山市税务局税务报税情况，在乳山市</w:t>
      </w:r>
      <w:r>
        <w:rPr>
          <w:rFonts w:hint="eastAsia" w:ascii="仿宋_GB2312" w:hAnsi="仿宋_GB2312" w:eastAsia="仿宋_GB2312" w:cs="仿宋_GB2312"/>
          <w:bCs/>
          <w:sz w:val="32"/>
          <w:szCs w:val="32"/>
          <w:lang w:eastAsia="zh-CN"/>
        </w:rPr>
        <w:t>人力资源和社会保障局</w:t>
      </w:r>
      <w:r>
        <w:rPr>
          <w:rFonts w:hint="eastAsia" w:ascii="仿宋_GB2312" w:hAnsi="仿宋_GB2312" w:eastAsia="仿宋_GB2312" w:cs="仿宋_GB2312"/>
          <w:bCs/>
          <w:sz w:val="32"/>
          <w:szCs w:val="32"/>
        </w:rPr>
        <w:t>社会保险缴纳情况进行了调查。</w:t>
      </w:r>
      <w:r>
        <w:rPr>
          <w:rFonts w:hint="eastAsia" w:ascii="仿宋_GB2312" w:hAnsi="仿宋_GB2312" w:eastAsia="仿宋_GB2312" w:cs="仿宋_GB2312"/>
          <w:bCs/>
          <w:sz w:val="32"/>
          <w:szCs w:val="32"/>
          <w:lang w:eastAsia="zh-CN"/>
        </w:rPr>
        <w:t>并于</w:t>
      </w:r>
      <w:r>
        <w:rPr>
          <w:rFonts w:hint="eastAsia" w:ascii="仿宋_GB2312" w:hAnsi="仿宋_GB2312" w:eastAsia="仿宋_GB2312" w:cs="仿宋_GB2312"/>
          <w:bCs/>
          <w:sz w:val="32"/>
          <w:szCs w:val="32"/>
          <w:lang w:val="en-US" w:eastAsia="zh-CN"/>
        </w:rPr>
        <w:t>2026年05月22日</w:t>
      </w:r>
      <w:r>
        <w:rPr>
          <w:rFonts w:hint="eastAsia" w:ascii="仿宋_GB2312" w:hAnsi="仿宋_GB2312" w:eastAsia="仿宋_GB2312" w:cs="仿宋_GB2312"/>
          <w:bCs/>
          <w:sz w:val="32"/>
          <w:szCs w:val="32"/>
        </w:rPr>
        <w:t>对</w:t>
      </w:r>
      <w:r>
        <w:rPr>
          <w:rFonts w:hint="eastAsia" w:ascii="Times New Roman" w:hAnsi="Times New Roman" w:eastAsia="仿宋_GB2312" w:cs="仿宋"/>
          <w:sz w:val="32"/>
          <w:szCs w:val="32"/>
          <w:lang w:val="en-US" w:eastAsia="zh-CN"/>
        </w:rPr>
        <w:t>你单位</w:t>
      </w:r>
      <w:r>
        <w:rPr>
          <w:rFonts w:hint="eastAsia" w:ascii="仿宋_GB2312" w:hAnsi="仿宋_GB2312" w:eastAsia="仿宋_GB2312" w:cs="仿宋_GB2312"/>
          <w:bCs/>
          <w:sz w:val="32"/>
          <w:szCs w:val="32"/>
        </w:rPr>
        <w:t>进行了现场检查。</w:t>
      </w:r>
    </w:p>
    <w:p w14:paraId="1FBD98B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经查</w:t>
      </w:r>
      <w:r>
        <w:rPr>
          <w:rFonts w:ascii="仿宋_GB2312" w:hAnsi="仿宋_GB2312" w:eastAsia="仿宋_GB2312" w:cs="仿宋_GB2312"/>
          <w:bCs/>
          <w:sz w:val="32"/>
          <w:szCs w:val="32"/>
        </w:rPr>
        <w:t>，</w:t>
      </w:r>
      <w:r>
        <w:rPr>
          <w:rFonts w:hint="eastAsia" w:ascii="Times New Roman" w:hAnsi="Times New Roman" w:eastAsia="仿宋_GB2312" w:cs="仿宋"/>
          <w:sz w:val="32"/>
          <w:szCs w:val="32"/>
          <w:lang w:val="en-US" w:eastAsia="zh-CN"/>
        </w:rPr>
        <w:t>你单位</w:t>
      </w:r>
      <w:r>
        <w:rPr>
          <w:rFonts w:hint="eastAsia" w:ascii="仿宋_GB2312" w:hAnsi="仿宋_GB2312" w:eastAsia="仿宋_GB2312" w:cs="仿宋_GB2312"/>
          <w:bCs/>
          <w:sz w:val="32"/>
          <w:szCs w:val="32"/>
        </w:rPr>
        <w:t>于</w:t>
      </w:r>
      <w:r>
        <w:rPr>
          <w:rFonts w:hint="eastAsia" w:ascii="仿宋_GB2312" w:hAnsi="仿宋_GB2312" w:eastAsia="仿宋_GB2312" w:cs="仿宋_GB2312"/>
          <w:bCs/>
          <w:sz w:val="32"/>
          <w:szCs w:val="32"/>
          <w:lang w:eastAsia="zh-CN"/>
        </w:rPr>
        <w:t>20</w:t>
      </w:r>
      <w:r>
        <w:rPr>
          <w:rFonts w:hint="eastAsia" w:ascii="仿宋_GB2312" w:hAnsi="仿宋_GB2312" w:eastAsia="仿宋_GB2312" w:cs="仿宋_GB2312"/>
          <w:bCs/>
          <w:sz w:val="32"/>
          <w:szCs w:val="32"/>
          <w:lang w:val="en-US" w:eastAsia="zh-CN"/>
        </w:rPr>
        <w:t>16</w:t>
      </w:r>
      <w:r>
        <w:rPr>
          <w:rFonts w:hint="eastAsia" w:ascii="仿宋_GB2312" w:hAnsi="仿宋_GB2312" w:eastAsia="仿宋_GB2312" w:cs="仿宋_GB2312"/>
          <w:bCs/>
          <w:sz w:val="32"/>
          <w:szCs w:val="32"/>
          <w:lang w:eastAsia="zh-CN"/>
        </w:rPr>
        <w:t>年</w:t>
      </w:r>
      <w:r>
        <w:rPr>
          <w:rFonts w:hint="eastAsia" w:ascii="仿宋_GB2312" w:hAnsi="仿宋_GB2312" w:eastAsia="仿宋_GB2312" w:cs="仿宋_GB2312"/>
          <w:bCs/>
          <w:sz w:val="32"/>
          <w:szCs w:val="32"/>
          <w:lang w:val="en-US" w:eastAsia="zh-CN"/>
        </w:rPr>
        <w:t>01</w:t>
      </w:r>
      <w:r>
        <w:rPr>
          <w:rFonts w:hint="eastAsia" w:ascii="仿宋_GB2312" w:hAnsi="仿宋_GB2312" w:eastAsia="仿宋_GB2312" w:cs="仿宋_GB2312"/>
          <w:bCs/>
          <w:sz w:val="32"/>
          <w:szCs w:val="32"/>
          <w:lang w:eastAsia="zh-CN"/>
        </w:rPr>
        <w:t>月</w:t>
      </w:r>
      <w:r>
        <w:rPr>
          <w:rFonts w:hint="eastAsia" w:ascii="仿宋_GB2312" w:hAnsi="仿宋_GB2312" w:eastAsia="仿宋_GB2312" w:cs="仿宋_GB2312"/>
          <w:bCs/>
          <w:sz w:val="32"/>
          <w:szCs w:val="32"/>
          <w:lang w:val="en-US" w:eastAsia="zh-CN"/>
        </w:rPr>
        <w:t>05</w:t>
      </w:r>
      <w:r>
        <w:rPr>
          <w:rFonts w:hint="eastAsia" w:ascii="仿宋_GB2312" w:hAnsi="仿宋_GB2312" w:eastAsia="仿宋_GB2312" w:cs="仿宋_GB2312"/>
          <w:bCs/>
          <w:sz w:val="32"/>
          <w:szCs w:val="32"/>
          <w:lang w:eastAsia="zh-CN"/>
        </w:rPr>
        <w:t>日</w:t>
      </w:r>
      <w:r>
        <w:rPr>
          <w:rFonts w:hint="eastAsia" w:ascii="仿宋_GB2312" w:hAnsi="仿宋_GB2312" w:eastAsia="仿宋_GB2312" w:cs="仿宋_GB2312"/>
          <w:bCs/>
          <w:sz w:val="32"/>
          <w:szCs w:val="32"/>
        </w:rPr>
        <w:t>设立，</w:t>
      </w:r>
      <w:r>
        <w:rPr>
          <w:rFonts w:hint="eastAsia" w:ascii="仿宋_GB2312" w:hAnsi="仿宋_GB2312" w:eastAsia="仿宋_GB2312" w:cs="仿宋_GB2312"/>
          <w:bCs/>
          <w:sz w:val="32"/>
          <w:szCs w:val="32"/>
          <w:lang w:eastAsia="zh-CN"/>
        </w:rPr>
        <w:t>因未依照《企业信息公示暂行条例》第八条规定的期限公示年度报告，于</w:t>
      </w:r>
      <w:r>
        <w:rPr>
          <w:rFonts w:hint="eastAsia" w:ascii="仿宋_GB2312" w:hAnsi="仿宋_GB2312" w:eastAsia="仿宋_GB2312" w:cs="仿宋_GB2312"/>
          <w:bCs/>
          <w:sz w:val="32"/>
          <w:szCs w:val="32"/>
          <w:lang w:val="en-US" w:eastAsia="zh-CN"/>
        </w:rPr>
        <w:t>2021年7月12日、2022年7月12日、2023年7月14日、</w:t>
      </w: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eastAsia="zh-CN"/>
        </w:rPr>
        <w:t>年7月</w:t>
      </w:r>
      <w:r>
        <w:rPr>
          <w:rFonts w:hint="eastAsia" w:ascii="仿宋_GB2312" w:hAnsi="仿宋_GB2312" w:eastAsia="仿宋_GB2312" w:cs="仿宋_GB2312"/>
          <w:bCs/>
          <w:sz w:val="32"/>
          <w:szCs w:val="32"/>
          <w:lang w:val="en-US" w:eastAsia="zh-CN"/>
        </w:rPr>
        <w:t>12</w:t>
      </w:r>
      <w:r>
        <w:rPr>
          <w:rFonts w:hint="eastAsia" w:ascii="仿宋_GB2312" w:hAnsi="仿宋_GB2312" w:eastAsia="仿宋_GB2312" w:cs="仿宋_GB2312"/>
          <w:bCs/>
          <w:sz w:val="32"/>
          <w:szCs w:val="32"/>
          <w:lang w:eastAsia="zh-CN"/>
        </w:rPr>
        <w:t>日、</w:t>
      </w:r>
      <w:r>
        <w:rPr>
          <w:rFonts w:hint="eastAsia" w:ascii="仿宋_GB2312" w:hAnsi="仿宋_GB2312" w:eastAsia="仿宋_GB2312" w:cs="仿宋_GB2312"/>
          <w:bCs/>
          <w:sz w:val="32"/>
          <w:szCs w:val="32"/>
          <w:lang w:val="en-US" w:eastAsia="zh-CN"/>
        </w:rPr>
        <w:t>2025年7月11日、</w:t>
      </w: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eastAsia="zh-CN"/>
        </w:rPr>
        <w:t>年7月1</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日、被列入经营异常名录。</w:t>
      </w:r>
      <w:r>
        <w:rPr>
          <w:rFonts w:hint="eastAsia" w:ascii="仿宋_GB2312" w:hAnsi="仿宋_GB2312" w:eastAsia="仿宋_GB2312" w:cs="仿宋_GB2312"/>
          <w:bCs/>
          <w:sz w:val="32"/>
          <w:szCs w:val="32"/>
          <w:lang w:val="en-US" w:eastAsia="zh-CN"/>
        </w:rPr>
        <w:t>2026年05月22日</w:t>
      </w:r>
      <w:r>
        <w:rPr>
          <w:rFonts w:hint="eastAsia" w:ascii="仿宋_GB2312" w:hAnsi="仿宋_GB2312" w:eastAsia="仿宋_GB2312" w:cs="仿宋_GB2312"/>
          <w:bCs/>
          <w:sz w:val="32"/>
          <w:szCs w:val="32"/>
        </w:rPr>
        <w:t>，我局执法人员根据企业注册信息依法对</w:t>
      </w:r>
      <w:r>
        <w:rPr>
          <w:rFonts w:hint="eastAsia" w:ascii="仿宋_GB2312" w:hAnsi="仿宋_GB2312" w:eastAsia="仿宋_GB2312" w:cs="仿宋_GB2312"/>
          <w:bCs/>
          <w:sz w:val="32"/>
          <w:szCs w:val="32"/>
          <w:lang w:eastAsia="zh-CN"/>
        </w:rPr>
        <w:t>山东省威海市乳山市金谷园18-1-19号</w:t>
      </w:r>
      <w:r>
        <w:rPr>
          <w:rFonts w:hint="eastAsia" w:ascii="仿宋_GB2312" w:hAnsi="仿宋_GB2312" w:eastAsia="仿宋_GB2312" w:cs="仿宋_GB2312"/>
          <w:bCs/>
          <w:sz w:val="32"/>
          <w:szCs w:val="32"/>
        </w:rPr>
        <w:t>进行现场检查。经现场核查，</w:t>
      </w:r>
      <w:r>
        <w:rPr>
          <w:rFonts w:hint="eastAsia" w:ascii="仿宋_GB2312" w:hAnsi="仿宋_GB2312" w:eastAsia="仿宋_GB2312" w:cs="仿宋_GB2312"/>
          <w:bCs/>
          <w:sz w:val="32"/>
          <w:szCs w:val="32"/>
          <w:lang w:eastAsia="zh-CN"/>
        </w:rPr>
        <w:t>乳山市富丽园服饰有限公司</w:t>
      </w:r>
      <w:r>
        <w:rPr>
          <w:rFonts w:hint="eastAsia" w:ascii="仿宋_GB2312" w:hAnsi="仿宋_GB2312" w:eastAsia="仿宋_GB2312" w:cs="仿宋_GB2312"/>
          <w:bCs/>
          <w:sz w:val="32"/>
          <w:szCs w:val="32"/>
        </w:rPr>
        <w:t>住所查无该企业。现场拨打企业的联系电话，无法联系到</w:t>
      </w:r>
      <w:r>
        <w:rPr>
          <w:rFonts w:hint="eastAsia" w:ascii="Times New Roman" w:hAnsi="Times New Roman" w:eastAsia="仿宋_GB2312" w:cs="仿宋"/>
          <w:sz w:val="32"/>
          <w:szCs w:val="32"/>
          <w:lang w:val="en-US" w:eastAsia="zh-CN"/>
        </w:rPr>
        <w:t>你单位</w:t>
      </w:r>
      <w:r>
        <w:rPr>
          <w:rFonts w:hint="eastAsia" w:ascii="仿宋_GB2312" w:hAnsi="仿宋_GB2312" w:eastAsia="仿宋_GB2312" w:cs="仿宋_GB2312"/>
          <w:bCs/>
          <w:sz w:val="32"/>
          <w:szCs w:val="32"/>
        </w:rPr>
        <w:t>。另查明，</w:t>
      </w:r>
      <w:r>
        <w:rPr>
          <w:rFonts w:hint="eastAsia" w:ascii="Times New Roman" w:hAnsi="Times New Roman" w:eastAsia="仿宋_GB2312" w:cs="仿宋"/>
          <w:sz w:val="32"/>
          <w:szCs w:val="32"/>
          <w:lang w:val="en-US" w:eastAsia="zh-CN"/>
        </w:rPr>
        <w:t>你单位</w:t>
      </w:r>
      <w:r>
        <w:rPr>
          <w:rFonts w:hint="eastAsia" w:ascii="仿宋_GB2312" w:hAnsi="仿宋_GB2312" w:eastAsia="仿宋_GB2312" w:cs="仿宋_GB2312"/>
          <w:bCs/>
          <w:sz w:val="32"/>
          <w:szCs w:val="32"/>
        </w:rPr>
        <w:t>税务状态</w:t>
      </w:r>
      <w:r>
        <w:rPr>
          <w:rFonts w:ascii="仿宋_GB2312" w:hAnsi="仿宋_GB2312" w:eastAsia="仿宋_GB2312" w:cs="仿宋_GB2312"/>
          <w:bCs/>
          <w:sz w:val="32"/>
          <w:szCs w:val="32"/>
        </w:rPr>
        <w:t>为</w:t>
      </w:r>
      <w:r>
        <w:rPr>
          <w:rFonts w:hint="eastAsia" w:ascii="仿宋_GB2312" w:hAnsi="仿宋_GB2312" w:eastAsia="仿宋_GB2312" w:cs="仿宋_GB2312"/>
          <w:bCs/>
          <w:sz w:val="32"/>
          <w:szCs w:val="32"/>
          <w:lang w:val="en-US" w:eastAsia="zh-CN"/>
        </w:rPr>
        <w:t>非正常户注销状态</w:t>
      </w:r>
      <w:r>
        <w:rPr>
          <w:rFonts w:hint="eastAsia" w:ascii="仿宋_GB2312" w:hAnsi="仿宋_GB2312" w:eastAsia="仿宋_GB2312" w:cs="仿宋_GB2312"/>
          <w:bCs/>
          <w:sz w:val="32"/>
          <w:szCs w:val="32"/>
        </w:rPr>
        <w:t>；社保</w:t>
      </w:r>
      <w:r>
        <w:rPr>
          <w:rFonts w:hint="eastAsia" w:ascii="仿宋_GB2312" w:hAnsi="仿宋_GB2312" w:eastAsia="仿宋_GB2312" w:cs="仿宋_GB2312"/>
          <w:bCs/>
          <w:sz w:val="32"/>
          <w:szCs w:val="32"/>
          <w:lang w:eastAsia="zh-CN"/>
        </w:rPr>
        <w:t>未</w:t>
      </w:r>
      <w:r>
        <w:rPr>
          <w:rFonts w:ascii="仿宋_GB2312" w:hAnsi="仿宋_GB2312" w:eastAsia="仿宋_GB2312" w:cs="仿宋_GB2312"/>
          <w:bCs/>
          <w:sz w:val="32"/>
          <w:szCs w:val="32"/>
        </w:rPr>
        <w:t>缴费</w:t>
      </w:r>
      <w:r>
        <w:rPr>
          <w:rFonts w:hint="eastAsia" w:ascii="仿宋_GB2312" w:hAnsi="仿宋_GB2312" w:eastAsia="仿宋_GB2312" w:cs="仿宋_GB2312"/>
          <w:bCs/>
          <w:sz w:val="32"/>
          <w:szCs w:val="32"/>
        </w:rPr>
        <w:t>。</w:t>
      </w:r>
    </w:p>
    <w:p w14:paraId="596FA785">
      <w:pPr>
        <w:pStyle w:val="3"/>
        <w:keepNext w:val="0"/>
        <w:keepLines w:val="0"/>
        <w:pageBreakBefore w:val="0"/>
        <w:shd w:val="clear" w:color="auto" w:fill="FFFFFF"/>
        <w:kinsoku/>
        <w:wordWrap/>
        <w:overflowPunct/>
        <w:topLinePunct w:val="0"/>
        <w:bidi w:val="0"/>
        <w:snapToGrid/>
        <w:spacing w:beforeAutospacing="0" w:afterAutospacing="0" w:line="520" w:lineRule="atLeast"/>
        <w:ind w:firstLine="640" w:firstLineChars="200"/>
        <w:jc w:val="both"/>
        <w:textAlignment w:val="auto"/>
        <w:rPr>
          <w:rFonts w:ascii="仿宋_GB2312" w:hAnsi="仿宋_GB2312" w:eastAsia="仿宋_GB2312" w:cs="仿宋_GB2312"/>
          <w:bCs/>
          <w:sz w:val="32"/>
          <w:szCs w:val="32"/>
        </w:rPr>
      </w:pPr>
      <w:r>
        <w:rPr>
          <w:rFonts w:hint="eastAsia" w:ascii="Times New Roman" w:hAnsi="Times New Roman" w:eastAsia="仿宋_GB2312" w:cs="仿宋"/>
          <w:sz w:val="32"/>
          <w:szCs w:val="32"/>
          <w:lang w:val="en-US" w:eastAsia="zh-CN"/>
        </w:rPr>
        <w:t>你单位</w:t>
      </w:r>
      <w:r>
        <w:rPr>
          <w:rFonts w:hint="eastAsia" w:ascii="Times New Roman" w:hAnsi="Times New Roman" w:eastAsia="仿宋_GB2312" w:cs="仿宋_GB2312"/>
          <w:bCs/>
          <w:kern w:val="2"/>
          <w:sz w:val="32"/>
          <w:szCs w:val="32"/>
        </w:rPr>
        <w:t>开业后已经自行停业连续六个月以上，该行为构成《中华人民共和国公司法》</w:t>
      </w:r>
      <w:bookmarkStart w:id="5" w:name="OLE_LINK6"/>
      <w:r>
        <w:rPr>
          <w:rFonts w:hint="eastAsia" w:ascii="Times New Roman" w:hAnsi="Times New Roman" w:eastAsia="仿宋_GB2312" w:cs="仿宋_GB2312"/>
          <w:bCs/>
          <w:kern w:val="2"/>
          <w:sz w:val="32"/>
          <w:szCs w:val="32"/>
          <w:lang w:eastAsia="zh-CN"/>
        </w:rPr>
        <w:t>第二百六十条</w:t>
      </w:r>
      <w:r>
        <w:rPr>
          <w:rFonts w:hint="eastAsia" w:ascii="Times New Roman" w:hAnsi="Times New Roman" w:eastAsia="仿宋_GB2312" w:cs="仿宋_GB2312"/>
          <w:bCs/>
          <w:kern w:val="2"/>
          <w:sz w:val="32"/>
          <w:szCs w:val="32"/>
        </w:rPr>
        <w:t>第一款</w:t>
      </w:r>
      <w:bookmarkEnd w:id="5"/>
      <w:r>
        <w:rPr>
          <w:rFonts w:hint="eastAsia" w:ascii="Times New Roman" w:hAnsi="Times New Roman" w:eastAsia="仿宋_GB2312" w:cs="仿宋_GB2312"/>
          <w:bCs/>
          <w:kern w:val="2"/>
          <w:sz w:val="32"/>
          <w:szCs w:val="32"/>
        </w:rPr>
        <w:t>“公司成立后无正当理由超过六个月未开业的，或者开业后自行停业连续六个月以上的，可以由公司登记机关吊销营业执照。”规定的开业后自行停业连续六个月以上的行为</w:t>
      </w:r>
      <w:r>
        <w:rPr>
          <w:rFonts w:hint="eastAsia" w:ascii="仿宋_GB2312" w:hAnsi="仿宋_GB2312" w:eastAsia="仿宋_GB2312" w:cs="仿宋_GB2312"/>
          <w:bCs/>
          <w:sz w:val="32"/>
          <w:szCs w:val="32"/>
        </w:rPr>
        <w:t>。</w:t>
      </w:r>
    </w:p>
    <w:p w14:paraId="5A97613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鉴于</w:t>
      </w:r>
      <w:r>
        <w:rPr>
          <w:rFonts w:hint="eastAsia" w:ascii="Times New Roman" w:hAnsi="Times New Roman" w:eastAsia="仿宋_GB2312" w:cs="仿宋"/>
          <w:sz w:val="32"/>
          <w:szCs w:val="32"/>
          <w:lang w:val="en-US" w:eastAsia="zh-CN"/>
        </w:rPr>
        <w:t>你单位</w:t>
      </w:r>
      <w:r>
        <w:rPr>
          <w:rFonts w:hint="eastAsia" w:ascii="仿宋_GB2312" w:hAnsi="仿宋_GB2312" w:eastAsia="仿宋_GB2312" w:cs="仿宋_GB2312"/>
          <w:bCs/>
          <w:sz w:val="32"/>
          <w:szCs w:val="32"/>
        </w:rPr>
        <w:t>开业后连续两个年度以上未依法报送年度报告且未进行纳税申报等情形，属于《工商总局、税务总局关于清理长期停业未经营企业工作有关问题的通知》（工商企监字[2016]97号）（一）规定的应当列入清理范围的企业，适用于依法吊销营业执照的清理方式。</w:t>
      </w:r>
    </w:p>
    <w:p w14:paraId="44601E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bCs/>
          <w:sz w:val="32"/>
          <w:szCs w:val="32"/>
        </w:rPr>
      </w:pPr>
      <w:r>
        <w:rPr>
          <w:rFonts w:hint="eastAsia" w:ascii="Times New Roman" w:hAnsi="Times New Roman" w:eastAsia="仿宋_GB2312" w:cs="仿宋_GB2312"/>
          <w:bCs/>
          <w:sz w:val="32"/>
          <w:szCs w:val="32"/>
        </w:rPr>
        <w:t>依据《中华人民共和国公司法》</w:t>
      </w:r>
      <w:r>
        <w:rPr>
          <w:rFonts w:hint="eastAsia" w:ascii="Times New Roman" w:hAnsi="Times New Roman" w:eastAsia="仿宋_GB2312" w:cs="仿宋_GB2312"/>
          <w:bCs/>
          <w:sz w:val="32"/>
          <w:szCs w:val="32"/>
          <w:lang w:eastAsia="zh-CN"/>
        </w:rPr>
        <w:t>第二百六十条</w:t>
      </w:r>
      <w:r>
        <w:rPr>
          <w:rFonts w:hint="eastAsia" w:ascii="Times New Roman" w:hAnsi="Times New Roman" w:eastAsia="仿宋_GB2312" w:cs="仿宋_GB2312"/>
          <w:bCs/>
          <w:sz w:val="32"/>
          <w:szCs w:val="32"/>
        </w:rPr>
        <w:t>第一款“公司成立后无正当理由超过六个月未开业的，或者开业后自行停业连续六个月以上的，公司登记机关可以吊销营业执照，但公司依法办理歇业的除外。”之规定</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拟</w:t>
      </w:r>
      <w:r>
        <w:rPr>
          <w:rFonts w:hint="eastAsia" w:ascii="仿宋_GB2312" w:hAnsi="仿宋_GB2312" w:eastAsia="仿宋_GB2312" w:cs="仿宋_GB2312"/>
          <w:bCs/>
          <w:sz w:val="32"/>
          <w:szCs w:val="32"/>
        </w:rPr>
        <w:t>对</w:t>
      </w:r>
      <w:r>
        <w:rPr>
          <w:rFonts w:hint="eastAsia" w:ascii="Times New Roman" w:hAnsi="Times New Roman" w:eastAsia="仿宋_GB2312" w:cs="仿宋"/>
          <w:sz w:val="32"/>
          <w:szCs w:val="32"/>
          <w:lang w:val="en-US" w:eastAsia="zh-CN"/>
        </w:rPr>
        <w:t>你单位</w:t>
      </w:r>
      <w:r>
        <w:rPr>
          <w:rFonts w:hint="eastAsia" w:ascii="仿宋_GB2312" w:hAnsi="仿宋_GB2312" w:eastAsia="仿宋_GB2312" w:cs="仿宋_GB2312"/>
          <w:bCs/>
          <w:sz w:val="32"/>
          <w:szCs w:val="32"/>
        </w:rPr>
        <w:t>处罚如下:吊销营业执照。</w:t>
      </w:r>
      <w:r>
        <w:rPr>
          <w:rFonts w:hint="eastAsia" w:ascii="Times New Roman" w:hAnsi="Times New Roman" w:eastAsia="仿宋_GB2312" w:cs="仿宋_GB2312"/>
          <w:bCs/>
          <w:sz w:val="32"/>
          <w:szCs w:val="32"/>
        </w:rPr>
        <w:t xml:space="preserve"> </w:t>
      </w:r>
    </w:p>
    <w:p w14:paraId="6ACA65E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bCs/>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山东省行政处罚听证程序实施办法》第二条的规定，你单位有权进行陈述、申辩，并可以要求听证。</w:t>
      </w:r>
      <w:r>
        <w:rPr>
          <w:rFonts w:hint="eastAsia" w:ascii="Times New Roman" w:hAnsi="Times New Roman" w:eastAsia="仿宋_GB2312" w:cs="仿宋"/>
          <w:sz w:val="32"/>
          <w:szCs w:val="32"/>
          <w:lang w:val="en-US" w:eastAsia="zh-CN"/>
        </w:rPr>
        <w:t xml:space="preserve"> </w:t>
      </w:r>
    </w:p>
    <w:p w14:paraId="656E286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
          <w:sz w:val="32"/>
          <w:szCs w:val="32"/>
          <w:lang w:val="en-US" w:eastAsia="zh-CN"/>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山东省行政处罚听证程序实施办法》第二条的规定，你单位有权进行陈述、申辩，并可以要求听证。</w:t>
      </w:r>
      <w:r>
        <w:rPr>
          <w:rFonts w:hint="eastAsia" w:ascii="Times New Roman" w:hAnsi="Times New Roman" w:eastAsia="仿宋_GB2312" w:cs="仿宋"/>
          <w:sz w:val="32"/>
          <w:szCs w:val="32"/>
          <w:lang w:val="en-US" w:eastAsia="zh-CN"/>
        </w:rPr>
        <w:t xml:space="preserve"> </w:t>
      </w:r>
    </w:p>
    <w:p w14:paraId="3D4FF2B9">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Times New Roman" w:hAnsi="Times New Roman" w:eastAsia="仿宋_GB2312" w:cs="仿宋"/>
          <w:sz w:val="32"/>
          <w:szCs w:val="32"/>
        </w:rPr>
      </w:pPr>
      <w:r>
        <w:rPr>
          <w:rFonts w:hint="eastAsia" w:ascii="Times New Roman" w:hAnsi="Times New Roman" w:eastAsia="仿宋_GB2312" w:cs="仿宋"/>
          <w:sz w:val="32"/>
          <w:szCs w:val="32"/>
          <w:lang w:val="en-US" w:eastAsia="zh-CN"/>
        </w:rPr>
        <w:t xml:space="preserve"> </w:t>
      </w:r>
      <w:r>
        <w:rPr>
          <w:rFonts w:hint="eastAsia" w:ascii="Times New Roman" w:hAnsi="Times New Roman" w:eastAsia="仿宋_GB2312" w:cs="仿宋"/>
          <w:sz w:val="32"/>
          <w:szCs w:val="32"/>
        </w:rPr>
        <w:t>自收到本告知书之日起五个工作日内未行使陈述、申辩权， 未要求听证的，视为放弃此权利。</w:t>
      </w:r>
    </w:p>
    <w:p w14:paraId="3C3D10A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
          <w:sz w:val="32"/>
          <w:szCs w:val="32"/>
        </w:rPr>
      </w:pPr>
      <w:r>
        <w:rPr>
          <w:rFonts w:hint="eastAsia" w:ascii="Times New Roman" w:hAnsi="Times New Roman" w:eastAsia="仿宋_GB2312" w:cs="仿宋"/>
          <w:sz w:val="32"/>
          <w:szCs w:val="32"/>
        </w:rPr>
        <w:t>联系人：</w:t>
      </w:r>
      <w:r>
        <w:rPr>
          <w:rFonts w:hint="eastAsia" w:ascii="Times New Roman" w:hAnsi="Times New Roman" w:eastAsia="仿宋_GB2312" w:cs="仿宋"/>
          <w:sz w:val="32"/>
          <w:szCs w:val="32"/>
          <w:lang w:eastAsia="zh-CN"/>
        </w:rPr>
        <w:t>蔡鹏</w:t>
      </w:r>
      <w:r>
        <w:rPr>
          <w:rFonts w:hint="eastAsia" w:ascii="Times New Roman" w:hAnsi="Times New Roman" w:eastAsia="仿宋_GB2312" w:cs="仿宋"/>
          <w:sz w:val="32"/>
          <w:szCs w:val="32"/>
        </w:rPr>
        <w:t xml:space="preserve">  联系电话：</w:t>
      </w:r>
      <w:r>
        <w:rPr>
          <w:rFonts w:hint="eastAsia" w:ascii="Times New Roman" w:hAnsi="Times New Roman" w:eastAsia="仿宋_GB2312" w:cs="仿宋"/>
          <w:sz w:val="32"/>
          <w:szCs w:val="32"/>
          <w:lang w:val="en-US" w:eastAsia="zh-CN"/>
        </w:rPr>
        <w:t>0631-6652207</w:t>
      </w:r>
      <w:r>
        <w:rPr>
          <w:rFonts w:hint="eastAsia" w:ascii="Times New Roman" w:hAnsi="Times New Roman" w:eastAsia="仿宋_GB2312" w:cs="仿宋"/>
          <w:sz w:val="32"/>
          <w:szCs w:val="32"/>
        </w:rPr>
        <w:t xml:space="preserve">                </w:t>
      </w:r>
    </w:p>
    <w:p w14:paraId="2CDDE1B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
          <w:sz w:val="32"/>
          <w:szCs w:val="32"/>
        </w:rPr>
      </w:pPr>
      <w:r>
        <w:rPr>
          <w:rFonts w:hint="eastAsia" w:ascii="Times New Roman" w:hAnsi="Times New Roman" w:eastAsia="仿宋_GB2312" w:cs="仿宋"/>
          <w:sz w:val="32"/>
          <w:szCs w:val="32"/>
        </w:rPr>
        <w:t xml:space="preserve">联系地址： </w:t>
      </w:r>
      <w:r>
        <w:rPr>
          <w:rFonts w:hint="eastAsia" w:ascii="Times New Roman" w:hAnsi="Times New Roman" w:eastAsia="仿宋_GB2312" w:cs="仿宋"/>
          <w:sz w:val="32"/>
          <w:szCs w:val="32"/>
          <w:lang w:eastAsia="zh-CN"/>
        </w:rPr>
        <w:t>乳山市</w:t>
      </w:r>
      <w:r>
        <w:rPr>
          <w:rFonts w:hint="eastAsia" w:ascii="Times New Roman" w:hAnsi="Times New Roman" w:eastAsia="仿宋_GB2312" w:cs="仿宋"/>
          <w:sz w:val="32"/>
          <w:szCs w:val="32"/>
          <w:lang w:val="en-US" w:eastAsia="zh-CN"/>
        </w:rPr>
        <w:t>金谷园市场监管所</w:t>
      </w:r>
      <w:r>
        <w:rPr>
          <w:rFonts w:hint="eastAsia" w:ascii="Times New Roman" w:hAnsi="Times New Roman" w:eastAsia="仿宋_GB2312" w:cs="仿宋"/>
          <w:sz w:val="32"/>
          <w:szCs w:val="32"/>
        </w:rPr>
        <w:t xml:space="preserve">  </w:t>
      </w:r>
    </w:p>
    <w:bookmarkEnd w:id="6"/>
    <w:p w14:paraId="3F0176F5">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60FB3EC1">
      <w:pPr>
        <w:keepNext w:val="0"/>
        <w:keepLines w:val="0"/>
        <w:pageBreakBefore w:val="0"/>
        <w:widowControl w:val="0"/>
        <w:kinsoku/>
        <w:wordWrap/>
        <w:overflowPunct/>
        <w:topLinePunct w:val="0"/>
        <w:autoSpaceDE/>
        <w:autoSpaceDN/>
        <w:bidi w:val="0"/>
        <w:adjustRightInd/>
        <w:snapToGrid/>
        <w:spacing w:line="500" w:lineRule="exact"/>
        <w:ind w:right="640"/>
        <w:jc w:val="both"/>
        <w:textAlignment w:val="auto"/>
        <w:rPr>
          <w:rFonts w:hint="eastAsia" w:ascii="Times New Roman" w:hAnsi="Times New Roman" w:eastAsia="仿宋_GB2312" w:cs="Mongolian Baiti"/>
          <w:sz w:val="32"/>
          <w:szCs w:val="32"/>
          <w:lang w:eastAsia="zh-CN"/>
        </w:rPr>
      </w:pPr>
    </w:p>
    <w:p w14:paraId="68C957DE">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291A7277">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25E4610F">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460111B2">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79FE2E4E">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78DF25F7">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5A182E1F">
      <w:pPr>
        <w:keepNext w:val="0"/>
        <w:keepLines w:val="0"/>
        <w:pageBreakBefore w:val="0"/>
        <w:widowControl w:val="0"/>
        <w:kinsoku/>
        <w:wordWrap/>
        <w:overflowPunct/>
        <w:topLinePunct w:val="0"/>
        <w:autoSpaceDE/>
        <w:autoSpaceDN/>
        <w:bidi w:val="0"/>
        <w:adjustRightInd/>
        <w:snapToGrid/>
        <w:spacing w:line="500" w:lineRule="exact"/>
        <w:ind w:right="640"/>
        <w:jc w:val="both"/>
        <w:textAlignment w:val="auto"/>
        <w:rPr>
          <w:rFonts w:hint="eastAsia" w:ascii="Times New Roman" w:hAnsi="Times New Roman" w:eastAsia="仿宋_GB2312" w:cs="Mongolian Baiti"/>
          <w:sz w:val="32"/>
          <w:szCs w:val="32"/>
          <w:lang w:eastAsia="zh-CN"/>
        </w:rPr>
      </w:pPr>
    </w:p>
    <w:p w14:paraId="700A8247">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782D7C51">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2EA1B4EA">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Mongolian Baiti"/>
          <w:sz w:val="32"/>
          <w:szCs w:val="32"/>
          <w:lang w:eastAsia="zh-CN"/>
        </w:rPr>
      </w:pPr>
    </w:p>
    <w:p w14:paraId="18D33BEB">
      <w:pPr>
        <w:keepNext w:val="0"/>
        <w:keepLines w:val="0"/>
        <w:pageBreakBefore w:val="0"/>
        <w:widowControl w:val="0"/>
        <w:kinsoku/>
        <w:wordWrap/>
        <w:overflowPunct/>
        <w:topLinePunct w:val="0"/>
        <w:autoSpaceDE/>
        <w:autoSpaceDN/>
        <w:bidi w:val="0"/>
        <w:adjustRightInd/>
        <w:snapToGrid/>
        <w:spacing w:line="500" w:lineRule="exact"/>
        <w:ind w:right="640" w:firstLine="601"/>
        <w:jc w:val="right"/>
        <w:textAlignment w:val="auto"/>
        <w:rPr>
          <w:rFonts w:hint="eastAsia" w:ascii="Times New Roman" w:hAnsi="Times New Roman" w:eastAsia="仿宋_GB2312" w:cs="仿宋"/>
          <w:color w:val="000000"/>
          <w:sz w:val="32"/>
          <w:szCs w:val="32"/>
        </w:rPr>
      </w:pPr>
      <w:r>
        <w:rPr>
          <w:rFonts w:hint="eastAsia" w:ascii="Times New Roman" w:hAnsi="Times New Roman" w:eastAsia="仿宋_GB2312" w:cs="Mongolian Baiti"/>
          <w:sz w:val="32"/>
          <w:szCs w:val="32"/>
          <w:lang w:eastAsia="zh-CN"/>
        </w:rPr>
        <w:t>乳山市</w:t>
      </w:r>
      <w:r>
        <w:rPr>
          <w:rFonts w:hint="eastAsia" w:ascii="Times New Roman" w:hAnsi="Times New Roman" w:eastAsia="仿宋_GB2312" w:cs="仿宋"/>
          <w:color w:val="000000"/>
          <w:sz w:val="32"/>
          <w:szCs w:val="32"/>
        </w:rPr>
        <w:t xml:space="preserve">市场监督管理局                              </w:t>
      </w:r>
    </w:p>
    <w:p w14:paraId="1F3FAD0F">
      <w:pPr>
        <w:keepNext w:val="0"/>
        <w:keepLines w:val="0"/>
        <w:pageBreakBefore w:val="0"/>
        <w:widowControl w:val="0"/>
        <w:kinsoku/>
        <w:wordWrap/>
        <w:overflowPunct/>
        <w:topLinePunct w:val="0"/>
        <w:autoSpaceDE/>
        <w:autoSpaceDN/>
        <w:bidi w:val="0"/>
        <w:adjustRightInd/>
        <w:snapToGrid/>
        <w:spacing w:line="500" w:lineRule="exact"/>
        <w:ind w:right="1120" w:firstLine="600"/>
        <w:jc w:val="right"/>
        <w:textAlignment w:val="auto"/>
        <w:rPr>
          <w:rFonts w:hint="eastAsia" w:ascii="仿宋_GB2312" w:hAnsi="Times New Roman" w:eastAsia="仿宋_GB2312" w:cs="仿宋"/>
          <w:color w:val="000000"/>
          <w:sz w:val="32"/>
          <w:szCs w:val="32"/>
        </w:rPr>
      </w:pPr>
      <w:r>
        <w:rPr>
          <w:rFonts w:hint="eastAsia" w:ascii="仿宋_GB2312" w:hAnsi="Times New Roman" w:eastAsia="仿宋_GB2312" w:cs="仿宋"/>
          <w:color w:val="000000"/>
          <w:sz w:val="32"/>
          <w:szCs w:val="32"/>
          <w:lang w:val="en-US" w:eastAsia="zh-CN"/>
        </w:rPr>
        <w:t>2026</w:t>
      </w:r>
      <w:r>
        <w:rPr>
          <w:rFonts w:hint="eastAsia" w:ascii="仿宋_GB2312" w:hAnsi="Times New Roman" w:eastAsia="仿宋_GB2312" w:cs="仿宋"/>
          <w:color w:val="000000"/>
          <w:sz w:val="32"/>
          <w:szCs w:val="32"/>
        </w:rPr>
        <w:t>年</w:t>
      </w:r>
      <w:r>
        <w:rPr>
          <w:rFonts w:hint="eastAsia" w:ascii="仿宋_GB2312" w:hAnsi="Times New Roman" w:eastAsia="仿宋_GB2312" w:cs="仿宋"/>
          <w:color w:val="000000"/>
          <w:sz w:val="32"/>
          <w:szCs w:val="32"/>
          <w:lang w:val="en-US" w:eastAsia="zh-CN"/>
        </w:rPr>
        <w:t>7</w:t>
      </w:r>
      <w:r>
        <w:rPr>
          <w:rFonts w:hint="eastAsia" w:ascii="仿宋_GB2312" w:hAnsi="Times New Roman" w:eastAsia="仿宋_GB2312" w:cs="仿宋"/>
          <w:color w:val="000000"/>
          <w:sz w:val="32"/>
          <w:szCs w:val="32"/>
        </w:rPr>
        <w:t>月</w:t>
      </w:r>
      <w:r>
        <w:rPr>
          <w:rFonts w:hint="eastAsia" w:ascii="仿宋_GB2312" w:hAnsi="Times New Roman" w:eastAsia="仿宋_GB2312" w:cs="仿宋"/>
          <w:color w:val="000000"/>
          <w:sz w:val="32"/>
          <w:szCs w:val="32"/>
          <w:lang w:val="en-US" w:eastAsia="zh-CN"/>
        </w:rPr>
        <w:t>28</w:t>
      </w:r>
      <w:r>
        <w:rPr>
          <w:rFonts w:hint="eastAsia" w:ascii="仿宋_GB2312" w:hAnsi="Times New Roman" w:eastAsia="仿宋_GB2312" w:cs="仿宋"/>
          <w:color w:val="000000"/>
          <w:sz w:val="32"/>
          <w:szCs w:val="32"/>
        </w:rPr>
        <w:t>日</w:t>
      </w:r>
    </w:p>
    <w:p w14:paraId="0FA0ABAF">
      <w:pPr>
        <w:keepNext w:val="0"/>
        <w:keepLines w:val="0"/>
        <w:pageBreakBefore w:val="0"/>
        <w:widowControl w:val="0"/>
        <w:kinsoku/>
        <w:wordWrap/>
        <w:overflowPunct/>
        <w:topLinePunct w:val="0"/>
        <w:autoSpaceDE/>
        <w:autoSpaceDN/>
        <w:bidi w:val="0"/>
        <w:adjustRightInd/>
        <w:snapToGrid/>
        <w:spacing w:before="157" w:beforeLines="50" w:line="500" w:lineRule="exact"/>
        <w:textAlignment w:val="auto"/>
        <w:rPr>
          <w:rFonts w:hint="eastAsia" w:ascii="方正小标宋简体" w:hAnsi="黑体" w:eastAsia="方正小标宋简体"/>
          <w:color w:val="000000"/>
          <w:sz w:val="44"/>
          <w:szCs w:val="44"/>
          <w:u w:val="single"/>
        </w:rPr>
      </w:pPr>
      <w:r>
        <w:rPr>
          <w:rFonts w:hint="eastAsia" w:ascii="Times New Roman" w:hAnsi="Times New Roman" w:eastAsia="仿宋_GB2312"/>
          <w:sz w:val="3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95250</wp:posOffset>
                </wp:positionV>
                <wp:extent cx="555053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7.5pt;height:0.05pt;width:437.05pt;mso-position-horizontal:center;z-index:251660288;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pPfSV1QAAAAYBAAAPAAAAAAAAAAEAIAAAACIAAABkcnMvZG93bnJldi54bWxQSwECFAAU&#10;AAAACACHTuJAtRf5+fQBAADnAwAADgAAAAAAAAABACAAAAAkAQAAZHJzL2Uyb0RvYy54bWxQSwUG&#10;AAAAAAYABgBZAQAAigUAAAAA&#10;">
                <v:fill on="f" focussize="0,0"/>
                <v:stroke weight="1.25pt" color="#000000" joinstyle="round"/>
                <v:imagedata o:title=""/>
                <o:lock v:ext="edit" aspectratio="f"/>
              </v:line>
            </w:pict>
          </mc:Fallback>
        </mc:AlternateContent>
      </w:r>
      <w:r>
        <w:rPr>
          <w:rFonts w:hint="eastAsia" w:ascii="Times New Roman" w:hAnsi="Times New Roman" w:eastAsia="仿宋_GB2312" w:cs="仿宋"/>
          <w:bCs/>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638.35pt;height:0.1pt;width:453.75pt;z-index:25165926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L7/OR1wAAAAoBAAAPAAAAAAAAAAEAIAAAACIAAABkcnMvZG93bnJldi54bWxQ&#10;SwECFAAUAAAACACHTuJAjccNXfgBAADlAwAADgAAAAAAAAABACAAAAAmAQAAZHJzL2Uyb0RvYy54&#10;bWxQSwUGAAAAAAYABgBZAQAAkAU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lang w:eastAsia="zh-CN"/>
        </w:rPr>
        <w:t>三</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lang w:eastAsia="zh-CN"/>
        </w:rPr>
        <w:t>一</w:t>
      </w:r>
      <w:r>
        <w:rPr>
          <w:rFonts w:hint="eastAsia" w:ascii="Times New Roman" w:hAnsi="Times New Roman" w:eastAsia="仿宋_GB2312" w:cs="仿宋"/>
          <w:color w:val="000000"/>
          <w:sz w:val="32"/>
          <w:szCs w:val="32"/>
        </w:rPr>
        <w:t>份送达，一份归档，</w:t>
      </w:r>
      <w:r>
        <w:rPr>
          <w:rFonts w:hint="eastAsia" w:ascii="Times New Roman" w:hAnsi="Times New Roman" w:eastAsia="仿宋_GB2312" w:cs="仿宋"/>
          <w:color w:val="000000"/>
          <w:sz w:val="32"/>
          <w:szCs w:val="32"/>
          <w:lang w:eastAsia="zh-CN"/>
        </w:rPr>
        <w:t>一份办案机构留存</w:t>
      </w:r>
      <w:r>
        <w:rPr>
          <w:rFonts w:hint="eastAsia" w:ascii="Times New Roman" w:hAnsi="Times New Roman" w:eastAsia="仿宋_GB2312" w:cs="仿宋"/>
          <w:color w:val="000000"/>
          <w:sz w:val="32"/>
          <w:szCs w:val="32"/>
        </w:rPr>
        <w:t>。</w:t>
      </w:r>
    </w:p>
    <w:p w14:paraId="1395B807"/>
    <w:p w14:paraId="419041E2"/>
    <w:p w14:paraId="4BF4CE63"/>
    <w:p w14:paraId="74E07D04"/>
    <w:p w14:paraId="14D8F43F"/>
    <w:p w14:paraId="539484D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ngal">
    <w:altName w:val="DejaVu Math TeX Gyre"/>
    <w:panose1 w:val="02040503050203030202"/>
    <w:charset w:val="00"/>
    <w:family w:val="roman"/>
    <w:pitch w:val="default"/>
    <w:sig w:usb0="00000000" w:usb1="00000000" w:usb2="00000000" w:usb3="00000000" w:csb0="0000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KSOFE44F9426">
    <w:panose1 w:val="02010609060101010101"/>
    <w:charset w:val="86"/>
    <w:family w:val="auto"/>
    <w:pitch w:val="default"/>
    <w:sig w:usb0="00000001" w:usb1="00000000" w:usb2="00000000" w:usb3="00000000" w:csb0="00040001"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7E6F92"/>
    <w:rsid w:val="707E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2026-07-28T06:22:00Z</dcterms:created>
  <dc:creator>Forever</dc:creator>
  <cp:lastModifiedBy>Forever</cp:lastModifiedBy>
  <dcterms:modified xsi:type="dcterms:W3CDTF">2026-07-28T06:33:00Z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F6D65C1443614B63B8563361D47700E0_11</vt:lpwstr>
  </property>
  <property fmtid="{D5CDD505-2E9C-101B-9397-08002B2CF9AE}" pid="4" name="KSOTemplateDocerSaveRecord">
    <vt:lpwstr>eyJoZGlkIjoiMDhjYzZlZTE0MjQzYjZmNzM2YmE5Yzc1MzI4MDNkNTciLCJ1c2VySWQiOiIzMTM0Mjc3MTcifQ==</vt:lpwstr>
  </property>
</Properties>
</file>