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napToGrid/>
        <w:spacing w:line="600" w:lineRule="exact"/>
        <w:rPr>
          <w:rFonts w:ascii="Times New Roman" w:hAnsi="Times New Roman"/>
        </w:rPr>
      </w:pPr>
      <w:r>
        <w:rPr>
          <w:rFonts w:hint="eastAsia" w:ascii="Times New Roman" w:hAnsi="Times New Roman"/>
        </w:rPr>
        <w:t>2022年公共卫生随机监督抽查计划</w:t>
      </w:r>
    </w:p>
    <w:p>
      <w:pPr>
        <w:ind w:firstLine="624" w:firstLineChars="200"/>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一、监督检查内容</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（一）学校卫生</w:t>
      </w:r>
      <w:r>
        <w:rPr>
          <w:rFonts w:hint="eastAsia" w:ascii="Times New Roman" w:hAnsi="Times New Roman"/>
        </w:rPr>
        <w:t>。抽查学校教学和生活环境、传染病防控、学校饮用水以及学校内游泳场所的卫生管理情况，抽查教室采光照明、人均面积、学习用品和水质。加强学校新冠肺炎疫情常态化防控措施落实情况监督检查。</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（二）公共场所卫生</w:t>
      </w:r>
      <w:r>
        <w:rPr>
          <w:rFonts w:hint="eastAsia" w:ascii="Times New Roman" w:hAnsi="Times New Roman"/>
        </w:rPr>
        <w:t>。抽查游泳、住宿、沐浴、美容美发等场所卫生管理情况，抽查顾客用品用具、水质、空气以及集中空调通风系统卫生质量。加强公共场所新冠肺炎疫情防控措施落实情况监督检查。</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（三）生活饮用水卫生</w:t>
      </w:r>
      <w:r>
        <w:rPr>
          <w:rFonts w:hint="eastAsia" w:ascii="Times New Roman" w:hAnsi="Times New Roman"/>
        </w:rPr>
        <w:t>。抽查集中式供水、小型集中式供水、二次供水的卫生管理情况，抽查供水水质。推进农村集中式供水卫生安全巡查服务，建立健全农村集中式供水基本情况和卫生安全巡查档案。</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Times New Roman" w:hAnsi="Times New Roman"/>
        </w:rPr>
      </w:pPr>
      <w:r>
        <w:rPr>
          <w:rFonts w:hint="eastAsia" w:ascii="Times New Roman" w:hAnsi="Times New Roman" w:eastAsia="楷体_GB2312" w:cs="楷体_GB2312"/>
        </w:rPr>
        <w:t>（四）涉及饮用水卫生安全的产品</w:t>
      </w:r>
      <w:r>
        <w:rPr>
          <w:rFonts w:hint="eastAsia" w:ascii="Times New Roman" w:hAnsi="Times New Roman"/>
        </w:rPr>
        <w:t>。抽查涉水产品生产经营单位，抽查输配水设备产品卫生质量。</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eastAsia="楷体_GB2312" w:cs="楷体_GB2312"/>
        </w:rPr>
        <w:t>（五）餐具饮具集中消毒服务单位</w:t>
      </w:r>
      <w:r>
        <w:rPr>
          <w:rFonts w:hint="eastAsia" w:ascii="Times New Roman" w:hAnsi="Times New Roman"/>
        </w:rPr>
        <w:t>。抽查餐具饮具集中消毒服务单位依法生产情况，抽查消毒餐具饮具卫生质量。</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eastAsia="黑体" w:cs="黑体"/>
        </w:rPr>
      </w:pPr>
      <w:r>
        <w:rPr>
          <w:rFonts w:hint="eastAsia" w:ascii="Times New Roman" w:hAnsi="Times New Roman" w:eastAsia="黑体" w:cs="黑体"/>
        </w:rPr>
        <w:t>二、结果报送要求</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hint="eastAsia" w:ascii="Times New Roman" w:hAnsi="Times New Roman"/>
        </w:rPr>
      </w:pPr>
      <w:r>
        <w:rPr>
          <w:rFonts w:hint="eastAsia" w:ascii="Times New Roman" w:hAnsi="Times New Roman"/>
        </w:rPr>
        <w:t>（一）要切实加强对上报数据信息的审核，按照抽查工作计划表及监督信息报告卡要求填报数据信息，保证数据信息项目齐全、质量可靠。目前尚不能通过监督信息报告卡上报的数据信息，需以网络填报汇总表方式上报。附表6、7、8、9、10汇总</w:t>
      </w:r>
      <w:r>
        <w:rPr>
          <w:rFonts w:hint="eastAsia" w:ascii="Times New Roman" w:hAnsi="Times New Roman"/>
          <w:lang w:eastAsia="zh-CN"/>
        </w:rPr>
        <w:t>后</w:t>
      </w:r>
      <w:r>
        <w:rPr>
          <w:rFonts w:hint="eastAsia" w:ascii="Times New Roman" w:hAnsi="Times New Roman"/>
        </w:rPr>
        <w:t>，于11月</w:t>
      </w:r>
      <w:r>
        <w:rPr>
          <w:rFonts w:hint="eastAsia" w:ascii="Times New Roman" w:hAnsi="Times New Roman"/>
          <w:lang w:val="en-US" w:eastAsia="zh-CN"/>
        </w:rPr>
        <w:t>8</w:t>
      </w:r>
      <w:r>
        <w:rPr>
          <w:rFonts w:hint="eastAsia" w:ascii="Times New Roman" w:hAnsi="Times New Roman"/>
        </w:rPr>
        <w:t xml:space="preserve">日前发送至市综合执法支队学校卫生监督科（联系人：高鹏飞 </w:t>
      </w:r>
      <w:r>
        <w:rPr>
          <w:rFonts w:hint="eastAsia" w:ascii="Times New Roman" w:hAnsi="Times New Roman"/>
          <w:lang w:eastAsia="zh-CN"/>
        </w:rPr>
        <w:t>、</w:t>
      </w:r>
      <w:r>
        <w:rPr>
          <w:rFonts w:hint="eastAsia" w:ascii="Times New Roman" w:hAnsi="Times New Roman"/>
        </w:rPr>
        <w:t>房珈伊</w:t>
      </w:r>
      <w:r>
        <w:rPr>
          <w:rFonts w:hint="eastAsia" w:ascii="Times New Roman" w:hAnsi="Times New Roman"/>
          <w:lang w:eastAsia="zh-CN"/>
        </w:rPr>
        <w:t>，联系</w:t>
      </w:r>
      <w:r>
        <w:rPr>
          <w:rFonts w:hint="eastAsia" w:ascii="Times New Roman" w:hAnsi="Times New Roman"/>
        </w:rPr>
        <w:t>电话：</w:t>
      </w:r>
      <w:r>
        <w:rPr>
          <w:rFonts w:hint="eastAsia" w:ascii="Times New Roman" w:hAnsi="Times New Roman"/>
          <w:lang w:val="en-US" w:eastAsia="zh-CN"/>
        </w:rPr>
        <w:t>0631-</w:t>
      </w:r>
      <w:r>
        <w:rPr>
          <w:rFonts w:hint="eastAsia" w:ascii="Times New Roman" w:hAnsi="Times New Roman"/>
        </w:rPr>
        <w:t>5300381</w:t>
      </w:r>
      <w:r>
        <w:rPr>
          <w:rFonts w:hint="eastAsia" w:ascii="Times New Roman" w:hAnsi="Times New Roman"/>
          <w:lang w:eastAsia="zh-CN"/>
        </w:rPr>
        <w:t>，</w:t>
      </w:r>
      <w:r>
        <w:rPr>
          <w:rFonts w:hint="eastAsia" w:ascii="Times New Roman" w:hAnsi="Times New Roman"/>
        </w:rPr>
        <w:t>邮箱wjjdzdxxwsk@wh.shandong.cn）。</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（二）要将完成本抽查计划中的学校采光和照明抽查任务，作为贯彻落实《综合防控儿童青少年近视实施方案》的一项重要内容，会同辖区教育行政部门做好抽查、记录和公布工作。</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三）要强化处理措施，对监督检查中发现的突出问题，及时向当地政府主管部门通报情况，促进协同监管；对生活美容场所涉嫌违法开展医疗美容等案件线索，要及时通报、组织协查。重大案件信息要及时向我委报告。</w:t>
      </w: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560" w:lineRule="exact"/>
        <w:ind w:firstLine="624" w:firstLineChars="200"/>
        <w:textAlignment w:val="auto"/>
        <w:rPr>
          <w:rFonts w:ascii="Times New Roman" w:hAnsi="Times New Roman"/>
        </w:rPr>
      </w:pPr>
      <w:r>
        <w:rPr>
          <w:rFonts w:hint="eastAsia" w:ascii="Times New Roman" w:hAnsi="Times New Roman"/>
        </w:rPr>
        <w:t>附表：1.2022年学校卫生随机监督抽查工作计划表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2.2022年公共场所卫生随机监督抽查工作计划表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3.2022年生活饮用水卫生随机监督抽查工作计划表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4.2022年涉水产品随机监督抽查工作计划表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5.2022年餐具饮具集中消毒服务单位随机监督抽查</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工作计划表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6.2022年学校学习用品随机监督抽查信息汇总表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7.2022年小型集中式供水卫生安全巡查服务实施</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情况汇总表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rPr>
      </w:pPr>
      <w:r>
        <w:rPr>
          <w:rFonts w:hint="eastAsia" w:ascii="Times New Roman" w:hAnsi="Times New Roman"/>
        </w:rPr>
        <w:t>8.2022年小型集中式供水和二次供水水质随机监督</w:t>
      </w:r>
    </w:p>
    <w:p>
      <w:pPr>
        <w:keepNext w:val="0"/>
        <w:keepLines w:val="0"/>
        <w:pageBreakBefore w:val="0"/>
        <w:widowControl w:val="0"/>
        <w:kinsoku/>
        <w:wordWrap/>
        <w:overflowPunct/>
        <w:topLinePunct w:val="0"/>
        <w:autoSpaceDE/>
        <w:autoSpaceDN/>
        <w:bidi w:val="0"/>
        <w:adjustRightInd/>
        <w:snapToGrid/>
        <w:spacing w:line="560" w:lineRule="exact"/>
        <w:ind w:firstLine="1872" w:firstLineChars="600"/>
        <w:textAlignment w:val="auto"/>
        <w:rPr>
          <w:rFonts w:ascii="Times New Roman" w:hAnsi="Times New Roman"/>
        </w:rPr>
      </w:pPr>
      <w:r>
        <w:rPr>
          <w:rFonts w:hint="eastAsia" w:ascii="Times New Roman" w:hAnsi="Times New Roman"/>
        </w:rPr>
        <w:t>抽查信息汇总表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spacing w:val="-8"/>
        </w:rPr>
      </w:pPr>
      <w:r>
        <w:rPr>
          <w:rFonts w:hint="eastAsia" w:ascii="Times New Roman" w:hAnsi="Times New Roman"/>
        </w:rPr>
        <w:t>9.2</w:t>
      </w:r>
      <w:r>
        <w:rPr>
          <w:rFonts w:hint="eastAsia" w:ascii="Times New Roman" w:hAnsi="Times New Roman"/>
          <w:spacing w:val="-8"/>
        </w:rPr>
        <w:t>022年二次供水卫生管理随机监督抽查信息汇总表</w:t>
      </w:r>
    </w:p>
    <w:p>
      <w:pPr>
        <w:keepNext w:val="0"/>
        <w:keepLines w:val="0"/>
        <w:pageBreakBefore w:val="0"/>
        <w:widowControl w:val="0"/>
        <w:kinsoku/>
        <w:wordWrap/>
        <w:overflowPunct/>
        <w:topLinePunct w:val="0"/>
        <w:autoSpaceDE/>
        <w:autoSpaceDN/>
        <w:bidi w:val="0"/>
        <w:adjustRightInd/>
        <w:snapToGrid/>
        <w:spacing w:line="560" w:lineRule="exact"/>
        <w:ind w:firstLine="1560" w:firstLineChars="500"/>
        <w:textAlignment w:val="auto"/>
        <w:rPr>
          <w:rFonts w:ascii="Times New Roman" w:hAnsi="Times New Roman"/>
          <w:spacing w:val="-6"/>
        </w:rPr>
      </w:pPr>
      <w:r>
        <w:rPr>
          <w:rFonts w:hint="eastAsia" w:ascii="Times New Roman" w:hAnsi="Times New Roman"/>
        </w:rPr>
        <w:t>10.20</w:t>
      </w:r>
      <w:r>
        <w:rPr>
          <w:rFonts w:hint="eastAsia" w:ascii="Times New Roman" w:hAnsi="Times New Roman"/>
          <w:spacing w:val="-6"/>
        </w:rPr>
        <w:t>22年涉水产品经营单位随机监督抽查信息汇总表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rPr>
        <w:sectPr>
          <w:footerReference r:id="rId3" w:type="default"/>
          <w:footerReference r:id="rId4" w:type="even"/>
          <w:pgSz w:w="11906" w:h="16838"/>
          <w:pgMar w:top="2098" w:right="1588" w:bottom="1588" w:left="1588" w:header="720" w:footer="1021" w:gutter="0"/>
          <w:pgNumType w:start="7"/>
          <w:cols w:space="0" w:num="1"/>
          <w:docGrid w:type="linesAndChars" w:linePitch="597" w:charSpace="-1683"/>
        </w:sectPr>
      </w:pPr>
    </w:p>
    <w:p>
      <w:pPr>
        <w:jc w:val="left"/>
        <w:rPr>
          <w:rFonts w:ascii="Times New Roman" w:hAnsi="Times New Roman" w:eastAsia="黑体"/>
          <w:szCs w:val="32"/>
        </w:rPr>
      </w:pPr>
      <w:bookmarkStart w:id="0" w:name="红头"/>
      <w:r>
        <w:rPr>
          <w:rFonts w:hint="eastAsia" w:ascii="Times New Roman" w:hAnsi="Times New Roman" w:eastAsia="黑体"/>
          <w:szCs w:val="32"/>
        </w:rPr>
        <w:t>附表1</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年学校卫生随机监督抽查工作计划表</w:t>
      </w:r>
    </w:p>
    <w:tbl>
      <w:tblPr>
        <w:tblStyle w:val="3"/>
        <w:tblW w:w="13973" w:type="dxa"/>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2127"/>
        <w:gridCol w:w="6162"/>
        <w:gridCol w:w="39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1708"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监督检查对象</w:t>
            </w:r>
          </w:p>
        </w:tc>
        <w:tc>
          <w:tcPr>
            <w:tcW w:w="2127"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范围和数量</w:t>
            </w:r>
          </w:p>
        </w:tc>
        <w:tc>
          <w:tcPr>
            <w:tcW w:w="6162"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检查内容</w:t>
            </w:r>
          </w:p>
        </w:tc>
        <w:tc>
          <w:tcPr>
            <w:tcW w:w="3976" w:type="dxa"/>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1" w:hRule="atLeast"/>
        </w:trPr>
        <w:tc>
          <w:tcPr>
            <w:tcW w:w="1708" w:type="dxa"/>
            <w:vAlign w:val="center"/>
          </w:tcPr>
          <w:p>
            <w:pPr>
              <w:snapToGrid w:val="0"/>
              <w:jc w:val="center"/>
              <w:rPr>
                <w:rFonts w:ascii="Times New Roman" w:hAnsi="Times New Roman" w:eastAsia="宋体" w:cs="宋体"/>
                <w:sz w:val="21"/>
                <w:szCs w:val="21"/>
              </w:rPr>
            </w:pPr>
            <w:r>
              <w:rPr>
                <w:rFonts w:hint="eastAsia" w:ascii="Times New Roman" w:hAnsi="Times New Roman" w:eastAsia="宋体" w:cs="宋体"/>
                <w:sz w:val="21"/>
              </w:rPr>
              <w:t>中小学校及高校</w:t>
            </w:r>
          </w:p>
        </w:tc>
        <w:tc>
          <w:tcPr>
            <w:tcW w:w="2127" w:type="dxa"/>
            <w:vAlign w:val="center"/>
          </w:tcPr>
          <w:p>
            <w:pPr>
              <w:keepNext/>
              <w:keepLines/>
              <w:widowControl/>
              <w:snapToGrid w:val="0"/>
              <w:rPr>
                <w:rFonts w:ascii="Times New Roman" w:hAnsi="Times New Roman" w:eastAsia="宋体" w:cs="宋体"/>
                <w:sz w:val="21"/>
                <w:szCs w:val="21"/>
              </w:rPr>
            </w:pPr>
            <w:r>
              <w:rPr>
                <w:rFonts w:hint="eastAsia" w:ascii="Times New Roman" w:hAnsi="Times New Roman" w:eastAsia="宋体" w:cs="宋体"/>
                <w:sz w:val="21"/>
              </w:rPr>
              <w:t>辖区学校总数的15%</w:t>
            </w:r>
            <w:r>
              <w:rPr>
                <w:rFonts w:hint="eastAsia" w:ascii="Times New Roman" w:hAnsi="Times New Roman" w:eastAsia="宋体" w:cs="宋体"/>
                <w:sz w:val="21"/>
                <w:vertAlign w:val="superscript"/>
              </w:rPr>
              <w:t>(a)</w:t>
            </w:r>
          </w:p>
        </w:tc>
        <w:tc>
          <w:tcPr>
            <w:tcW w:w="6162" w:type="dxa"/>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1.学校落实教学和生活环境卫生要求情况，包括教室课桌椅配备</w:t>
            </w:r>
            <w:r>
              <w:rPr>
                <w:rFonts w:hint="eastAsia" w:ascii="Times New Roman" w:hAnsi="Times New Roman" w:eastAsia="宋体" w:cs="宋体"/>
                <w:sz w:val="21"/>
                <w:vertAlign w:val="superscript"/>
              </w:rPr>
              <w:t>(b)</w:t>
            </w:r>
            <w:r>
              <w:rPr>
                <w:rFonts w:hint="eastAsia" w:ascii="Times New Roman" w:hAnsi="Times New Roman" w:eastAsia="宋体" w:cs="宋体"/>
                <w:sz w:val="21"/>
              </w:rPr>
              <w:t>、教室采光和照明</w:t>
            </w:r>
            <w:r>
              <w:rPr>
                <w:rFonts w:hint="eastAsia" w:ascii="Times New Roman" w:hAnsi="Times New Roman" w:eastAsia="宋体" w:cs="宋体"/>
                <w:sz w:val="21"/>
                <w:vertAlign w:val="superscript"/>
              </w:rPr>
              <w:t>(c)</w:t>
            </w:r>
            <w:r>
              <w:rPr>
                <w:rFonts w:hint="eastAsia" w:ascii="Times New Roman" w:hAnsi="Times New Roman" w:eastAsia="宋体" w:cs="宋体"/>
                <w:sz w:val="21"/>
              </w:rPr>
              <w:t>、教室人均面积、教室和宿舍通风设施、教学楼厕所及洗手设施设置等情况。学校提供的学习用品达标情况</w:t>
            </w:r>
            <w:r>
              <w:rPr>
                <w:rFonts w:hint="eastAsia" w:ascii="Times New Roman" w:hAnsi="Times New Roman" w:eastAsia="宋体" w:cs="宋体"/>
                <w:sz w:val="21"/>
                <w:vertAlign w:val="superscript"/>
              </w:rPr>
              <w:t>（d）</w:t>
            </w:r>
            <w:r>
              <w:rPr>
                <w:rFonts w:hint="eastAsia" w:ascii="Times New Roman" w:hAnsi="Times New Roman" w:eastAsia="宋体" w:cs="宋体"/>
                <w:sz w:val="21"/>
              </w:rPr>
              <w:t>，包括教室灯具、考试试卷等情况；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2.学校落实传染病和常见病防控要求情况，包括专人负责疫情报告、传染病防控“一案八制”</w:t>
            </w:r>
            <w:r>
              <w:rPr>
                <w:rFonts w:hint="eastAsia" w:ascii="Times New Roman" w:hAnsi="Times New Roman" w:eastAsia="宋体" w:cs="宋体"/>
                <w:sz w:val="21"/>
                <w:vertAlign w:val="superscript"/>
              </w:rPr>
              <w:t>(e)</w:t>
            </w:r>
            <w:r>
              <w:rPr>
                <w:rFonts w:hint="eastAsia" w:ascii="Times New Roman" w:hAnsi="Times New Roman" w:eastAsia="宋体" w:cs="宋体"/>
                <w:sz w:val="21"/>
              </w:rPr>
              <w:t>、晨检记录和因病缺勤病因追查与登记记录、复课证明查验、新生入学接种证查验登记、每年按规定实施学生健康体检等情况。学校新冠疫情常态化防控措施落实情况；</w:t>
            </w:r>
            <w:r>
              <w:rPr>
                <w:rFonts w:hint="eastAsia" w:ascii="Times New Roman" w:hAnsi="Times New Roman" w:eastAsia="宋体" w:cs="宋体"/>
                <w:sz w:val="21"/>
                <w:vertAlign w:val="superscript"/>
              </w:rPr>
              <w:t>(f)</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3.学校落实饮用水卫生要求情况，包括使用自建设施集中式供水的学校落实水源卫生防护、配备使用水质消毒设施设备情况和使用二次供水的学校防止蓄水池周围污染和按规定开展蓄水池清洗消毒情况；</w:t>
            </w:r>
          </w:p>
          <w:p>
            <w:pPr>
              <w:keepNext/>
              <w:keepLines/>
              <w:widowControl/>
              <w:snapToGrid w:val="0"/>
              <w:rPr>
                <w:rFonts w:ascii="Times New Roman" w:hAnsi="Times New Roman" w:eastAsia="宋体" w:cs="宋体"/>
                <w:sz w:val="21"/>
                <w:szCs w:val="21"/>
              </w:rPr>
            </w:pPr>
            <w:r>
              <w:rPr>
                <w:rFonts w:hint="eastAsia" w:ascii="Times New Roman" w:hAnsi="Times New Roman" w:eastAsia="宋体" w:cs="宋体"/>
                <w:sz w:val="21"/>
              </w:rPr>
              <w:t>4.学校纳入卫生监督协管服务情况。</w:t>
            </w:r>
          </w:p>
        </w:tc>
        <w:tc>
          <w:tcPr>
            <w:tcW w:w="3976" w:type="dxa"/>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1.教室采光照明、教室人均面积、学校自制考试试卷纸张D65亮度及D65荧光亮度、字体字号、行空。</w:t>
            </w:r>
          </w:p>
          <w:p>
            <w:pPr>
              <w:keepNext/>
              <w:keepLines/>
              <w:widowControl/>
              <w:snapToGrid w:val="0"/>
              <w:rPr>
                <w:rFonts w:ascii="Times New Roman" w:hAnsi="Times New Roman" w:eastAsia="宋体" w:cs="宋体"/>
                <w:sz w:val="21"/>
                <w:szCs w:val="21"/>
              </w:rPr>
            </w:pPr>
            <w:r>
              <w:rPr>
                <w:rFonts w:hint="eastAsia" w:ascii="Times New Roman" w:hAnsi="Times New Roman" w:eastAsia="宋体" w:cs="宋体"/>
                <w:sz w:val="21"/>
              </w:rPr>
              <w:t>2.学校自建设施集中式供水和二次供水水质色度、浑浊度、臭和味、肉眼可见物、pH和消毒剂余量。</w:t>
            </w:r>
          </w:p>
        </w:tc>
      </w:tr>
    </w:tbl>
    <w:p>
      <w:pPr>
        <w:spacing w:before="298" w:beforeLines="50"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a.按抽查任务的50%进行检测。</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b.指每间教室至少设有2种不同高低型号的课桌椅，且每人一席。</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c.教室采光和照明检查项目含窗地面积比、采光方向、防眩光措施、装设人工照明、黑板局部照明灯设置、课桌面照度及均匀度、黑板照度及均匀度，按照《中小学校教室采光和照明卫生标准》（GB7793）的规定进行达标判定。</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d.指达到《儿童青少年学习用品近视防控卫生要求》（GB40070）相关规定情况。</w:t>
      </w:r>
    </w:p>
    <w:p>
      <w:pPr>
        <w:spacing w:line="300" w:lineRule="exact"/>
        <w:jc w:val="left"/>
        <w:rPr>
          <w:rFonts w:ascii="Times New Roman" w:hAnsi="Times New Roman" w:eastAsia="宋体" w:cs="宋体"/>
          <w:kern w:val="0"/>
          <w:sz w:val="21"/>
        </w:rPr>
      </w:pPr>
      <w:r>
        <w:rPr>
          <w:rFonts w:hint="eastAsia" w:ascii="Times New Roman" w:hAnsi="Times New Roman" w:eastAsia="宋体" w:cs="宋体"/>
          <w:kern w:val="0"/>
          <w:sz w:val="21"/>
        </w:rPr>
        <w:t>e.指《中小学校传染病预防控制工作管理规范》（GB28932）第4.8条规定的传染病预防控制应急预案和相关制度。</w:t>
      </w:r>
    </w:p>
    <w:p>
      <w:pPr>
        <w:spacing w:line="300" w:lineRule="exact"/>
        <w:jc w:val="left"/>
        <w:rPr>
          <w:rFonts w:ascii="Times New Roman" w:hAnsi="Times New Roman" w:eastAsia="宋体" w:cs="宋体"/>
          <w:sz w:val="21"/>
        </w:rPr>
      </w:pPr>
      <w:r>
        <w:rPr>
          <w:rFonts w:hint="eastAsia" w:ascii="Times New Roman" w:hAnsi="Times New Roman" w:eastAsia="宋体" w:cs="宋体"/>
          <w:kern w:val="0"/>
          <w:sz w:val="21"/>
        </w:rPr>
        <w:t>f.落实属地</w:t>
      </w:r>
      <w:r>
        <w:rPr>
          <w:rFonts w:hint="eastAsia" w:ascii="Times New Roman" w:hAnsi="Times New Roman" w:eastAsia="宋体" w:cs="宋体"/>
          <w:sz w:val="21"/>
        </w:rPr>
        <w:t>新冠疫情常态化防控措施要求即为合格。</w:t>
      </w:r>
      <w:r>
        <w:rPr>
          <w:rFonts w:ascii="Times New Roman" w:hAnsi="Times New Roman" w:eastAsia="宋体" w:cs="宋体"/>
          <w:sz w:val="21"/>
        </w:rPr>
        <w:br w:type="page"/>
      </w:r>
    </w:p>
    <w:p>
      <w:pPr>
        <w:widowControl/>
        <w:jc w:val="left"/>
        <w:rPr>
          <w:rFonts w:ascii="Times New Roman" w:hAnsi="Times New Roman" w:eastAsia="黑体"/>
          <w:szCs w:val="32"/>
        </w:rPr>
      </w:pPr>
      <w:r>
        <w:rPr>
          <w:rFonts w:hint="eastAsia" w:ascii="Times New Roman" w:hAnsi="Times New Roman" w:eastAsia="黑体"/>
          <w:szCs w:val="32"/>
        </w:rPr>
        <w:t>附表2</w:t>
      </w:r>
    </w:p>
    <w:p>
      <w:pPr>
        <w:widowControl/>
        <w:jc w:val="center"/>
        <w:rPr>
          <w:rFonts w:ascii="Times New Roman" w:hAnsi="Times New Roman" w:eastAsia="宋体" w:cs="宋体"/>
          <w:b/>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年公共场所卫生随机监督抽查工作计划表</w:t>
      </w:r>
    </w:p>
    <w:tbl>
      <w:tblPr>
        <w:tblStyle w:val="3"/>
        <w:tblW w:w="14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9"/>
        <w:gridCol w:w="4383"/>
        <w:gridCol w:w="4118"/>
        <w:gridCol w:w="4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监督检查对象</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抽查范围和数量</w:t>
            </w:r>
          </w:p>
        </w:tc>
        <w:tc>
          <w:tcPr>
            <w:tcW w:w="4118"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检查内容</w:t>
            </w:r>
          </w:p>
        </w:tc>
        <w:tc>
          <w:tcPr>
            <w:tcW w:w="4020"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黑体" w:cs="黑体"/>
                <w:sz w:val="21"/>
              </w:rPr>
            </w:pPr>
            <w:r>
              <w:rPr>
                <w:rFonts w:hint="eastAsia" w:ascii="Times New Roman" w:hAnsi="Times New Roman" w:eastAsia="黑体" w:cs="黑体"/>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游泳场所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辖区全部人工游泳场所（含学校内游泳场所）</w:t>
            </w:r>
            <w:r>
              <w:rPr>
                <w:rFonts w:hint="eastAsia" w:ascii="Times New Roman" w:hAnsi="Times New Roman" w:eastAsia="宋体" w:cs="宋体"/>
                <w:sz w:val="21"/>
                <w:vertAlign w:val="superscript"/>
              </w:rPr>
              <w:t xml:space="preserve">(a) </w:t>
            </w:r>
          </w:p>
        </w:tc>
        <w:tc>
          <w:tcPr>
            <w:tcW w:w="4118" w:type="dxa"/>
            <w:vMerge w:val="restart"/>
            <w:tcBorders>
              <w:top w:val="single" w:color="auto" w:sz="4" w:space="0"/>
              <w:left w:val="single" w:color="auto" w:sz="4" w:space="0"/>
              <w:bottom w:val="single" w:color="auto" w:sz="4" w:space="0"/>
              <w:right w:val="single" w:color="auto" w:sz="4" w:space="0"/>
            </w:tcBorders>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1.设置卫生管理部门或人员情况；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2.建立卫生管理档案情况；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3.从业人员健康体检情况；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4.设置禁止吸烟警语标志情况；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5.对空气、水质、顾客用品用具等进行卫生检测情况；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6.公示卫生许可证、卫生信誉度等级和卫生检测信息情况；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7.对顾客用品用具进行清洗、消毒、保洁情况；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8.实施卫生监督量化分级管理情况；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9.住宿场所按照《艾滋病防治条例》放置安全套或者设置安全套发售设施情况；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10.生活美容场所违法开展医疗美容情况；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11.公共场所新冠疫情常态化防控措施落实情况。</w:t>
            </w:r>
            <w:r>
              <w:rPr>
                <w:rFonts w:hint="eastAsia" w:ascii="Times New Roman" w:hAnsi="Times New Roman" w:eastAsia="宋体" w:cs="宋体"/>
                <w:sz w:val="21"/>
                <w:vertAlign w:val="superscript"/>
              </w:rPr>
              <w:t>(b)</w:t>
            </w: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1.泳池水浑浊度、pH、游离性余氯、尿素、菌落总数、大肠菌群</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2.浸脚池水游离性余氯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住宿场所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辖区总数10%</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1.棉织品外观、细菌总数、大肠菌群、金黄色葡萄球菌、pH</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2.杯具外观、细菌总数、大肠菌群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沐浴场所</w:t>
            </w:r>
          </w:p>
        </w:tc>
        <w:tc>
          <w:tcPr>
            <w:tcW w:w="4383" w:type="dxa"/>
            <w:tcBorders>
              <w:top w:val="single" w:color="auto" w:sz="4" w:space="0"/>
              <w:left w:val="single" w:color="auto" w:sz="4" w:space="0"/>
              <w:bottom w:val="single" w:color="auto" w:sz="4" w:space="0"/>
              <w:right w:val="single" w:color="auto" w:sz="4" w:space="0"/>
            </w:tcBorders>
            <w:vAlign w:val="center"/>
          </w:tcPr>
          <w:p>
            <w:pPr>
              <w:snapToGrid w:val="0"/>
              <w:rPr>
                <w:rFonts w:ascii="Times New Roman" w:hAnsi="Times New Roman" w:eastAsia="宋体" w:cs="宋体"/>
                <w:sz w:val="21"/>
              </w:rPr>
            </w:pPr>
            <w:r>
              <w:rPr>
                <w:rFonts w:hint="eastAsia" w:ascii="Times New Roman" w:hAnsi="Times New Roman" w:eastAsia="宋体" w:cs="宋体"/>
                <w:sz w:val="21"/>
              </w:rPr>
              <w:t>辖区总数5%</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1.棉织品外观、细菌总数、大肠菌群、金黄色葡萄球菌、pH</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2.沐浴用水嗜肺军团菌、池水浊度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美容美发场所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辖区总数4%</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1.美容美发工具细菌总数、大肠菌群、金黄色葡萄球菌</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2.棉织品外观、细菌总数、大肠菌群、金黄色葡萄球菌、pH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7" w:hRule="atLeas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其他公共场所</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ascii="Times New Roman" w:hAnsi="Times New Roman" w:eastAsia="宋体" w:cs="宋体"/>
                <w:sz w:val="21"/>
              </w:rPr>
            </w:pPr>
            <w:r>
              <w:rPr>
                <w:rFonts w:hint="eastAsia" w:ascii="Times New Roman" w:hAnsi="Times New Roman" w:eastAsia="宋体" w:cs="宋体"/>
                <w:sz w:val="21"/>
              </w:rPr>
              <w:t>辖区全部候车（机、船）室。</w:t>
            </w:r>
          </w:p>
          <w:p>
            <w:pPr>
              <w:widowControl/>
              <w:snapToGrid w:val="0"/>
              <w:rPr>
                <w:rFonts w:ascii="Times New Roman" w:hAnsi="Times New Roman" w:eastAsia="宋体" w:cs="宋体"/>
                <w:sz w:val="21"/>
              </w:rPr>
            </w:pPr>
            <w:r>
              <w:rPr>
                <w:rFonts w:hint="eastAsia" w:ascii="Times New Roman" w:hAnsi="Times New Roman" w:eastAsia="宋体" w:cs="宋体"/>
                <w:sz w:val="21"/>
              </w:rPr>
              <w:t>辖区营业面积2000m</w:t>
            </w:r>
            <w:r>
              <w:rPr>
                <w:rFonts w:hint="eastAsia" w:ascii="Times New Roman" w:hAnsi="Times New Roman" w:eastAsia="宋体" w:cs="宋体"/>
                <w:sz w:val="21"/>
                <w:vertAlign w:val="superscript"/>
              </w:rPr>
              <w:t>2</w:t>
            </w:r>
            <w:r>
              <w:rPr>
                <w:rFonts w:hint="eastAsia" w:ascii="Times New Roman" w:hAnsi="Times New Roman" w:eastAsia="宋体" w:cs="宋体"/>
                <w:sz w:val="21"/>
              </w:rPr>
              <w:t>以上商场（超市）60户，影剧院40户，游艺厅、歌舞厅、音乐厅共80户，数量不足的全部检查。</w:t>
            </w:r>
            <w:r>
              <w:rPr>
                <w:rFonts w:hint="eastAsia" w:ascii="Times New Roman" w:hAnsi="Times New Roman" w:eastAsia="宋体" w:cs="宋体"/>
                <w:sz w:val="21"/>
                <w:vertAlign w:val="superscript"/>
              </w:rPr>
              <w:t xml:space="preserve">(a) </w:t>
            </w:r>
          </w:p>
        </w:tc>
        <w:tc>
          <w:tcPr>
            <w:tcW w:w="4118" w:type="dxa"/>
            <w:vMerge w:val="continue"/>
            <w:tcBorders>
              <w:top w:val="single" w:color="auto" w:sz="4" w:space="0"/>
              <w:left w:val="single" w:color="auto" w:sz="4" w:space="0"/>
              <w:bottom w:val="single" w:color="auto" w:sz="4" w:space="0"/>
              <w:right w:val="single" w:color="auto" w:sz="4" w:space="0"/>
            </w:tcBorders>
            <w:vAlign w:val="center"/>
          </w:tcPr>
          <w:p>
            <w:pPr>
              <w:widowControl/>
              <w:snapToGrid w:val="0"/>
              <w:jc w:val="left"/>
              <w:rPr>
                <w:rFonts w:ascii="Times New Roman" w:hAnsi="Times New Roman" w:eastAsia="宋体" w:cs="宋体"/>
                <w:sz w:val="21"/>
              </w:rPr>
            </w:pP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室内空气中CO</w:t>
            </w:r>
            <w:r>
              <w:rPr>
                <w:rFonts w:hint="eastAsia" w:ascii="Times New Roman" w:hAnsi="Times New Roman" w:eastAsia="宋体" w:cs="宋体"/>
                <w:sz w:val="21"/>
                <w:vertAlign w:val="subscript"/>
              </w:rPr>
              <w:t>2</w:t>
            </w:r>
            <w:r>
              <w:rPr>
                <w:rFonts w:hint="eastAsia" w:ascii="Times New Roman" w:hAnsi="Times New Roman" w:eastAsia="宋体" w:cs="宋体"/>
                <w:sz w:val="21"/>
              </w:rPr>
              <w:t>、甲醛、苯、甲苯、二甲苯</w:t>
            </w:r>
            <w:r>
              <w:rPr>
                <w:rFonts w:hint="eastAsia" w:ascii="Times New Roman" w:hAnsi="Times New Roman" w:eastAsia="宋体" w:cs="宋体"/>
                <w:sz w:val="21"/>
                <w:vertAlign w:val="superscript"/>
              </w:rPr>
              <w:t>(e)</w:t>
            </w:r>
          </w:p>
          <w:p>
            <w:pPr>
              <w:keepNext/>
              <w:keepLines/>
              <w:widowControl/>
              <w:snapToGrid w:val="0"/>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3" w:hRule="exact"/>
          <w:jc w:val="center"/>
        </w:trPr>
        <w:tc>
          <w:tcPr>
            <w:tcW w:w="1479"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ascii="Times New Roman" w:hAnsi="Times New Roman" w:eastAsia="宋体" w:cs="宋体"/>
                <w:sz w:val="21"/>
              </w:rPr>
            </w:pPr>
            <w:r>
              <w:rPr>
                <w:rFonts w:hint="eastAsia" w:ascii="Times New Roman" w:hAnsi="Times New Roman" w:eastAsia="宋体" w:cs="宋体"/>
                <w:sz w:val="21"/>
              </w:rPr>
              <w:t>集中空调</w:t>
            </w:r>
          </w:p>
        </w:tc>
        <w:tc>
          <w:tcPr>
            <w:tcW w:w="4383" w:type="dxa"/>
            <w:tcBorders>
              <w:top w:val="single" w:color="auto" w:sz="4" w:space="0"/>
              <w:left w:val="single" w:color="auto" w:sz="4" w:space="0"/>
              <w:bottom w:val="single" w:color="auto" w:sz="4" w:space="0"/>
              <w:right w:val="single" w:color="auto" w:sz="4" w:space="0"/>
            </w:tcBorders>
            <w:vAlign w:val="center"/>
          </w:tcPr>
          <w:p>
            <w:pPr>
              <w:widowControl/>
              <w:snapToGrid w:val="0"/>
              <w:rPr>
                <w:rFonts w:hint="eastAsia" w:ascii="Times New Roman" w:hAnsi="Times New Roman" w:eastAsia="宋体" w:cs="宋体"/>
                <w:sz w:val="21"/>
                <w:lang w:eastAsia="zh-CN"/>
              </w:rPr>
            </w:pPr>
            <w:r>
              <w:rPr>
                <w:rFonts w:hint="eastAsia" w:ascii="Times New Roman" w:hAnsi="Times New Roman" w:eastAsia="宋体" w:cs="宋体"/>
                <w:sz w:val="21"/>
              </w:rPr>
              <w:t>辖区已抽取公共场所中使用集中空调通风系统的全</w:t>
            </w:r>
            <w:r>
              <w:rPr>
                <w:rFonts w:hint="eastAsia" w:ascii="Times New Roman" w:hAnsi="Times New Roman" w:eastAsia="宋体" w:cs="宋体"/>
                <w:sz w:val="21"/>
                <w:lang w:eastAsia="zh-CN"/>
              </w:rPr>
              <w:t>部</w:t>
            </w:r>
            <w:r>
              <w:rPr>
                <w:rFonts w:hint="eastAsia" w:ascii="Times New Roman" w:hAnsi="Times New Roman" w:eastAsia="宋体" w:cs="宋体"/>
                <w:sz w:val="21"/>
              </w:rPr>
              <w:t>检查</w:t>
            </w:r>
            <w:r>
              <w:rPr>
                <w:rFonts w:hint="eastAsia" w:ascii="Times New Roman" w:hAnsi="Times New Roman" w:eastAsia="宋体" w:cs="宋体"/>
                <w:sz w:val="21"/>
                <w:lang w:eastAsia="zh-CN"/>
              </w:rPr>
              <w:t>，有</w:t>
            </w:r>
            <w:r>
              <w:rPr>
                <w:rFonts w:hint="eastAsia" w:ascii="Times New Roman" w:hAnsi="Times New Roman" w:eastAsia="宋体" w:cs="宋体"/>
                <w:sz w:val="21"/>
              </w:rPr>
              <w:t>检测</w:t>
            </w:r>
            <w:r>
              <w:rPr>
                <w:rFonts w:hint="eastAsia" w:ascii="Times New Roman" w:hAnsi="Times New Roman" w:eastAsia="宋体" w:cs="宋体"/>
                <w:sz w:val="21"/>
                <w:lang w:eastAsia="zh-CN"/>
              </w:rPr>
              <w:t>任务的进行检测。</w:t>
            </w:r>
          </w:p>
        </w:tc>
        <w:tc>
          <w:tcPr>
            <w:tcW w:w="4118"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1.建立集中空调通风系统卫生档案；</w:t>
            </w:r>
            <w:r>
              <w:rPr>
                <w:rFonts w:hint="eastAsia" w:ascii="Times New Roman" w:hAnsi="Times New Roman" w:eastAsia="宋体" w:cs="宋体"/>
                <w:sz w:val="21"/>
                <w:vertAlign w:val="superscript"/>
              </w:rPr>
              <w:t xml:space="preserve">(c) </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2.建立预防空气传播性疾病应急预案情况；</w:t>
            </w:r>
            <w:r>
              <w:rPr>
                <w:rFonts w:hint="eastAsia" w:ascii="Times New Roman" w:hAnsi="Times New Roman" w:eastAsia="宋体" w:cs="宋体"/>
                <w:sz w:val="21"/>
                <w:vertAlign w:val="superscript"/>
              </w:rPr>
              <w:t xml:space="preserve">) </w:t>
            </w:r>
            <w:r>
              <w:rPr>
                <w:rFonts w:hint="eastAsia" w:ascii="Times New Roman" w:hAnsi="Times New Roman" w:eastAsia="宋体" w:cs="宋体"/>
                <w:sz w:val="21"/>
              </w:rPr>
              <w:t xml:space="preserve"> </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3.开展集中空调通风系统卫生检测或卫生学评价情况；</w:t>
            </w:r>
            <w:r>
              <w:rPr>
                <w:rFonts w:hint="eastAsia" w:ascii="Times New Roman" w:hAnsi="Times New Roman" w:eastAsia="宋体" w:cs="宋体"/>
                <w:sz w:val="21"/>
                <w:vertAlign w:val="superscript"/>
              </w:rPr>
              <w:t>(d)</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4.开展集中空调通风系统清洗消毒情况；</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5.新风口、开放式冷却塔依标准设置情况</w:t>
            </w:r>
          </w:p>
        </w:tc>
        <w:tc>
          <w:tcPr>
            <w:tcW w:w="4020" w:type="dxa"/>
            <w:tcBorders>
              <w:top w:val="single" w:color="auto" w:sz="4" w:space="0"/>
              <w:left w:val="single" w:color="auto" w:sz="4" w:space="0"/>
              <w:bottom w:val="single" w:color="auto" w:sz="4" w:space="0"/>
              <w:right w:val="single" w:color="auto" w:sz="4" w:space="0"/>
            </w:tcBorders>
            <w:vAlign w:val="center"/>
          </w:tcPr>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1.风管内表面积尘量、细菌总数、真菌总数</w:t>
            </w:r>
            <w:r>
              <w:rPr>
                <w:rFonts w:hint="eastAsia" w:ascii="Times New Roman" w:hAnsi="Times New Roman" w:eastAsia="宋体" w:cs="宋体"/>
                <w:sz w:val="21"/>
                <w:vertAlign w:val="superscript"/>
              </w:rPr>
              <w:t>(f)</w:t>
            </w:r>
          </w:p>
          <w:p>
            <w:pPr>
              <w:keepNext/>
              <w:keepLines/>
              <w:widowControl/>
              <w:snapToGrid w:val="0"/>
              <w:rPr>
                <w:rFonts w:ascii="Times New Roman" w:hAnsi="Times New Roman" w:eastAsia="宋体" w:cs="宋体"/>
                <w:sz w:val="21"/>
              </w:rPr>
            </w:pPr>
            <w:r>
              <w:rPr>
                <w:rFonts w:hint="eastAsia" w:ascii="Times New Roman" w:hAnsi="Times New Roman" w:eastAsia="宋体" w:cs="宋体"/>
                <w:sz w:val="21"/>
              </w:rPr>
              <w:t>2.冷却水中嗜肺军团菌</w:t>
            </w:r>
            <w:r>
              <w:rPr>
                <w:rFonts w:hint="eastAsia" w:ascii="Times New Roman" w:hAnsi="Times New Roman" w:eastAsia="宋体" w:cs="宋体"/>
                <w:sz w:val="21"/>
                <w:vertAlign w:val="superscript"/>
              </w:rPr>
              <w:t>(g)</w:t>
            </w:r>
          </w:p>
        </w:tc>
      </w:tr>
    </w:tbl>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a.游泳场所按抽查任务的100%进行检测，住宿场所、沐浴场所、其他公共场所按抽查任务的50%进行检测，美容美发场所按抽查任务的20%进行检测。</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b.落实属地</w:t>
      </w:r>
      <w:r>
        <w:rPr>
          <w:rFonts w:hint="eastAsia" w:ascii="Times New Roman" w:hAnsi="Times New Roman" w:eastAsia="宋体" w:cs="宋体"/>
          <w:sz w:val="21"/>
          <w:szCs w:val="21"/>
        </w:rPr>
        <w:t>新冠疫情常态化防控措施要求即为合格。</w:t>
      </w:r>
    </w:p>
    <w:p>
      <w:pPr>
        <w:adjustRightInd w:val="0"/>
        <w:snapToGrid w:val="0"/>
        <w:spacing w:line="200" w:lineRule="atLeast"/>
        <w:jc w:val="left"/>
        <w:rPr>
          <w:rFonts w:ascii="Times New Roman" w:hAnsi="Times New Roman" w:eastAsia="宋体" w:cs="宋体"/>
          <w:kern w:val="0"/>
          <w:sz w:val="21"/>
          <w:szCs w:val="21"/>
          <w:vertAlign w:val="subscript"/>
        </w:rPr>
      </w:pPr>
      <w:r>
        <w:rPr>
          <w:rFonts w:hint="eastAsia" w:ascii="Times New Roman" w:hAnsi="Times New Roman" w:eastAsia="宋体" w:cs="宋体"/>
          <w:kern w:val="0"/>
          <w:sz w:val="21"/>
          <w:szCs w:val="21"/>
        </w:rPr>
        <w:t>c.指《公共场所集中空调通风系统卫生规范》（WS 394-2012）规定的集中空调通风系统卫生档案和预防空气传播性疾病应急预案。</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 xml:space="preserve">d.使用单位需提供集中空调通风系统卫生检测报告复印件。 </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kern w:val="0"/>
          <w:sz w:val="21"/>
          <w:szCs w:val="21"/>
        </w:rPr>
        <w:t>e.只对6个月内进行过室内大面积装修的场所检测甲醛、苯、甲苯、二甲苯项目。</w:t>
      </w:r>
    </w:p>
    <w:p>
      <w:pPr>
        <w:adjustRightInd w:val="0"/>
        <w:snapToGrid w:val="0"/>
        <w:spacing w:line="200" w:lineRule="atLeast"/>
        <w:jc w:val="left"/>
        <w:rPr>
          <w:rFonts w:ascii="Times New Roman" w:hAnsi="Times New Roman" w:eastAsia="宋体" w:cs="宋体"/>
          <w:kern w:val="0"/>
          <w:sz w:val="21"/>
          <w:szCs w:val="21"/>
        </w:rPr>
      </w:pPr>
      <w:r>
        <w:rPr>
          <w:rFonts w:hint="eastAsia" w:ascii="Times New Roman" w:hAnsi="Times New Roman" w:eastAsia="宋体" w:cs="宋体"/>
          <w:sz w:val="21"/>
          <w:szCs w:val="21"/>
        </w:rPr>
        <w:t>f</w:t>
      </w:r>
      <w:r>
        <w:rPr>
          <w:rFonts w:hint="eastAsia" w:ascii="Times New Roman" w:hAnsi="Times New Roman" w:eastAsia="宋体" w:cs="宋体"/>
          <w:kern w:val="0"/>
          <w:sz w:val="21"/>
          <w:szCs w:val="21"/>
        </w:rPr>
        <w:t>.使用无风管集中空调通风系统的，该指标合理缺项。</w:t>
      </w:r>
    </w:p>
    <w:p>
      <w:pPr>
        <w:adjustRightInd w:val="0"/>
        <w:snapToGrid w:val="0"/>
        <w:spacing w:line="200" w:lineRule="atLeast"/>
        <w:rPr>
          <w:rFonts w:ascii="Times New Roman" w:hAnsi="Times New Roman" w:eastAsia="华文仿宋"/>
          <w:sz w:val="21"/>
          <w:szCs w:val="21"/>
        </w:rPr>
      </w:pPr>
      <w:r>
        <w:rPr>
          <w:rFonts w:hint="eastAsia" w:ascii="Times New Roman" w:hAnsi="Times New Roman" w:eastAsia="宋体" w:cs="宋体"/>
          <w:sz w:val="21"/>
          <w:szCs w:val="21"/>
        </w:rPr>
        <w:t>g.使用非开放式冷却塔集中空调通风系统的，该指标合理缺项。</w:t>
      </w:r>
    </w:p>
    <w:p>
      <w:pPr>
        <w:rPr>
          <w:rFonts w:ascii="Times New Roman" w:hAnsi="Times New Roman" w:eastAsia="黑体"/>
          <w:sz w:val="30"/>
          <w:szCs w:val="30"/>
        </w:rPr>
      </w:pPr>
      <w:r>
        <w:rPr>
          <w:rFonts w:hint="eastAsia" w:ascii="Times New Roman" w:hAnsi="Times New Roman" w:eastAsia="黑体"/>
          <w:sz w:val="30"/>
          <w:szCs w:val="30"/>
        </w:rPr>
        <w:br w:type="page"/>
      </w:r>
    </w:p>
    <w:p>
      <w:pPr>
        <w:rPr>
          <w:rFonts w:ascii="Times New Roman" w:hAnsi="Times New Roman" w:eastAsia="黑体"/>
          <w:szCs w:val="32"/>
        </w:rPr>
      </w:pPr>
      <w:r>
        <w:rPr>
          <w:rFonts w:hint="eastAsia" w:ascii="Times New Roman" w:hAnsi="Times New Roman" w:eastAsia="黑体"/>
          <w:szCs w:val="32"/>
        </w:rPr>
        <w:t>附表3</w:t>
      </w:r>
    </w:p>
    <w:p>
      <w:pPr>
        <w:jc w:val="center"/>
        <w:rPr>
          <w:rFonts w:ascii="Times New Roman" w:hAnsi="Times New Roman" w:eastAsia="宋体" w:cs="宋体"/>
          <w:b/>
          <w:bCs/>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年生活饮用水卫生随机监督抽查工作计划表</w:t>
      </w:r>
    </w:p>
    <w:tbl>
      <w:tblPr>
        <w:tblStyle w:val="3"/>
        <w:tblW w:w="141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492"/>
        <w:gridCol w:w="4111"/>
        <w:gridCol w:w="16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监督检查对象</w:t>
            </w:r>
            <w:r>
              <w:rPr>
                <w:rFonts w:hint="eastAsia" w:ascii="Times New Roman" w:hAnsi="Times New Roman" w:eastAsia="黑体" w:cs="黑体"/>
                <w:sz w:val="21"/>
                <w:vertAlign w:val="superscript"/>
              </w:rPr>
              <w:t>(a)</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范围和数量</w:t>
            </w:r>
          </w:p>
        </w:tc>
        <w:tc>
          <w:tcPr>
            <w:tcW w:w="411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检查内容</w:t>
            </w:r>
          </w:p>
        </w:tc>
        <w:tc>
          <w:tcPr>
            <w:tcW w:w="16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黑体" w:cs="黑体"/>
                <w:sz w:val="21"/>
              </w:rPr>
            </w:pPr>
            <w:r>
              <w:rPr>
                <w:rFonts w:hint="eastAsia" w:ascii="Times New Roman" w:hAnsi="Times New Roman" w:eastAsia="黑体" w:cs="黑体"/>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城市集中式供水</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辖区城市城区和县城的全部水厂</w:t>
            </w:r>
          </w:p>
        </w:tc>
        <w:tc>
          <w:tcPr>
            <w:tcW w:w="4111"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1.持有卫生许可证情况；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2.水源卫生防护情况；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3.供管水人员健康体检和培训情况；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4.涉水产品卫生许可批件情况；</w:t>
            </w:r>
          </w:p>
          <w:p>
            <w:pPr>
              <w:spacing w:line="300" w:lineRule="exact"/>
              <w:rPr>
                <w:rFonts w:ascii="Times New Roman" w:hAnsi="Times New Roman" w:eastAsia="宋体" w:cs="宋体"/>
                <w:sz w:val="21"/>
              </w:rPr>
            </w:pPr>
            <w:r>
              <w:rPr>
                <w:rFonts w:hint="eastAsia" w:ascii="Times New Roman" w:hAnsi="Times New Roman" w:eastAsia="宋体" w:cs="宋体"/>
                <w:sz w:val="21"/>
              </w:rPr>
              <w:t>5.水质消毒情况；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6.水质自检情况。</w:t>
            </w:r>
            <w:r>
              <w:rPr>
                <w:rFonts w:hint="eastAsia" w:ascii="Times New Roman" w:hAnsi="Times New Roman" w:eastAsia="宋体" w:cs="宋体"/>
                <w:sz w:val="21"/>
                <w:vertAlign w:val="superscript"/>
              </w:rPr>
              <w:t xml:space="preserve">(d) </w:t>
            </w:r>
          </w:p>
        </w:tc>
        <w:tc>
          <w:tcPr>
            <w:tcW w:w="168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出厂水色度、浑浊度、臭和味、肉眼可见物、pH和消毒剂余量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农村集中式供水</w:t>
            </w:r>
            <w:r>
              <w:rPr>
                <w:rFonts w:hint="eastAsia" w:ascii="Times New Roman" w:hAnsi="Times New Roman" w:eastAsia="宋体" w:cs="宋体"/>
                <w:sz w:val="21"/>
                <w:vertAlign w:val="superscript"/>
              </w:rPr>
              <w:t>(b)</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辖区农村全部设计日供水1000m</w:t>
            </w:r>
            <w:r>
              <w:rPr>
                <w:rFonts w:hint="eastAsia" w:ascii="Times New Roman" w:hAnsi="Times New Roman" w:eastAsia="宋体" w:cs="宋体"/>
                <w:sz w:val="21"/>
                <w:vertAlign w:val="superscript"/>
              </w:rPr>
              <w:t>3</w:t>
            </w:r>
            <w:r>
              <w:rPr>
                <w:rFonts w:hint="eastAsia" w:ascii="Times New Roman" w:hAnsi="Times New Roman" w:eastAsia="宋体" w:cs="宋体"/>
                <w:sz w:val="21"/>
              </w:rPr>
              <w:t>以上水厂</w:t>
            </w:r>
          </w:p>
        </w:tc>
        <w:tc>
          <w:tcPr>
            <w:tcW w:w="4111"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p>
        </w:tc>
        <w:tc>
          <w:tcPr>
            <w:tcW w:w="1687"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小型集中式供水</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每个县、县级市辖区在用小型集中式供水的乡镇数的至少30%</w:t>
            </w:r>
            <w:r>
              <w:rPr>
                <w:rFonts w:hint="eastAsia" w:ascii="Times New Roman" w:hAnsi="Times New Roman" w:eastAsia="宋体" w:cs="宋体"/>
                <w:sz w:val="21"/>
                <w:vertAlign w:val="superscript"/>
              </w:rPr>
              <w:t>(c)</w:t>
            </w:r>
            <w:r>
              <w:rPr>
                <w:rFonts w:hint="eastAsia" w:ascii="Times New Roman" w:hAnsi="Times New Roman" w:eastAsia="宋体" w:cs="宋体"/>
                <w:sz w:val="21"/>
              </w:rPr>
              <w:t>，</w:t>
            </w:r>
          </w:p>
          <w:p>
            <w:pPr>
              <w:spacing w:line="300" w:lineRule="exact"/>
              <w:rPr>
                <w:rFonts w:ascii="Times New Roman" w:hAnsi="Times New Roman" w:eastAsia="宋体" w:cs="宋体"/>
                <w:sz w:val="21"/>
              </w:rPr>
            </w:pPr>
            <w:r>
              <w:rPr>
                <w:rFonts w:hint="eastAsia" w:ascii="Times New Roman" w:hAnsi="Times New Roman" w:eastAsia="宋体" w:cs="宋体"/>
                <w:sz w:val="21"/>
              </w:rPr>
              <w:t>每个乡镇抽查30%的设计日供水100m</w:t>
            </w:r>
            <w:r>
              <w:rPr>
                <w:rFonts w:hint="eastAsia" w:ascii="Times New Roman" w:hAnsi="Times New Roman" w:eastAsia="宋体" w:cs="宋体"/>
                <w:sz w:val="21"/>
                <w:vertAlign w:val="superscript"/>
              </w:rPr>
              <w:t>3</w:t>
            </w:r>
            <w:r>
              <w:rPr>
                <w:rFonts w:hint="eastAsia" w:ascii="Times New Roman" w:hAnsi="Times New Roman" w:eastAsia="宋体" w:cs="宋体"/>
                <w:sz w:val="21"/>
              </w:rPr>
              <w:t>以上水厂</w:t>
            </w:r>
            <w:r>
              <w:rPr>
                <w:rFonts w:hint="eastAsia" w:ascii="Times New Roman" w:hAnsi="Times New Roman" w:eastAsia="宋体" w:cs="宋体"/>
                <w:sz w:val="21"/>
                <w:vertAlign w:val="superscript"/>
              </w:rPr>
              <w:t>(c)</w:t>
            </w:r>
          </w:p>
        </w:tc>
        <w:tc>
          <w:tcPr>
            <w:tcW w:w="411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1.饮用水卫生安全巡查服务开展情况；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2.持有卫生许可证情况；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3.处罚情况。</w:t>
            </w:r>
          </w:p>
        </w:tc>
        <w:tc>
          <w:tcPr>
            <w:tcW w:w="1687"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二次供水</w:t>
            </w:r>
          </w:p>
        </w:tc>
        <w:tc>
          <w:tcPr>
            <w:tcW w:w="5492"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每个县（区）10个二次供水设施，不足10个的全部检查</w:t>
            </w:r>
            <w:r>
              <w:rPr>
                <w:rFonts w:hint="eastAsia" w:ascii="Times New Roman" w:hAnsi="Times New Roman" w:eastAsia="宋体" w:cs="宋体"/>
                <w:sz w:val="21"/>
                <w:vertAlign w:val="superscript"/>
              </w:rPr>
              <w:t>(c)</w:t>
            </w:r>
          </w:p>
        </w:tc>
        <w:tc>
          <w:tcPr>
            <w:tcW w:w="4111"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Times New Roman" w:hAnsi="Times New Roman" w:eastAsia="宋体" w:cs="宋体"/>
                <w:sz w:val="21"/>
              </w:rPr>
            </w:pPr>
            <w:r>
              <w:rPr>
                <w:rFonts w:hint="eastAsia" w:ascii="Times New Roman" w:hAnsi="Times New Roman" w:eastAsia="宋体" w:cs="宋体"/>
                <w:sz w:val="21"/>
              </w:rPr>
              <w:t>1.供管水人员健康体检和培训情况；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2.设施防护及周围环境情况；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3.储水设备定期清洗消毒情况；</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4.水质自检情况；</w:t>
            </w:r>
            <w:r>
              <w:rPr>
                <w:rFonts w:hint="eastAsia" w:ascii="Times New Roman" w:hAnsi="Times New Roman" w:eastAsia="宋体" w:cs="宋体"/>
                <w:sz w:val="21"/>
                <w:vertAlign w:val="superscript"/>
              </w:rPr>
              <w:t>(d)</w:t>
            </w:r>
          </w:p>
          <w:p>
            <w:pPr>
              <w:spacing w:line="300" w:lineRule="exact"/>
              <w:jc w:val="left"/>
              <w:rPr>
                <w:rFonts w:ascii="Times New Roman" w:hAnsi="Times New Roman" w:eastAsia="宋体" w:cs="宋体"/>
                <w:sz w:val="21"/>
              </w:rPr>
            </w:pPr>
            <w:r>
              <w:rPr>
                <w:rFonts w:hint="eastAsia" w:ascii="Times New Roman" w:hAnsi="Times New Roman" w:eastAsia="宋体" w:cs="宋体"/>
                <w:sz w:val="21"/>
              </w:rPr>
              <w:t>5.饮用水卫生安全巡查服务开展情况。</w:t>
            </w:r>
          </w:p>
        </w:tc>
        <w:tc>
          <w:tcPr>
            <w:tcW w:w="16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sz w:val="21"/>
              </w:rPr>
            </w:pPr>
            <w:r>
              <w:rPr>
                <w:rFonts w:hint="eastAsia" w:ascii="Times New Roman" w:hAnsi="Times New Roman" w:eastAsia="宋体" w:cs="宋体"/>
                <w:sz w:val="21"/>
              </w:rPr>
              <w:t>出水色度、浑浊度、臭和味、肉眼可见物、pH和消毒剂余量</w:t>
            </w:r>
          </w:p>
        </w:tc>
      </w:tr>
    </w:tbl>
    <w:p>
      <w:pPr>
        <w:spacing w:line="280" w:lineRule="exact"/>
        <w:jc w:val="left"/>
        <w:rPr>
          <w:rFonts w:ascii="Times New Roman" w:hAnsi="Times New Roman" w:eastAsia="宋体" w:cs="宋体"/>
          <w:kern w:val="0"/>
          <w:sz w:val="21"/>
        </w:rPr>
      </w:pPr>
      <w:r>
        <w:rPr>
          <w:rFonts w:hint="eastAsia" w:ascii="Times New Roman" w:hAnsi="Times New Roman" w:eastAsia="宋体" w:cs="宋体"/>
          <w:kern w:val="0"/>
          <w:sz w:val="21"/>
        </w:rPr>
        <w:t>a.不含学校内的自建设施集中式供水和二次供水。</w:t>
      </w:r>
    </w:p>
    <w:p>
      <w:pPr>
        <w:spacing w:line="280" w:lineRule="exact"/>
        <w:jc w:val="left"/>
        <w:rPr>
          <w:rFonts w:ascii="Times New Roman" w:hAnsi="Times New Roman" w:eastAsia="宋体" w:cs="宋体"/>
          <w:kern w:val="0"/>
          <w:sz w:val="21"/>
        </w:rPr>
      </w:pPr>
      <w:r>
        <w:rPr>
          <w:rFonts w:hint="eastAsia" w:ascii="Times New Roman" w:hAnsi="Times New Roman" w:eastAsia="宋体" w:cs="宋体"/>
          <w:kern w:val="0"/>
          <w:sz w:val="21"/>
        </w:rPr>
        <w:t>b.农村集中式供水为监督检查信息卡上标记类别为“乡镇”的集中式供水。</w:t>
      </w:r>
    </w:p>
    <w:p>
      <w:pPr>
        <w:spacing w:line="280" w:lineRule="exact"/>
        <w:jc w:val="left"/>
        <w:rPr>
          <w:rFonts w:ascii="Times New Roman" w:hAnsi="Times New Roman" w:eastAsia="宋体" w:cs="宋体"/>
          <w:kern w:val="0"/>
          <w:sz w:val="21"/>
        </w:rPr>
      </w:pPr>
      <w:r>
        <w:rPr>
          <w:rFonts w:hint="eastAsia" w:ascii="Times New Roman" w:hAnsi="Times New Roman" w:eastAsia="宋体" w:cs="宋体"/>
          <w:kern w:val="0"/>
          <w:sz w:val="21"/>
        </w:rPr>
        <w:t>c.各地在综合卫生监督档案、饮用水卫生安全巡查档案或记录以及相关调查资料等信息的基础上自行制定清单并实施双随机抽查。</w:t>
      </w:r>
    </w:p>
    <w:p>
      <w:pPr>
        <w:spacing w:line="280" w:lineRule="exact"/>
        <w:rPr>
          <w:rFonts w:ascii="Times New Roman" w:hAnsi="Times New Roman" w:eastAsia="宋体" w:cs="宋体"/>
          <w:kern w:val="0"/>
          <w:sz w:val="21"/>
        </w:rPr>
      </w:pPr>
      <w:r>
        <w:rPr>
          <w:rFonts w:hint="eastAsia" w:ascii="Times New Roman" w:hAnsi="Times New Roman" w:eastAsia="宋体" w:cs="宋体"/>
          <w:kern w:val="0"/>
          <w:sz w:val="21"/>
        </w:rPr>
        <w:t>d.水质自检包括委托检测。</w:t>
      </w:r>
      <w:r>
        <w:rPr>
          <w:rFonts w:ascii="Times New Roman" w:hAnsi="Times New Roman" w:eastAsia="宋体" w:cs="宋体"/>
          <w:kern w:val="0"/>
          <w:sz w:val="21"/>
        </w:rPr>
        <w:br w:type="page"/>
      </w:r>
    </w:p>
    <w:p>
      <w:pPr>
        <w:snapToGrid w:val="0"/>
        <w:rPr>
          <w:rFonts w:ascii="Times New Roman" w:hAnsi="Times New Roman" w:eastAsia="黑体"/>
          <w:szCs w:val="32"/>
        </w:rPr>
      </w:pPr>
      <w:r>
        <w:rPr>
          <w:rFonts w:hint="eastAsia" w:ascii="Times New Roman" w:hAnsi="Times New Roman" w:eastAsia="黑体"/>
          <w:szCs w:val="32"/>
        </w:rPr>
        <w:t>附表4</w:t>
      </w:r>
    </w:p>
    <w:p>
      <w:pPr>
        <w:snapToGrid w:val="0"/>
        <w:spacing w:after="298" w:afterLines="50" w:line="600" w:lineRule="exact"/>
        <w:jc w:val="center"/>
        <w:rPr>
          <w:rFonts w:hint="eastAsia"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2022年涉水产品随机监督抽查工作计划表</w:t>
      </w:r>
    </w:p>
    <w:tbl>
      <w:tblPr>
        <w:tblStyle w:val="3"/>
        <w:tblW w:w="142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7"/>
        <w:gridCol w:w="3670"/>
        <w:gridCol w:w="3563"/>
        <w:gridCol w:w="2884"/>
        <w:gridCol w:w="23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7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产品类别</w:t>
            </w:r>
          </w:p>
        </w:tc>
        <w:tc>
          <w:tcPr>
            <w:tcW w:w="367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范围和数量</w:t>
            </w:r>
          </w:p>
        </w:tc>
        <w:tc>
          <w:tcPr>
            <w:tcW w:w="356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检查内容</w:t>
            </w:r>
          </w:p>
        </w:tc>
        <w:tc>
          <w:tcPr>
            <w:tcW w:w="288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检测项目</w:t>
            </w:r>
            <w:r>
              <w:rPr>
                <w:rFonts w:hint="eastAsia" w:ascii="宋体" w:hAnsi="宋体" w:eastAsia="宋体" w:cs="宋体"/>
                <w:sz w:val="21"/>
                <w:vertAlign w:val="superscript"/>
              </w:rPr>
              <w:t>(a)</w:t>
            </w:r>
          </w:p>
        </w:tc>
        <w:tc>
          <w:tcPr>
            <w:tcW w:w="2340" w:type="dxa"/>
            <w:tcBorders>
              <w:top w:val="single" w:color="auto" w:sz="4" w:space="0"/>
              <w:left w:val="single" w:color="auto" w:sz="4" w:space="0"/>
              <w:bottom w:val="single" w:color="auto" w:sz="4" w:space="0"/>
              <w:right w:val="single" w:color="auto" w:sz="4" w:space="0"/>
            </w:tcBorders>
            <w:vAlign w:val="center"/>
          </w:tcPr>
          <w:p>
            <w:pPr>
              <w:spacing w:line="300" w:lineRule="exact"/>
              <w:ind w:right="394" w:rightChars="123"/>
              <w:jc w:val="center"/>
              <w:rPr>
                <w:rFonts w:ascii="宋体" w:hAnsi="宋体" w:eastAsia="宋体" w:cs="宋体"/>
                <w:sz w:val="21"/>
              </w:rPr>
            </w:pPr>
            <w:r>
              <w:rPr>
                <w:rFonts w:hint="eastAsia" w:ascii="宋体" w:hAnsi="宋体" w:eastAsia="宋体" w:cs="宋体"/>
                <w:sz w:val="21"/>
              </w:rPr>
              <w:t xml:space="preserve">     执行单位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5" w:hRule="atLeast"/>
          <w:jc w:val="center"/>
        </w:trPr>
        <w:tc>
          <w:tcPr>
            <w:tcW w:w="17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kern w:val="0"/>
                <w:sz w:val="21"/>
              </w:rPr>
              <w:t>输配水设备</w:t>
            </w:r>
          </w:p>
        </w:tc>
        <w:tc>
          <w:tcPr>
            <w:tcW w:w="367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kern w:val="0"/>
                <w:sz w:val="21"/>
              </w:rPr>
            </w:pPr>
            <w:r>
              <w:rPr>
                <w:rFonts w:hint="eastAsia" w:ascii="宋体" w:hAnsi="宋体" w:eastAsia="宋体" w:cs="宋体"/>
                <w:sz w:val="21"/>
              </w:rPr>
              <w:t>“双随机”抽出的辖区内1个生产企业，抽查1个产品</w:t>
            </w:r>
          </w:p>
        </w:tc>
        <w:tc>
          <w:tcPr>
            <w:tcW w:w="3563"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1.生产企业符合《涉及饮用水卫生安全产品生产企业卫生规范》情况；</w:t>
            </w:r>
          </w:p>
          <w:p>
            <w:pPr>
              <w:spacing w:line="300" w:lineRule="exact"/>
              <w:rPr>
                <w:rFonts w:ascii="宋体" w:hAnsi="宋体" w:eastAsia="宋体" w:cs="宋体"/>
                <w:sz w:val="21"/>
              </w:rPr>
            </w:pPr>
            <w:r>
              <w:rPr>
                <w:rFonts w:hint="eastAsia" w:ascii="宋体" w:hAnsi="宋体" w:eastAsia="宋体" w:cs="宋体"/>
                <w:sz w:val="21"/>
              </w:rPr>
              <w:t>2.产品卫生许可批件、标签、说明书。</w:t>
            </w:r>
          </w:p>
        </w:tc>
        <w:tc>
          <w:tcPr>
            <w:tcW w:w="288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产品卫生安全性检测</w:t>
            </w:r>
          </w:p>
        </w:tc>
        <w:tc>
          <w:tcPr>
            <w:tcW w:w="2340" w:type="dxa"/>
            <w:tcBorders>
              <w:top w:val="single" w:color="auto" w:sz="4" w:space="0"/>
              <w:left w:val="single" w:color="auto" w:sz="4" w:space="0"/>
              <w:right w:val="single" w:color="auto" w:sz="4" w:space="0"/>
            </w:tcBorders>
            <w:vAlign w:val="center"/>
          </w:tcPr>
          <w:p>
            <w:pPr>
              <w:spacing w:line="300" w:lineRule="exact"/>
              <w:jc w:val="left"/>
              <w:rPr>
                <w:rFonts w:ascii="宋体" w:hAnsi="宋体" w:eastAsia="宋体" w:cs="宋体"/>
                <w:sz w:val="21"/>
              </w:rPr>
            </w:pPr>
            <w:r>
              <w:rPr>
                <w:rFonts w:hint="eastAsia" w:ascii="宋体" w:hAnsi="宋体" w:eastAsia="宋体" w:cs="宋体"/>
                <w:sz w:val="21"/>
              </w:rPr>
              <w:t>按“双随机”抽出的单位和人员名单执行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jc w:val="center"/>
        </w:trPr>
        <w:tc>
          <w:tcPr>
            <w:tcW w:w="179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kern w:val="0"/>
                <w:sz w:val="21"/>
              </w:rPr>
              <w:t>水质处理器</w:t>
            </w:r>
          </w:p>
        </w:tc>
        <w:tc>
          <w:tcPr>
            <w:tcW w:w="3670" w:type="dxa"/>
            <w:tcBorders>
              <w:top w:val="single" w:color="auto" w:sz="4" w:space="0"/>
              <w:left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辖区内实体经营单位</w:t>
            </w:r>
            <w:r>
              <w:rPr>
                <w:rFonts w:hint="eastAsia" w:ascii="宋体" w:hAnsi="宋体" w:eastAsia="宋体" w:cs="宋体"/>
                <w:kern w:val="0"/>
                <w:sz w:val="21"/>
              </w:rPr>
              <w:t>，含城市商场、超市或专营商店、乡镇综合或专营市场，不足的全部抽查。</w:t>
            </w:r>
          </w:p>
        </w:tc>
        <w:tc>
          <w:tcPr>
            <w:tcW w:w="3563" w:type="dxa"/>
            <w:tcBorders>
              <w:top w:val="single" w:color="auto" w:sz="4" w:space="0"/>
              <w:left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1.标签、说明书；</w:t>
            </w:r>
          </w:p>
          <w:p>
            <w:pPr>
              <w:spacing w:line="300" w:lineRule="exact"/>
              <w:rPr>
                <w:rFonts w:ascii="宋体" w:hAnsi="宋体" w:eastAsia="宋体" w:cs="宋体"/>
                <w:sz w:val="21"/>
              </w:rPr>
            </w:pPr>
            <w:r>
              <w:rPr>
                <w:rFonts w:hint="eastAsia" w:ascii="宋体" w:hAnsi="宋体" w:eastAsia="宋体" w:cs="宋体"/>
                <w:sz w:val="21"/>
              </w:rPr>
              <w:t>2.产品卫生许可批件。</w:t>
            </w:r>
          </w:p>
        </w:tc>
        <w:tc>
          <w:tcPr>
            <w:tcW w:w="2884" w:type="dxa"/>
            <w:vMerge w:val="restart"/>
            <w:tcBorders>
              <w:top w:val="single" w:color="auto" w:sz="4" w:space="0"/>
              <w:left w:val="single" w:color="auto" w:sz="4" w:space="0"/>
              <w:right w:val="single" w:color="auto" w:sz="4" w:space="0"/>
            </w:tcBorders>
            <w:vAlign w:val="center"/>
          </w:tcPr>
          <w:p>
            <w:pPr>
              <w:spacing w:line="300" w:lineRule="exact"/>
              <w:jc w:val="center"/>
              <w:rPr>
                <w:rFonts w:ascii="宋体" w:hAnsi="宋体" w:eastAsia="宋体" w:cs="宋体"/>
                <w:sz w:val="21"/>
              </w:rPr>
            </w:pPr>
            <w:r>
              <w:rPr>
                <w:rFonts w:hint="eastAsia" w:ascii="宋体" w:hAnsi="宋体" w:eastAsia="宋体" w:cs="宋体"/>
                <w:sz w:val="21"/>
              </w:rPr>
              <w:t>----------</w:t>
            </w:r>
          </w:p>
        </w:tc>
        <w:tc>
          <w:tcPr>
            <w:tcW w:w="2340" w:type="dxa"/>
            <w:tcBorders>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sz w:val="21"/>
                <w:lang w:val="en-US" w:eastAsia="zh-CN"/>
              </w:rPr>
            </w:pPr>
            <w:r>
              <w:rPr>
                <w:rFonts w:hint="eastAsia" w:ascii="宋体" w:hAnsi="宋体" w:eastAsia="宋体" w:cs="宋体"/>
                <w:sz w:val="21"/>
                <w:lang w:eastAsia="zh-CN"/>
              </w:rPr>
              <w:t>市支队、环翠大队、文登大队各抽查</w:t>
            </w:r>
            <w:r>
              <w:rPr>
                <w:rFonts w:hint="eastAsia" w:ascii="宋体" w:hAnsi="宋体" w:eastAsia="宋体" w:cs="宋体"/>
                <w:sz w:val="21"/>
              </w:rPr>
              <w:t>辖区内</w:t>
            </w:r>
            <w:r>
              <w:rPr>
                <w:rFonts w:hint="eastAsia" w:ascii="宋体" w:hAnsi="宋体" w:eastAsia="宋体" w:cs="宋体"/>
                <w:sz w:val="21"/>
                <w:lang w:val="en-US" w:eastAsia="zh-CN"/>
              </w:rPr>
              <w:t>1</w:t>
            </w:r>
            <w:r>
              <w:rPr>
                <w:rFonts w:hint="eastAsia" w:ascii="宋体" w:hAnsi="宋体" w:eastAsia="宋体" w:cs="宋体"/>
                <w:kern w:val="0"/>
                <w:sz w:val="21"/>
              </w:rPr>
              <w:t>个城市商场、超市或专营商店</w:t>
            </w:r>
            <w:r>
              <w:rPr>
                <w:rFonts w:hint="eastAsia" w:ascii="宋体" w:hAnsi="宋体" w:eastAsia="宋体" w:cs="宋体"/>
                <w:kern w:val="0"/>
                <w:sz w:val="21"/>
                <w:lang w:eastAsia="zh-CN"/>
              </w:rPr>
              <w:t>，乳山大队、荣成大队各抽查</w:t>
            </w:r>
            <w:r>
              <w:rPr>
                <w:rFonts w:hint="eastAsia" w:ascii="宋体" w:hAnsi="宋体" w:eastAsia="宋体" w:cs="宋体"/>
                <w:sz w:val="21"/>
              </w:rPr>
              <w:t>辖区内</w:t>
            </w:r>
            <w:r>
              <w:rPr>
                <w:rFonts w:hint="eastAsia" w:ascii="宋体" w:hAnsi="宋体" w:eastAsia="宋体" w:cs="宋体"/>
                <w:kern w:val="0"/>
                <w:sz w:val="21"/>
                <w:lang w:val="en-US" w:eastAsia="zh-CN"/>
              </w:rPr>
              <w:t>1个</w:t>
            </w:r>
            <w:r>
              <w:rPr>
                <w:rFonts w:hint="eastAsia" w:ascii="宋体" w:hAnsi="宋体" w:eastAsia="宋体" w:cs="宋体"/>
                <w:kern w:val="0"/>
                <w:sz w:val="21"/>
              </w:rPr>
              <w:t>乡镇综合或专营市场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797" w:type="dxa"/>
            <w:vMerge w:val="continue"/>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kern w:val="0"/>
                <w:sz w:val="21"/>
              </w:rPr>
            </w:pPr>
          </w:p>
        </w:tc>
        <w:tc>
          <w:tcPr>
            <w:tcW w:w="3670"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辖区内在主要网络平台从事经销活动的网店，检查网店所有产品。</w:t>
            </w:r>
          </w:p>
        </w:tc>
        <w:tc>
          <w:tcPr>
            <w:tcW w:w="3563"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宋体" w:hAnsi="宋体" w:eastAsia="宋体" w:cs="宋体"/>
                <w:sz w:val="21"/>
              </w:rPr>
            </w:pPr>
            <w:r>
              <w:rPr>
                <w:rFonts w:hint="eastAsia" w:ascii="宋体" w:hAnsi="宋体" w:eastAsia="宋体" w:cs="宋体"/>
                <w:sz w:val="21"/>
              </w:rPr>
              <w:t>产品卫生许可批件。</w:t>
            </w:r>
          </w:p>
        </w:tc>
        <w:tc>
          <w:tcPr>
            <w:tcW w:w="2884" w:type="dxa"/>
            <w:vMerge w:val="continue"/>
            <w:tcBorders>
              <w:left w:val="single" w:color="auto" w:sz="4" w:space="0"/>
              <w:bottom w:val="single" w:color="auto" w:sz="4" w:space="0"/>
              <w:right w:val="single" w:color="auto" w:sz="4" w:space="0"/>
            </w:tcBorders>
            <w:vAlign w:val="center"/>
          </w:tcPr>
          <w:p>
            <w:pPr>
              <w:spacing w:line="300" w:lineRule="exact"/>
              <w:jc w:val="center"/>
              <w:rPr>
                <w:rFonts w:ascii="宋体" w:hAnsi="宋体" w:eastAsia="宋体" w:cs="宋体"/>
                <w:sz w:val="21"/>
              </w:rPr>
            </w:pPr>
          </w:p>
        </w:tc>
        <w:tc>
          <w:tcPr>
            <w:tcW w:w="2340"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hint="default" w:ascii="宋体" w:hAnsi="宋体" w:eastAsia="宋体" w:cs="宋体"/>
                <w:sz w:val="21"/>
                <w:lang w:val="en-US" w:eastAsia="zh-CN"/>
              </w:rPr>
            </w:pPr>
            <w:r>
              <w:rPr>
                <w:rFonts w:hint="eastAsia" w:ascii="宋体" w:hAnsi="宋体" w:eastAsia="宋体" w:cs="宋体"/>
                <w:sz w:val="21"/>
                <w:lang w:eastAsia="zh-CN"/>
              </w:rPr>
              <w:t>市支队及各大队各抽查辖区内</w:t>
            </w:r>
            <w:r>
              <w:rPr>
                <w:rFonts w:hint="eastAsia" w:ascii="宋体" w:hAnsi="宋体" w:eastAsia="宋体" w:cs="宋体"/>
                <w:sz w:val="21"/>
                <w:lang w:val="en-US" w:eastAsia="zh-CN"/>
              </w:rPr>
              <w:t>1个网店</w:t>
            </w:r>
          </w:p>
        </w:tc>
      </w:tr>
    </w:tbl>
    <w:p>
      <w:pPr>
        <w:snapToGrid w:val="0"/>
        <w:spacing w:before="298" w:beforeLines="50" w:line="300" w:lineRule="exact"/>
        <w:jc w:val="left"/>
        <w:rPr>
          <w:rFonts w:ascii="Times New Roman" w:hAnsi="Times New Roman" w:eastAsia="宋体" w:cs="宋体"/>
          <w:sz w:val="21"/>
        </w:rPr>
      </w:pPr>
      <w:r>
        <w:rPr>
          <w:rFonts w:hint="eastAsia" w:ascii="Times New Roman" w:hAnsi="Times New Roman" w:eastAsia="宋体" w:cs="宋体"/>
          <w:sz w:val="21"/>
        </w:rPr>
        <w:t>无负压供水设备、饮用水消毒设备、大型水质处理器产品卫生安全性检测合理缺项。</w:t>
      </w:r>
    </w:p>
    <w:p>
      <w:pPr>
        <w:snapToGrid w:val="0"/>
        <w:rPr>
          <w:rFonts w:hint="eastAsia" w:ascii="Times New Roman" w:hAnsi="Times New Roman" w:eastAsia="黑体"/>
          <w:szCs w:val="32"/>
        </w:rPr>
      </w:pPr>
    </w:p>
    <w:p>
      <w:pPr>
        <w:snapToGrid w:val="0"/>
        <w:rPr>
          <w:rFonts w:hint="eastAsia" w:ascii="Times New Roman" w:hAnsi="Times New Roman" w:eastAsia="黑体"/>
          <w:szCs w:val="32"/>
        </w:rPr>
      </w:pPr>
    </w:p>
    <w:p>
      <w:pPr>
        <w:snapToGrid w:val="0"/>
        <w:rPr>
          <w:rFonts w:hint="eastAsia" w:ascii="Times New Roman" w:hAnsi="Times New Roman" w:eastAsia="黑体"/>
          <w:szCs w:val="32"/>
        </w:rPr>
      </w:pPr>
    </w:p>
    <w:p>
      <w:pPr>
        <w:snapToGrid w:val="0"/>
        <w:rPr>
          <w:rFonts w:hint="eastAsia" w:ascii="Times New Roman" w:hAnsi="Times New Roman" w:eastAsia="黑体"/>
          <w:szCs w:val="32"/>
        </w:rPr>
      </w:pPr>
    </w:p>
    <w:p>
      <w:pPr>
        <w:snapToGrid w:val="0"/>
        <w:rPr>
          <w:rFonts w:ascii="Times New Roman" w:hAnsi="Times New Roman" w:eastAsia="黑体"/>
          <w:szCs w:val="32"/>
        </w:rPr>
      </w:pPr>
      <w:r>
        <w:rPr>
          <w:rFonts w:hint="eastAsia" w:ascii="Times New Roman" w:hAnsi="Times New Roman" w:eastAsia="黑体"/>
          <w:szCs w:val="32"/>
        </w:rPr>
        <w:t>附表5</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w:t>
      </w:r>
      <w:r>
        <w:rPr>
          <w:rFonts w:hint="eastAsia" w:ascii="Times New Roman" w:hAnsi="Times New Roman" w:eastAsia="方正小标宋简体" w:cs="方正小标宋简体"/>
          <w:bCs/>
          <w:sz w:val="44"/>
          <w:szCs w:val="44"/>
          <w:lang w:val="en"/>
        </w:rPr>
        <w:t>2</w:t>
      </w:r>
      <w:r>
        <w:rPr>
          <w:rFonts w:hint="eastAsia" w:ascii="Times New Roman" w:hAnsi="Times New Roman" w:eastAsia="方正小标宋简体" w:cs="方正小标宋简体"/>
          <w:bCs/>
          <w:sz w:val="44"/>
          <w:szCs w:val="44"/>
        </w:rPr>
        <w:t>年餐具饮具集中消毒服务单位随机监督抽查工作计划表</w:t>
      </w:r>
    </w:p>
    <w:tbl>
      <w:tblPr>
        <w:tblStyle w:val="3"/>
        <w:tblW w:w="14041" w:type="dxa"/>
        <w:tblInd w:w="1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7"/>
        <w:gridCol w:w="3901"/>
        <w:gridCol w:w="5389"/>
        <w:gridCol w:w="29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17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监督检查对象</w:t>
            </w:r>
          </w:p>
        </w:tc>
        <w:tc>
          <w:tcPr>
            <w:tcW w:w="390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范围和数量</w:t>
            </w:r>
          </w:p>
        </w:tc>
        <w:tc>
          <w:tcPr>
            <w:tcW w:w="538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检查内容</w:t>
            </w:r>
          </w:p>
        </w:tc>
        <w:tc>
          <w:tcPr>
            <w:tcW w:w="29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7" w:hRule="atLeast"/>
        </w:trPr>
        <w:tc>
          <w:tcPr>
            <w:tcW w:w="17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餐具饮具集中</w:t>
            </w:r>
          </w:p>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消毒服务单位</w:t>
            </w:r>
          </w:p>
        </w:tc>
        <w:tc>
          <w:tcPr>
            <w:tcW w:w="3901"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辖区总数10%，至少20户，不足20户的全部抽查</w:t>
            </w:r>
          </w:p>
        </w:tc>
        <w:tc>
          <w:tcPr>
            <w:tcW w:w="5389"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1.用水符合国家饮用水卫生标准情况；</w:t>
            </w:r>
            <w:r>
              <w:rPr>
                <w:rFonts w:hint="eastAsia" w:ascii="Times New Roman" w:hAnsi="Times New Roman" w:eastAsia="宋体" w:cs="宋体"/>
                <w:kern w:val="0"/>
                <w:sz w:val="21"/>
                <w:vertAlign w:val="superscript"/>
              </w:rPr>
              <w:t>(a)</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2.使用的洗涤剂、消毒剂符合国家食品安全标准情况；</w:t>
            </w:r>
            <w:r>
              <w:rPr>
                <w:rFonts w:hint="eastAsia" w:ascii="Times New Roman" w:hAnsi="Times New Roman" w:eastAsia="宋体" w:cs="宋体"/>
                <w:kern w:val="0"/>
                <w:sz w:val="21"/>
                <w:vertAlign w:val="superscript"/>
              </w:rPr>
              <w:t>(b)</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3.消毒后的餐饮具进行逐批检验情况；</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4.建立并遵守餐饮具出厂检验记录制度情况。</w:t>
            </w:r>
            <w:r>
              <w:rPr>
                <w:rFonts w:hint="eastAsia" w:ascii="Times New Roman" w:hAnsi="Times New Roman" w:eastAsia="宋体" w:cs="宋体"/>
                <w:kern w:val="0"/>
                <w:sz w:val="21"/>
                <w:vertAlign w:val="superscript"/>
              </w:rPr>
              <w:t>(c)</w:t>
            </w:r>
          </w:p>
        </w:tc>
        <w:tc>
          <w:tcPr>
            <w:tcW w:w="29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3" w:hRule="atLeast"/>
        </w:trPr>
        <w:tc>
          <w:tcPr>
            <w:tcW w:w="177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出厂餐饮具</w:t>
            </w:r>
          </w:p>
        </w:tc>
        <w:tc>
          <w:tcPr>
            <w:tcW w:w="3901"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每个企业抽查1-2个批次出厂餐饮具</w:t>
            </w:r>
          </w:p>
        </w:tc>
        <w:tc>
          <w:tcPr>
            <w:tcW w:w="5389"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1.出厂餐饮具随附消毒合格证明情况；</w:t>
            </w:r>
          </w:p>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2.出厂餐饮具按规定在独立包装上标注相关内容情况。</w:t>
            </w:r>
            <w:r>
              <w:rPr>
                <w:rFonts w:hint="eastAsia" w:ascii="Times New Roman" w:hAnsi="Times New Roman" w:eastAsia="宋体" w:cs="宋体"/>
                <w:kern w:val="0"/>
                <w:sz w:val="21"/>
                <w:vertAlign w:val="superscript"/>
              </w:rPr>
              <w:t>(d)</w:t>
            </w:r>
          </w:p>
        </w:tc>
        <w:tc>
          <w:tcPr>
            <w:tcW w:w="2974" w:type="dxa"/>
            <w:tcBorders>
              <w:top w:val="single" w:color="auto" w:sz="4" w:space="0"/>
              <w:left w:val="single" w:color="auto" w:sz="4" w:space="0"/>
              <w:bottom w:val="single" w:color="auto" w:sz="4" w:space="0"/>
              <w:right w:val="single" w:color="auto" w:sz="4" w:space="0"/>
            </w:tcBorders>
            <w:vAlign w:val="center"/>
          </w:tcPr>
          <w:p>
            <w:pPr>
              <w:spacing w:line="300" w:lineRule="exact"/>
              <w:rPr>
                <w:rFonts w:ascii="Times New Roman" w:hAnsi="Times New Roman" w:eastAsia="宋体" w:cs="宋体"/>
                <w:kern w:val="0"/>
                <w:sz w:val="21"/>
              </w:rPr>
            </w:pPr>
            <w:r>
              <w:rPr>
                <w:rFonts w:hint="eastAsia" w:ascii="Times New Roman" w:hAnsi="Times New Roman" w:eastAsia="宋体" w:cs="宋体"/>
                <w:kern w:val="0"/>
                <w:sz w:val="21"/>
              </w:rPr>
              <w:t>感官要求，游离性余氯、阴离子合成洗涤剂</w:t>
            </w:r>
            <w:r>
              <w:rPr>
                <w:rFonts w:hint="eastAsia" w:ascii="Times New Roman" w:hAnsi="Times New Roman" w:eastAsia="宋体" w:cs="宋体"/>
                <w:kern w:val="0"/>
                <w:sz w:val="21"/>
                <w:vertAlign w:val="superscript"/>
              </w:rPr>
              <w:t>(e)</w:t>
            </w:r>
            <w:r>
              <w:rPr>
                <w:rFonts w:hint="eastAsia" w:ascii="Times New Roman" w:hAnsi="Times New Roman" w:eastAsia="宋体" w:cs="宋体"/>
                <w:kern w:val="0"/>
                <w:sz w:val="21"/>
              </w:rPr>
              <w:t>，大肠菌群、沙门氏菌</w:t>
            </w:r>
          </w:p>
        </w:tc>
      </w:tr>
    </w:tbl>
    <w:p>
      <w:pPr>
        <w:adjustRightInd w:val="0"/>
        <w:snapToGrid w:val="0"/>
        <w:spacing w:line="360" w:lineRule="auto"/>
        <w:ind w:firstLine="403"/>
        <w:jc w:val="left"/>
        <w:rPr>
          <w:rFonts w:ascii="Times New Roman" w:hAnsi="Times New Roman" w:eastAsia="宋体" w:cs="宋体"/>
          <w:sz w:val="21"/>
        </w:rPr>
      </w:pPr>
    </w:p>
    <w:p>
      <w:pPr>
        <w:adjustRightInd w:val="0"/>
        <w:snapToGrid w:val="0"/>
        <w:spacing w:line="360" w:lineRule="auto"/>
        <w:jc w:val="left"/>
        <w:rPr>
          <w:rFonts w:ascii="Times New Roman" w:hAnsi="Times New Roman" w:eastAsia="宋体" w:cs="宋体"/>
          <w:sz w:val="21"/>
        </w:rPr>
      </w:pPr>
      <w:r>
        <w:rPr>
          <w:rFonts w:hint="eastAsia" w:ascii="Times New Roman" w:hAnsi="Times New Roman" w:eastAsia="宋体" w:cs="宋体"/>
          <w:sz w:val="21"/>
        </w:rPr>
        <w:t>a.用水由持有效卫生许可证供水单位供应的，原则上视为合规；用水为自建设施供水或其他方式供应的，检查水质检验报告，判定合规情况。</w:t>
      </w:r>
    </w:p>
    <w:p>
      <w:pPr>
        <w:adjustRightInd w:val="0"/>
        <w:snapToGrid w:val="0"/>
        <w:spacing w:line="360" w:lineRule="auto"/>
        <w:jc w:val="left"/>
        <w:rPr>
          <w:rFonts w:ascii="Times New Roman" w:hAnsi="Times New Roman" w:eastAsia="宋体" w:cs="宋体"/>
          <w:kern w:val="0"/>
          <w:sz w:val="21"/>
        </w:rPr>
      </w:pPr>
      <w:r>
        <w:rPr>
          <w:rFonts w:hint="eastAsia" w:ascii="Times New Roman" w:hAnsi="Times New Roman" w:eastAsia="宋体" w:cs="宋体"/>
          <w:sz w:val="21"/>
        </w:rPr>
        <w:t>b.</w:t>
      </w:r>
      <w:r>
        <w:rPr>
          <w:rFonts w:hint="eastAsia" w:ascii="Times New Roman" w:hAnsi="Times New Roman" w:eastAsia="宋体" w:cs="宋体"/>
          <w:kern w:val="0"/>
          <w:sz w:val="21"/>
        </w:rPr>
        <w:t>使用的洗涤剂和消毒剂均符合规定的判定为合规单位，有一项不符合规定的判定为不合规单位。</w:t>
      </w:r>
    </w:p>
    <w:p>
      <w:pPr>
        <w:adjustRightInd w:val="0"/>
        <w:snapToGrid w:val="0"/>
        <w:spacing w:line="360" w:lineRule="auto"/>
        <w:jc w:val="left"/>
        <w:rPr>
          <w:rFonts w:ascii="Times New Roman" w:hAnsi="Times New Roman" w:eastAsia="宋体" w:cs="宋体"/>
          <w:kern w:val="0"/>
          <w:sz w:val="21"/>
        </w:rPr>
      </w:pPr>
      <w:r>
        <w:rPr>
          <w:rFonts w:hint="eastAsia" w:ascii="Times New Roman" w:hAnsi="Times New Roman" w:eastAsia="宋体" w:cs="宋体"/>
          <w:sz w:val="21"/>
        </w:rPr>
        <w:t>c.指</w:t>
      </w:r>
      <w:r>
        <w:rPr>
          <w:rFonts w:hint="eastAsia" w:ascii="Times New Roman" w:hAnsi="Times New Roman" w:eastAsia="宋体" w:cs="宋体"/>
          <w:kern w:val="0"/>
          <w:sz w:val="21"/>
        </w:rPr>
        <w:t>建立出厂检验记录并记录出厂餐具饮具数量、消毒日期和批号、使用期限、出厂日期以及委托方名称、地址、联系方式等内容，缺项视为不合规。</w:t>
      </w:r>
    </w:p>
    <w:p>
      <w:pPr>
        <w:adjustRightInd w:val="0"/>
        <w:snapToGrid w:val="0"/>
        <w:spacing w:line="360" w:lineRule="auto"/>
        <w:jc w:val="left"/>
        <w:rPr>
          <w:rFonts w:ascii="Times New Roman" w:hAnsi="Times New Roman" w:eastAsia="宋体" w:cs="宋体"/>
          <w:sz w:val="21"/>
        </w:rPr>
      </w:pPr>
      <w:r>
        <w:rPr>
          <w:rFonts w:hint="eastAsia" w:ascii="Times New Roman" w:hAnsi="Times New Roman" w:eastAsia="宋体" w:cs="宋体"/>
          <w:sz w:val="21"/>
        </w:rPr>
        <w:t>d.指消毒后的餐具饮具在独立包装上标注单位名称、地址、联系方式、消毒日期和批号以及使用期限等内容，缺项视为不合规。</w:t>
      </w:r>
    </w:p>
    <w:p>
      <w:pPr>
        <w:adjustRightInd w:val="0"/>
        <w:snapToGrid w:val="0"/>
        <w:spacing w:line="360" w:lineRule="auto"/>
        <w:rPr>
          <w:rFonts w:ascii="Times New Roman" w:hAnsi="Times New Roman"/>
          <w:sz w:val="21"/>
          <w:szCs w:val="21"/>
        </w:rPr>
      </w:pPr>
      <w:r>
        <w:rPr>
          <w:rFonts w:hint="eastAsia" w:ascii="Times New Roman" w:hAnsi="Times New Roman" w:eastAsia="宋体" w:cs="宋体"/>
          <w:sz w:val="21"/>
        </w:rPr>
        <w:t>e.仅适用于化学消毒法。使用其他消毒方式的，游离性余氯、阴离子合成洗涤剂两项指标合理缺项。</w:t>
      </w:r>
    </w:p>
    <w:p>
      <w:pPr>
        <w:snapToGrid w:val="0"/>
        <w:spacing w:before="298" w:beforeLines="50" w:after="298" w:afterLines="50" w:line="600" w:lineRule="exact"/>
        <w:rPr>
          <w:rFonts w:ascii="Times New Roman" w:hAnsi="Times New Roman" w:eastAsia="黑体"/>
          <w:sz w:val="30"/>
          <w:szCs w:val="30"/>
        </w:rPr>
      </w:pPr>
      <w:r>
        <w:rPr>
          <w:rFonts w:ascii="Times New Roman" w:hAnsi="Times New Roman" w:eastAsia="黑体"/>
          <w:sz w:val="30"/>
          <w:szCs w:val="30"/>
        </w:rPr>
        <w:br w:type="page"/>
      </w:r>
    </w:p>
    <w:p>
      <w:pPr>
        <w:snapToGrid w:val="0"/>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6</w:t>
      </w:r>
    </w:p>
    <w:p>
      <w:pPr>
        <w:jc w:val="center"/>
        <w:rPr>
          <w:rFonts w:ascii="Times New Roman" w:hAnsi="Times New Roman"/>
          <w:b/>
          <w:sz w:val="44"/>
          <w:szCs w:val="44"/>
        </w:rPr>
      </w:pPr>
      <w:r>
        <w:rPr>
          <w:rFonts w:hint="eastAsia" w:ascii="Times New Roman" w:hAnsi="Times New Roman" w:eastAsia="方正小标宋简体" w:cs="方正小标宋简体"/>
          <w:bCs/>
          <w:sz w:val="44"/>
          <w:szCs w:val="44"/>
        </w:rPr>
        <w:t>2022年学校学习用品随机监督抽查信息汇总表</w:t>
      </w:r>
    </w:p>
    <w:tbl>
      <w:tblPr>
        <w:tblStyle w:val="3"/>
        <w:tblW w:w="0" w:type="auto"/>
        <w:tblInd w:w="1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2"/>
        <w:gridCol w:w="1776"/>
        <w:gridCol w:w="1481"/>
        <w:gridCol w:w="1715"/>
        <w:gridCol w:w="1642"/>
        <w:gridCol w:w="1336"/>
        <w:gridCol w:w="1776"/>
        <w:gridCol w:w="1542"/>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exact"/>
        </w:trPr>
        <w:tc>
          <w:tcPr>
            <w:tcW w:w="7896" w:type="dxa"/>
            <w:gridSpan w:val="5"/>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普通教室照明灯具</w:t>
            </w:r>
          </w:p>
        </w:tc>
        <w:tc>
          <w:tcPr>
            <w:tcW w:w="6164" w:type="dxa"/>
            <w:gridSpan w:val="4"/>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学校自制考试试卷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1282" w:type="dxa"/>
            <w:vMerge w:val="restart"/>
            <w:shd w:val="clear" w:color="auto" w:fill="auto"/>
            <w:vAlign w:val="center"/>
          </w:tcPr>
          <w:p>
            <w:pPr>
              <w:spacing w:before="597" w:beforeLines="100"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检查学校数</w:t>
            </w:r>
          </w:p>
          <w:p>
            <w:pPr>
              <w:spacing w:line="300" w:lineRule="exact"/>
              <w:jc w:val="center"/>
              <w:rPr>
                <w:rFonts w:ascii="Times New Roman" w:hAnsi="Times New Roman" w:eastAsia="宋体" w:cs="宋体"/>
                <w:kern w:val="0"/>
                <w:sz w:val="21"/>
              </w:rPr>
            </w:pPr>
          </w:p>
        </w:tc>
        <w:tc>
          <w:tcPr>
            <w:tcW w:w="6614" w:type="dxa"/>
            <w:gridSpan w:val="4"/>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抽查合格学校数</w:t>
            </w:r>
            <w:r>
              <w:rPr>
                <w:rFonts w:hint="eastAsia" w:ascii="Times New Roman" w:hAnsi="Times New Roman" w:eastAsia="宋体" w:cs="宋体"/>
                <w:kern w:val="0"/>
                <w:sz w:val="21"/>
                <w:vertAlign w:val="superscript"/>
              </w:rPr>
              <w:t>（a）</w:t>
            </w:r>
          </w:p>
        </w:tc>
        <w:tc>
          <w:tcPr>
            <w:tcW w:w="1336" w:type="dxa"/>
            <w:vMerge w:val="restart"/>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检查学校数</w:t>
            </w:r>
          </w:p>
        </w:tc>
        <w:tc>
          <w:tcPr>
            <w:tcW w:w="4828" w:type="dxa"/>
            <w:gridSpan w:val="3"/>
            <w:shd w:val="clear" w:color="auto" w:fill="auto"/>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检测合格学校数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exact"/>
        </w:trPr>
        <w:tc>
          <w:tcPr>
            <w:tcW w:w="1282" w:type="dxa"/>
            <w:vMerge w:val="continue"/>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bottom"/>
          </w:tcPr>
          <w:p>
            <w:pPr>
              <w:spacing w:before="298" w:beforeLines="50"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强制性产品认证</w:t>
            </w:r>
          </w:p>
          <w:p>
            <w:pPr>
              <w:spacing w:line="300" w:lineRule="exact"/>
              <w:jc w:val="center"/>
              <w:rPr>
                <w:rFonts w:ascii="Times New Roman" w:hAnsi="Times New Roman" w:eastAsia="宋体" w:cs="宋体"/>
                <w:color w:val="000000"/>
                <w:kern w:val="0"/>
                <w:sz w:val="21"/>
              </w:rPr>
            </w:pPr>
          </w:p>
        </w:tc>
        <w:tc>
          <w:tcPr>
            <w:tcW w:w="1481" w:type="dxa"/>
            <w:shd w:val="clear" w:color="auto" w:fill="auto"/>
            <w:vAlign w:val="center"/>
          </w:tcPr>
          <w:p>
            <w:pPr>
              <w:spacing w:before="298" w:beforeLines="50"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色温</w:t>
            </w:r>
          </w:p>
          <w:p>
            <w:pPr>
              <w:spacing w:line="300" w:lineRule="exact"/>
              <w:jc w:val="center"/>
              <w:rPr>
                <w:rFonts w:ascii="Times New Roman" w:hAnsi="Times New Roman" w:eastAsia="宋体" w:cs="宋体"/>
                <w:color w:val="000000"/>
                <w:kern w:val="0"/>
                <w:sz w:val="21"/>
              </w:rPr>
            </w:pPr>
          </w:p>
        </w:tc>
        <w:tc>
          <w:tcPr>
            <w:tcW w:w="1715" w:type="dxa"/>
            <w:shd w:val="clear" w:color="auto" w:fill="auto"/>
            <w:vAlign w:val="center"/>
          </w:tcPr>
          <w:p>
            <w:pPr>
              <w:spacing w:before="298" w:beforeLines="50"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显色指数</w:t>
            </w:r>
          </w:p>
          <w:p>
            <w:pPr>
              <w:spacing w:line="300" w:lineRule="exact"/>
              <w:jc w:val="center"/>
              <w:rPr>
                <w:rFonts w:ascii="Times New Roman" w:hAnsi="Times New Roman" w:eastAsia="宋体" w:cs="宋体"/>
                <w:color w:val="000000"/>
                <w:kern w:val="0"/>
                <w:sz w:val="21"/>
              </w:rPr>
            </w:pPr>
          </w:p>
        </w:tc>
        <w:tc>
          <w:tcPr>
            <w:tcW w:w="1642"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蓝光</w:t>
            </w:r>
            <w:r>
              <w:rPr>
                <w:rFonts w:hint="eastAsia" w:ascii="Times New Roman" w:hAnsi="Times New Roman" w:eastAsia="宋体" w:cs="宋体"/>
                <w:color w:val="000000"/>
                <w:kern w:val="0"/>
                <w:sz w:val="21"/>
                <w:vertAlign w:val="superscript"/>
              </w:rPr>
              <w:t>（b）</w:t>
            </w:r>
          </w:p>
        </w:tc>
        <w:tc>
          <w:tcPr>
            <w:tcW w:w="1336" w:type="dxa"/>
            <w:vMerge w:val="continue"/>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纸张D65亮度及D65荧光亮度</w:t>
            </w:r>
            <w:r>
              <w:rPr>
                <w:rFonts w:hint="eastAsia" w:ascii="Times New Roman" w:hAnsi="Times New Roman" w:eastAsia="宋体" w:cs="宋体"/>
                <w:color w:val="000000"/>
                <w:kern w:val="0"/>
                <w:sz w:val="21"/>
                <w:vertAlign w:val="superscript"/>
              </w:rPr>
              <w:t>（c）</w:t>
            </w:r>
          </w:p>
        </w:tc>
        <w:tc>
          <w:tcPr>
            <w:tcW w:w="1542"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字体和字号</w:t>
            </w:r>
          </w:p>
        </w:tc>
        <w:tc>
          <w:tcPr>
            <w:tcW w:w="1510" w:type="dxa"/>
            <w:shd w:val="clear" w:color="auto" w:fill="auto"/>
            <w:vAlign w:val="center"/>
          </w:tcPr>
          <w:p>
            <w:pPr>
              <w:spacing w:line="300" w:lineRule="exact"/>
              <w:jc w:val="center"/>
              <w:rPr>
                <w:rFonts w:ascii="Times New Roman" w:hAnsi="Times New Roman" w:eastAsia="宋体" w:cs="宋体"/>
                <w:color w:val="000000"/>
                <w:kern w:val="0"/>
                <w:sz w:val="21"/>
              </w:rPr>
            </w:pPr>
            <w:r>
              <w:rPr>
                <w:rFonts w:hint="eastAsia" w:ascii="Times New Roman" w:hAnsi="Times New Roman" w:eastAsia="宋体" w:cs="宋体"/>
                <w:color w:val="000000"/>
                <w:kern w:val="0"/>
                <w:sz w:val="21"/>
              </w:rPr>
              <w:t>行空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1282"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481"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715"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642"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336"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776"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542" w:type="dxa"/>
            <w:shd w:val="clear" w:color="auto" w:fill="auto"/>
            <w:vAlign w:val="center"/>
          </w:tcPr>
          <w:p>
            <w:pPr>
              <w:spacing w:line="300" w:lineRule="exact"/>
              <w:jc w:val="center"/>
              <w:rPr>
                <w:rFonts w:ascii="Times New Roman" w:hAnsi="Times New Roman" w:eastAsia="宋体" w:cs="宋体"/>
                <w:color w:val="000000"/>
                <w:kern w:val="0"/>
                <w:sz w:val="21"/>
              </w:rPr>
            </w:pPr>
          </w:p>
        </w:tc>
        <w:tc>
          <w:tcPr>
            <w:tcW w:w="1510" w:type="dxa"/>
            <w:shd w:val="clear" w:color="auto" w:fill="auto"/>
            <w:vAlign w:val="center"/>
          </w:tcPr>
          <w:p>
            <w:pPr>
              <w:spacing w:line="300" w:lineRule="exact"/>
              <w:jc w:val="center"/>
              <w:rPr>
                <w:rFonts w:ascii="Times New Roman" w:hAnsi="Times New Roman" w:eastAsia="宋体" w:cs="宋体"/>
                <w:color w:val="000000"/>
                <w:kern w:val="0"/>
                <w:sz w:val="21"/>
              </w:rPr>
            </w:pPr>
          </w:p>
        </w:tc>
      </w:tr>
    </w:tbl>
    <w:p>
      <w:pPr>
        <w:pStyle w:val="6"/>
        <w:adjustRightInd w:val="0"/>
        <w:snapToGrid w:val="0"/>
        <w:spacing w:line="600" w:lineRule="exact"/>
        <w:ind w:firstLine="0" w:firstLineChars="0"/>
        <w:rPr>
          <w:rFonts w:ascii="Times New Roman" w:hAnsi="Times New Roman" w:eastAsia="宋体" w:cs="宋体"/>
          <w:sz w:val="21"/>
          <w:szCs w:val="21"/>
        </w:rPr>
      </w:pPr>
      <w:r>
        <w:rPr>
          <w:rFonts w:hint="eastAsia" w:ascii="Times New Roman" w:hAnsi="Times New Roman" w:eastAsia="宋体" w:cs="宋体"/>
          <w:sz w:val="21"/>
          <w:szCs w:val="21"/>
        </w:rPr>
        <w:t>a.灯具检查可通过现场查看灯具标志标识及索证资料来完成。</w:t>
      </w:r>
    </w:p>
    <w:p>
      <w:pPr>
        <w:pStyle w:val="6"/>
        <w:adjustRightInd w:val="0"/>
        <w:snapToGrid w:val="0"/>
        <w:spacing w:line="600" w:lineRule="exact"/>
        <w:ind w:firstLine="0" w:firstLineChars="0"/>
        <w:rPr>
          <w:rFonts w:ascii="Times New Roman" w:hAnsi="Times New Roman" w:eastAsia="宋体" w:cs="宋体"/>
          <w:sz w:val="21"/>
          <w:szCs w:val="21"/>
        </w:rPr>
      </w:pPr>
      <w:r>
        <w:rPr>
          <w:rFonts w:hint="eastAsia" w:ascii="Times New Roman" w:hAnsi="Times New Roman" w:eastAsia="宋体" w:cs="宋体"/>
          <w:sz w:val="21"/>
          <w:szCs w:val="21"/>
        </w:rPr>
        <w:t>b.对于GB 7001中不免除视网膜蓝光危害评估的灯具，根据IEC/TR 62778进行蓝光危害评估，黑板局部照明灯或教室一般照明灯中有一种不合格即判定为该项不合格；其他免除视网膜蓝光危害评估的灯具默认蓝光合格。</w:t>
      </w:r>
    </w:p>
    <w:p>
      <w:pPr>
        <w:pStyle w:val="6"/>
        <w:adjustRightInd w:val="0"/>
        <w:snapToGrid w:val="0"/>
        <w:spacing w:line="600" w:lineRule="exact"/>
        <w:ind w:firstLine="0" w:firstLineChars="0"/>
        <w:rPr>
          <w:rFonts w:ascii="Times New Roman" w:hAnsi="Times New Roman" w:eastAsia="宋体" w:cs="宋体"/>
          <w:sz w:val="21"/>
          <w:szCs w:val="21"/>
        </w:rPr>
      </w:pPr>
      <w:r>
        <w:rPr>
          <w:rFonts w:hint="eastAsia" w:ascii="Times New Roman" w:hAnsi="Times New Roman" w:eastAsia="宋体" w:cs="宋体"/>
          <w:sz w:val="21"/>
          <w:szCs w:val="21"/>
        </w:rPr>
        <w:t>c.可通过实验室检测或现场查看索证资料来完成。</w:t>
      </w:r>
      <w:r>
        <w:rPr>
          <w:rFonts w:ascii="Times New Roman" w:hAnsi="Times New Roman" w:eastAsia="宋体" w:cs="宋体"/>
          <w:sz w:val="21"/>
          <w:szCs w:val="21"/>
        </w:rPr>
        <w:br w:type="page"/>
      </w:r>
    </w:p>
    <w:p>
      <w:pPr>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7</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2022年小型集中式供水卫生安全巡查服务实施情况汇总表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1"/>
        <w:gridCol w:w="1299"/>
        <w:gridCol w:w="1754"/>
        <w:gridCol w:w="1595"/>
        <w:gridCol w:w="1842"/>
        <w:gridCol w:w="1985"/>
        <w:gridCol w:w="1963"/>
        <w:gridCol w:w="1054"/>
        <w:gridCol w:w="11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9" w:hRule="atLeast"/>
          <w:jc w:val="center"/>
        </w:trPr>
        <w:tc>
          <w:tcPr>
            <w:tcW w:w="13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在用小型集中式供水的乡镇总数</w:t>
            </w:r>
          </w:p>
        </w:tc>
        <w:tc>
          <w:tcPr>
            <w:tcW w:w="129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检查乡镇数</w:t>
            </w:r>
          </w:p>
        </w:tc>
        <w:tc>
          <w:tcPr>
            <w:tcW w:w="17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检查的乡镇中已开展卫生安全巡查的乡镇数</w:t>
            </w:r>
            <w:r>
              <w:rPr>
                <w:rFonts w:hint="eastAsia" w:ascii="Times New Roman" w:hAnsi="Times New Roman" w:eastAsia="宋体" w:cs="宋体"/>
                <w:kern w:val="0"/>
                <w:sz w:val="21"/>
                <w:vertAlign w:val="superscript"/>
              </w:rPr>
              <w:t>(a)</w:t>
            </w:r>
          </w:p>
        </w:tc>
        <w:tc>
          <w:tcPr>
            <w:tcW w:w="15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检查的乡镇中在用小型集中式供水水厂数</w:t>
            </w:r>
          </w:p>
        </w:tc>
        <w:tc>
          <w:tcPr>
            <w:tcW w:w="18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已建立基本情况档案的小型集中式供水水厂数</w:t>
            </w:r>
            <w:r>
              <w:rPr>
                <w:rFonts w:hint="eastAsia" w:ascii="Times New Roman" w:hAnsi="Times New Roman" w:eastAsia="宋体" w:cs="宋体"/>
                <w:kern w:val="0"/>
                <w:sz w:val="21"/>
                <w:vertAlign w:val="superscript"/>
              </w:rPr>
              <w:t>(b)</w:t>
            </w:r>
          </w:p>
        </w:tc>
        <w:tc>
          <w:tcPr>
            <w:tcW w:w="198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已建立卫生安全巡查档案的小型集中式供水水厂数</w:t>
            </w:r>
            <w:r>
              <w:rPr>
                <w:rFonts w:hint="eastAsia" w:ascii="Times New Roman" w:hAnsi="Times New Roman" w:eastAsia="宋体" w:cs="宋体"/>
                <w:kern w:val="0"/>
                <w:sz w:val="21"/>
                <w:vertAlign w:val="superscript"/>
              </w:rPr>
              <w:t>(b)</w:t>
            </w:r>
          </w:p>
        </w:tc>
        <w:tc>
          <w:tcPr>
            <w:tcW w:w="19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检查的小型集中式供水中持有卫生许可证的水厂数</w:t>
            </w:r>
          </w:p>
        </w:tc>
        <w:tc>
          <w:tcPr>
            <w:tcW w:w="10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案件数</w:t>
            </w:r>
          </w:p>
        </w:tc>
        <w:tc>
          <w:tcPr>
            <w:tcW w:w="11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罚款金额（万元）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136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29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59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84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98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96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0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10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r>
    </w:tbl>
    <w:p>
      <w:pPr>
        <w:snapToGrid w:val="0"/>
        <w:spacing w:line="600" w:lineRule="exact"/>
        <w:rPr>
          <w:rFonts w:ascii="Times New Roman" w:hAnsi="Times New Roman" w:eastAsia="宋体" w:cs="宋体"/>
          <w:sz w:val="21"/>
          <w:szCs w:val="21"/>
        </w:rPr>
      </w:pPr>
      <w:r>
        <w:rPr>
          <w:rFonts w:hint="eastAsia" w:ascii="Times New Roman" w:hAnsi="Times New Roman" w:eastAsia="宋体" w:cs="宋体"/>
          <w:sz w:val="21"/>
          <w:szCs w:val="21"/>
        </w:rPr>
        <w:t>a.提供饮用水卫生安全巡查服务的机构建立有农村集中式供水基本情况档案或卫生安全巡查记录，才可判定为已开展饮用水卫生安全巡查。</w:t>
      </w:r>
    </w:p>
    <w:p>
      <w:pPr>
        <w:snapToGrid w:val="0"/>
        <w:spacing w:line="600" w:lineRule="exact"/>
        <w:rPr>
          <w:rFonts w:ascii="Times New Roman" w:hAnsi="Times New Roman" w:eastAsia="宋体" w:cs="宋体"/>
          <w:sz w:val="21"/>
          <w:szCs w:val="21"/>
        </w:rPr>
      </w:pPr>
      <w:r>
        <w:rPr>
          <w:rFonts w:hint="eastAsia" w:ascii="Times New Roman" w:hAnsi="Times New Roman" w:eastAsia="宋体" w:cs="宋体"/>
          <w:sz w:val="21"/>
          <w:szCs w:val="21"/>
        </w:rPr>
        <w:t>b.指由饮用水卫生安全巡查服务机构建立的相关档案。</w:t>
      </w:r>
    </w:p>
    <w:p>
      <w:pPr>
        <w:snapToGrid w:val="0"/>
        <w:spacing w:before="298" w:beforeLines="50" w:after="298" w:afterLines="50" w:line="600" w:lineRule="exact"/>
        <w:rPr>
          <w:rFonts w:ascii="Times New Roman" w:hAnsi="Times New Roman" w:eastAsia="黑体"/>
          <w:sz w:val="30"/>
          <w:szCs w:val="30"/>
        </w:rPr>
      </w:pPr>
      <w:r>
        <w:rPr>
          <w:rFonts w:ascii="Times New Roman" w:hAnsi="Times New Roman" w:eastAsia="黑体"/>
          <w:sz w:val="30"/>
          <w:szCs w:val="30"/>
        </w:rPr>
        <w:br w:type="page"/>
      </w:r>
    </w:p>
    <w:p>
      <w:pPr>
        <w:snapToGrid w:val="0"/>
        <w:spacing w:before="298" w:beforeLines="50" w:after="298" w:afterLines="50" w:line="600" w:lineRule="exact"/>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8</w:t>
      </w:r>
    </w:p>
    <w:p>
      <w:pPr>
        <w:jc w:val="center"/>
        <w:rPr>
          <w:rFonts w:ascii="Times New Roman" w:hAnsi="Times New Roman" w:eastAsia="方正小标宋简体" w:cs="方正小标宋简体"/>
          <w:bCs/>
          <w:sz w:val="44"/>
          <w:szCs w:val="44"/>
        </w:rPr>
      </w:pPr>
      <w:r>
        <w:rPr>
          <w:rFonts w:hint="eastAsia" w:ascii="Times New Roman" w:hAnsi="Times New Roman" w:eastAsia="方正小标宋简体" w:cs="方正小标宋简体"/>
          <w:bCs/>
          <w:sz w:val="44"/>
          <w:szCs w:val="44"/>
        </w:rPr>
        <w:t>2022年小型集中式供水和二次供水水质随机监督抽查信息汇总表</w:t>
      </w:r>
    </w:p>
    <w:tbl>
      <w:tblPr>
        <w:tblStyle w:val="3"/>
        <w:tblW w:w="14103" w:type="dxa"/>
        <w:tblInd w:w="1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2"/>
        <w:gridCol w:w="1097"/>
        <w:gridCol w:w="1134"/>
        <w:gridCol w:w="845"/>
        <w:gridCol w:w="846"/>
        <w:gridCol w:w="845"/>
        <w:gridCol w:w="846"/>
        <w:gridCol w:w="845"/>
        <w:gridCol w:w="846"/>
        <w:gridCol w:w="845"/>
        <w:gridCol w:w="846"/>
        <w:gridCol w:w="845"/>
        <w:gridCol w:w="855"/>
        <w:gridCol w:w="835"/>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exact"/>
        </w:trPr>
        <w:tc>
          <w:tcPr>
            <w:tcW w:w="1722"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单位类别</w:t>
            </w:r>
          </w:p>
        </w:tc>
        <w:tc>
          <w:tcPr>
            <w:tcW w:w="1097"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r>
              <w:rPr>
                <w:rFonts w:hint="eastAsia" w:ascii="Times New Roman" w:hAnsi="Times New Roman" w:eastAsia="宋体" w:cs="宋体"/>
                <w:kern w:val="0"/>
                <w:sz w:val="21"/>
                <w:vertAlign w:val="superscript"/>
              </w:rPr>
              <w:t>(a)</w:t>
            </w:r>
          </w:p>
        </w:tc>
        <w:tc>
          <w:tcPr>
            <w:tcW w:w="1134" w:type="dxa"/>
            <w:vMerge w:val="restart"/>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r>
              <w:rPr>
                <w:rFonts w:hint="eastAsia" w:ascii="Times New Roman" w:hAnsi="Times New Roman" w:eastAsia="宋体" w:cs="宋体"/>
                <w:kern w:val="0"/>
                <w:sz w:val="21"/>
                <w:vertAlign w:val="superscript"/>
              </w:rPr>
              <w:t>(b)</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色度</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浑浊度</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臭和味</w:t>
            </w:r>
          </w:p>
        </w:tc>
        <w:tc>
          <w:tcPr>
            <w:tcW w:w="1691"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肉眼可见物</w:t>
            </w:r>
          </w:p>
        </w:tc>
        <w:tc>
          <w:tcPr>
            <w:tcW w:w="1700"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pH</w:t>
            </w:r>
          </w:p>
        </w:tc>
        <w:tc>
          <w:tcPr>
            <w:tcW w:w="1686" w:type="dxa"/>
            <w:gridSpan w:val="2"/>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消毒剂余量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exact"/>
        </w:trPr>
        <w:tc>
          <w:tcPr>
            <w:tcW w:w="1722" w:type="dxa"/>
            <w:vMerge w:val="continue"/>
            <w:tcBorders>
              <w:top w:val="single" w:color="auto" w:sz="4" w:space="0"/>
              <w:left w:val="single" w:color="auto" w:sz="4" w:space="0"/>
              <w:bottom w:val="single" w:color="auto" w:sz="4" w:space="0"/>
              <w:right w:val="single" w:color="auto" w:sz="4" w:space="0"/>
            </w:tcBorders>
          </w:tcPr>
          <w:p>
            <w:pPr>
              <w:spacing w:line="300" w:lineRule="exact"/>
              <w:jc w:val="left"/>
              <w:rPr>
                <w:rFonts w:ascii="Times New Roman" w:hAnsi="Times New Roman" w:eastAsia="宋体" w:cs="宋体"/>
                <w:sz w:val="21"/>
              </w:rPr>
            </w:pPr>
          </w:p>
        </w:tc>
        <w:tc>
          <w:tcPr>
            <w:tcW w:w="1097" w:type="dxa"/>
            <w:vMerge w:val="continue"/>
            <w:tcBorders>
              <w:top w:val="single" w:color="auto" w:sz="4" w:space="0"/>
              <w:left w:val="single" w:color="auto" w:sz="4" w:space="0"/>
              <w:bottom w:val="single" w:color="auto" w:sz="4" w:space="0"/>
              <w:right w:val="single" w:color="auto" w:sz="4" w:space="0"/>
            </w:tcBorders>
          </w:tcPr>
          <w:p>
            <w:pPr>
              <w:spacing w:line="300" w:lineRule="exact"/>
              <w:jc w:val="left"/>
              <w:rPr>
                <w:rFonts w:ascii="Times New Roman" w:hAnsi="Times New Roman" w:eastAsia="宋体" w:cs="宋体"/>
                <w:sz w:val="21"/>
              </w:rPr>
            </w:pPr>
          </w:p>
        </w:tc>
        <w:tc>
          <w:tcPr>
            <w:tcW w:w="1134" w:type="dxa"/>
            <w:vMerge w:val="continue"/>
            <w:tcBorders>
              <w:top w:val="single" w:color="auto" w:sz="4" w:space="0"/>
              <w:left w:val="single" w:color="auto" w:sz="4" w:space="0"/>
              <w:bottom w:val="single" w:color="auto" w:sz="4" w:space="0"/>
              <w:right w:val="single" w:color="auto" w:sz="4" w:space="0"/>
            </w:tcBorders>
          </w:tcPr>
          <w:p>
            <w:pPr>
              <w:spacing w:line="300" w:lineRule="exact"/>
              <w:jc w:val="left"/>
              <w:rPr>
                <w:rFonts w:ascii="Times New Roman" w:hAnsi="Times New Roman" w:eastAsia="宋体" w:cs="宋体"/>
                <w:sz w:val="21"/>
              </w:rPr>
            </w:pP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p>
            <w:pPr>
              <w:spacing w:line="300" w:lineRule="exact"/>
              <w:jc w:val="center"/>
              <w:rPr>
                <w:rFonts w:ascii="Times New Roman" w:hAnsi="Times New Roman" w:eastAsia="宋体" w:cs="宋体"/>
                <w:kern w:val="0"/>
                <w:sz w:val="21"/>
              </w:rPr>
            </w:pP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4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4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5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c>
          <w:tcPr>
            <w:tcW w:w="83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检测单位数</w:t>
            </w:r>
          </w:p>
        </w:tc>
        <w:tc>
          <w:tcPr>
            <w:tcW w:w="851"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合格单位数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172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小型集中式供水</w:t>
            </w:r>
          </w:p>
        </w:tc>
        <w:tc>
          <w:tcPr>
            <w:tcW w:w="1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35"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1" w:type="dxa"/>
            <w:tcBorders>
              <w:top w:val="single" w:color="auto" w:sz="4" w:space="0"/>
              <w:left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172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二次供水</w:t>
            </w:r>
          </w:p>
        </w:tc>
        <w:tc>
          <w:tcPr>
            <w:tcW w:w="1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6"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4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35"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851" w:type="dxa"/>
            <w:tcBorders>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bl>
    <w:p>
      <w:pPr>
        <w:adjustRightInd w:val="0"/>
        <w:snapToGrid w:val="0"/>
        <w:spacing w:line="360" w:lineRule="auto"/>
        <w:ind w:firstLine="420" w:firstLineChars="200"/>
        <w:rPr>
          <w:rFonts w:ascii="Times New Roman" w:hAnsi="Times New Roman" w:eastAsia="宋体" w:cs="宋体"/>
          <w:sz w:val="21"/>
          <w:szCs w:val="21"/>
        </w:rPr>
      </w:pPr>
    </w:p>
    <w:p>
      <w:pPr>
        <w:adjustRightInd w:val="0"/>
        <w:snapToGrid w:val="0"/>
        <w:spacing w:line="360" w:lineRule="auto"/>
        <w:rPr>
          <w:rFonts w:ascii="Times New Roman" w:hAnsi="Times New Roman" w:eastAsia="宋体" w:cs="宋体"/>
          <w:sz w:val="21"/>
          <w:szCs w:val="21"/>
        </w:rPr>
      </w:pPr>
      <w:r>
        <w:rPr>
          <w:rFonts w:hint="eastAsia" w:ascii="Times New Roman" w:hAnsi="Times New Roman" w:eastAsia="宋体" w:cs="宋体"/>
          <w:sz w:val="21"/>
          <w:szCs w:val="21"/>
        </w:rPr>
        <w:t>a.二次供水指检测设施数。</w:t>
      </w:r>
    </w:p>
    <w:p>
      <w:pPr>
        <w:adjustRightInd w:val="0"/>
        <w:snapToGrid w:val="0"/>
        <w:spacing w:line="360" w:lineRule="auto"/>
        <w:rPr>
          <w:rFonts w:ascii="Times New Roman" w:hAnsi="Times New Roman" w:eastAsia="宋体" w:cs="宋体"/>
          <w:sz w:val="21"/>
          <w:szCs w:val="21"/>
        </w:rPr>
      </w:pPr>
      <w:r>
        <w:rPr>
          <w:rFonts w:hint="eastAsia" w:ascii="Times New Roman" w:hAnsi="Times New Roman" w:eastAsia="宋体" w:cs="宋体"/>
          <w:sz w:val="21"/>
          <w:szCs w:val="21"/>
        </w:rPr>
        <w:t>b.为表中检测项目均合格的供水单位或二次供水设施数，有一项不合格即判定为不合格单位或设施。</w:t>
      </w:r>
    </w:p>
    <w:p>
      <w:pPr>
        <w:rPr>
          <w:rFonts w:ascii="Times New Roman" w:hAnsi="Times New Roman" w:eastAsia="黑体"/>
          <w:sz w:val="30"/>
          <w:szCs w:val="30"/>
        </w:rPr>
      </w:pPr>
      <w:r>
        <w:rPr>
          <w:rFonts w:hint="eastAsia" w:ascii="Times New Roman" w:hAnsi="Times New Roman" w:eastAsia="黑体"/>
          <w:sz w:val="30"/>
          <w:szCs w:val="30"/>
        </w:rPr>
        <w:br w:type="page"/>
      </w:r>
    </w:p>
    <w:p>
      <w:pPr>
        <w:rPr>
          <w:rFonts w:ascii="Times New Roman" w:hAnsi="Times New Roman" w:eastAsia="黑体"/>
          <w:szCs w:val="32"/>
        </w:rPr>
      </w:pPr>
      <w:r>
        <w:rPr>
          <w:rFonts w:hint="eastAsia" w:ascii="Times New Roman" w:hAnsi="Times New Roman" w:eastAsia="黑体"/>
          <w:szCs w:val="32"/>
        </w:rPr>
        <w:t>附表</w:t>
      </w:r>
      <w:r>
        <w:rPr>
          <w:rFonts w:ascii="Times New Roman" w:hAnsi="Times New Roman" w:eastAsia="黑体"/>
          <w:szCs w:val="32"/>
        </w:rPr>
        <w:t>9</w:t>
      </w:r>
    </w:p>
    <w:p>
      <w:pPr>
        <w:jc w:val="center"/>
        <w:rPr>
          <w:rFonts w:ascii="Times New Roman" w:hAnsi="Times New Roman"/>
          <w:szCs w:val="32"/>
        </w:rPr>
      </w:pPr>
      <w:r>
        <w:rPr>
          <w:rFonts w:hint="eastAsia" w:ascii="Times New Roman" w:hAnsi="Times New Roman" w:eastAsia="方正小标宋简体" w:cs="方正小标宋简体"/>
          <w:bCs/>
          <w:sz w:val="44"/>
          <w:szCs w:val="44"/>
        </w:rPr>
        <w:t>2022年二次供水卫生管理随机监督抽查信息汇总表</w:t>
      </w:r>
    </w:p>
    <w:tbl>
      <w:tblPr>
        <w:tblStyle w:val="3"/>
        <w:tblW w:w="141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3"/>
        <w:gridCol w:w="1333"/>
        <w:gridCol w:w="1701"/>
        <w:gridCol w:w="1701"/>
        <w:gridCol w:w="1701"/>
        <w:gridCol w:w="1701"/>
        <w:gridCol w:w="2072"/>
        <w:gridCol w:w="1269"/>
        <w:gridCol w:w="11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5" w:hRule="atLeast"/>
        </w:trPr>
        <w:tc>
          <w:tcPr>
            <w:tcW w:w="152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辖区内二次供水设施总数</w:t>
            </w:r>
          </w:p>
        </w:tc>
        <w:tc>
          <w:tcPr>
            <w:tcW w:w="1333"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检查设施数</w:t>
            </w:r>
          </w:p>
        </w:tc>
        <w:tc>
          <w:tcPr>
            <w:tcW w:w="6804" w:type="dxa"/>
            <w:gridSpan w:val="4"/>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检查内容符合要求设施数</w:t>
            </w:r>
          </w:p>
        </w:tc>
        <w:tc>
          <w:tcPr>
            <w:tcW w:w="2072"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检查的二次供水设施中已开展饮用水卫生安全巡查服务的设施数</w:t>
            </w:r>
          </w:p>
        </w:tc>
        <w:tc>
          <w:tcPr>
            <w:tcW w:w="1269"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案件数</w:t>
            </w:r>
          </w:p>
        </w:tc>
        <w:tc>
          <w:tcPr>
            <w:tcW w:w="1154" w:type="dxa"/>
            <w:vMerge w:val="restart"/>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罚款金额</w:t>
            </w:r>
          </w:p>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trPr>
        <w:tc>
          <w:tcPr>
            <w:tcW w:w="1523"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c>
          <w:tcPr>
            <w:tcW w:w="1333" w:type="dxa"/>
            <w:vMerge w:val="continue"/>
            <w:tcBorders>
              <w:top w:val="single" w:color="auto" w:sz="4" w:space="0"/>
              <w:left w:val="single" w:color="auto" w:sz="4" w:space="0"/>
              <w:bottom w:val="single" w:color="auto" w:sz="4" w:space="0"/>
              <w:right w:val="single" w:color="auto" w:sz="4" w:space="0"/>
            </w:tcBorders>
          </w:tcPr>
          <w:p>
            <w:pPr>
              <w:widowControl/>
              <w:spacing w:line="300" w:lineRule="exact"/>
              <w:jc w:val="center"/>
              <w:rPr>
                <w:rFonts w:ascii="Times New Roman" w:hAnsi="Times New Roman" w:eastAsia="宋体" w:cs="宋体"/>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供管水人员健康</w:t>
            </w:r>
          </w:p>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体检和培训</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设施卫生防护及</w:t>
            </w:r>
          </w:p>
          <w:p>
            <w:pPr>
              <w:widowControl/>
              <w:spacing w:line="300" w:lineRule="exact"/>
              <w:jc w:val="center"/>
              <w:rPr>
                <w:rFonts w:ascii="Times New Roman" w:hAnsi="Times New Roman" w:eastAsia="宋体" w:cs="宋体"/>
                <w:sz w:val="21"/>
              </w:rPr>
            </w:pPr>
            <w:r>
              <w:rPr>
                <w:rFonts w:hint="eastAsia" w:ascii="Times New Roman" w:hAnsi="Times New Roman" w:eastAsia="宋体" w:cs="宋体"/>
                <w:kern w:val="0"/>
                <w:sz w:val="21"/>
              </w:rPr>
              <w:t>周围环境</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储水设备定期</w:t>
            </w:r>
          </w:p>
          <w:p>
            <w:pPr>
              <w:widowControl/>
              <w:spacing w:line="300" w:lineRule="exact"/>
              <w:jc w:val="center"/>
              <w:rPr>
                <w:rFonts w:ascii="Times New Roman" w:hAnsi="Times New Roman" w:eastAsia="宋体" w:cs="宋体"/>
                <w:kern w:val="0"/>
                <w:sz w:val="21"/>
              </w:rPr>
            </w:pPr>
            <w:r>
              <w:rPr>
                <w:rFonts w:hint="eastAsia" w:ascii="Times New Roman" w:hAnsi="Times New Roman" w:eastAsia="宋体" w:cs="宋体"/>
                <w:kern w:val="0"/>
                <w:sz w:val="21"/>
              </w:rPr>
              <w:t>清洗消毒</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r>
              <w:rPr>
                <w:rFonts w:hint="eastAsia" w:ascii="Times New Roman" w:hAnsi="Times New Roman" w:eastAsia="宋体" w:cs="宋体"/>
                <w:kern w:val="0"/>
                <w:sz w:val="21"/>
              </w:rPr>
              <w:t>开展水质自检</w:t>
            </w:r>
          </w:p>
        </w:tc>
        <w:tc>
          <w:tcPr>
            <w:tcW w:w="2072"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c>
          <w:tcPr>
            <w:tcW w:w="1269"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c>
          <w:tcPr>
            <w:tcW w:w="1154" w:type="dxa"/>
            <w:vMerge w:val="continue"/>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52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33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2072"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269"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c>
          <w:tcPr>
            <w:tcW w:w="1154"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Times New Roman" w:hAnsi="Times New Roman" w:eastAsia="宋体" w:cs="宋体"/>
                <w:kern w:val="0"/>
                <w:sz w:val="21"/>
              </w:rPr>
            </w:pPr>
          </w:p>
        </w:tc>
      </w:tr>
    </w:tbl>
    <w:p>
      <w:pPr>
        <w:rPr>
          <w:rFonts w:ascii="Times New Roman" w:hAnsi="Times New Roman" w:eastAsia="黑体"/>
          <w:sz w:val="30"/>
          <w:szCs w:val="30"/>
        </w:rPr>
      </w:pPr>
      <w:r>
        <w:rPr>
          <w:rFonts w:hint="eastAsia" w:ascii="Times New Roman" w:hAnsi="Times New Roman" w:eastAsia="黑体"/>
          <w:sz w:val="30"/>
          <w:szCs w:val="30"/>
        </w:rPr>
        <w:br w:type="page"/>
      </w:r>
    </w:p>
    <w:p>
      <w:pPr>
        <w:rPr>
          <w:rFonts w:ascii="Times New Roman" w:hAnsi="Times New Roman" w:eastAsia="黑体"/>
          <w:szCs w:val="32"/>
        </w:rPr>
      </w:pPr>
      <w:r>
        <w:rPr>
          <w:rFonts w:hint="eastAsia" w:ascii="Times New Roman" w:hAnsi="Times New Roman" w:eastAsia="黑体"/>
          <w:szCs w:val="32"/>
        </w:rPr>
        <w:t>附表1</w:t>
      </w:r>
      <w:r>
        <w:rPr>
          <w:rFonts w:ascii="Times New Roman" w:hAnsi="Times New Roman" w:eastAsia="黑体"/>
          <w:szCs w:val="32"/>
        </w:rPr>
        <w:t>0</w:t>
      </w:r>
    </w:p>
    <w:p>
      <w:pPr>
        <w:spacing w:before="298" w:beforeLines="50" w:line="600" w:lineRule="exact"/>
        <w:jc w:val="center"/>
        <w:rPr>
          <w:rFonts w:ascii="Times New Roman" w:hAnsi="Times New Roman" w:eastAsia="宋体" w:cs="宋体"/>
          <w:bCs/>
          <w:sz w:val="44"/>
          <w:szCs w:val="44"/>
        </w:rPr>
      </w:pPr>
      <w:r>
        <w:rPr>
          <w:rFonts w:hint="eastAsia" w:ascii="Times New Roman" w:hAnsi="Times New Roman" w:eastAsia="方正小标宋简体" w:cs="方正小标宋简体"/>
          <w:bCs/>
          <w:sz w:val="44"/>
          <w:szCs w:val="44"/>
        </w:rPr>
        <w:t>2022年涉水产品经营单位随机监督抽查信息汇总表</w:t>
      </w:r>
    </w:p>
    <w:p>
      <w:pPr>
        <w:spacing w:line="240" w:lineRule="exact"/>
        <w:ind w:right="-979" w:rightChars="-306"/>
        <w:rPr>
          <w:rFonts w:ascii="Times New Roman" w:hAnsi="Times New Roman" w:eastAsia="华文仿宋"/>
          <w:sz w:val="21"/>
          <w:szCs w:val="21"/>
        </w:rPr>
      </w:pPr>
      <w:r>
        <w:rPr>
          <w:rFonts w:ascii="Times New Roman" w:hAnsi="Times New Roman" w:eastAsia="华文仿宋"/>
          <w:sz w:val="21"/>
          <w:szCs w:val="21"/>
        </w:rPr>
        <w:t xml:space="preserve">  </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19"/>
        <w:gridCol w:w="1134"/>
        <w:gridCol w:w="1134"/>
        <w:gridCol w:w="1134"/>
        <w:gridCol w:w="1134"/>
        <w:gridCol w:w="1134"/>
        <w:gridCol w:w="993"/>
        <w:gridCol w:w="1134"/>
        <w:gridCol w:w="1275"/>
        <w:gridCol w:w="99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单位类别</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检查</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单位数</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单位</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合格数</w:t>
            </w:r>
            <w:r>
              <w:rPr>
                <w:rFonts w:hint="eastAsia" w:ascii="Times New Roman" w:hAnsi="Times New Roman" w:eastAsia="宋体" w:cs="宋体"/>
                <w:sz w:val="21"/>
                <w:vertAlign w:val="superscript"/>
              </w:rPr>
              <w:t>(a)</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检查</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产品数</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产品检查合格数</w:t>
            </w:r>
            <w:r>
              <w:rPr>
                <w:rFonts w:hint="eastAsia" w:ascii="Times New Roman" w:hAnsi="Times New Roman" w:eastAsia="宋体" w:cs="宋体"/>
                <w:sz w:val="21"/>
                <w:vertAlign w:val="superscript"/>
              </w:rPr>
              <w:t>(b)</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发现无证产品数</w:t>
            </w: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检测</w:t>
            </w:r>
          </w:p>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产品数</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产品检测合格数</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责令限期改正单位数</w:t>
            </w: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案件数</w:t>
            </w: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罚款金额（万元）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在华责任单位</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城市实体经销单位</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乡镇实体经销单位</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网店</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w:t>
            </w: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819"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r>
              <w:rPr>
                <w:rFonts w:hint="eastAsia" w:ascii="Times New Roman" w:hAnsi="Times New Roman" w:eastAsia="宋体" w:cs="宋体"/>
                <w:sz w:val="21"/>
              </w:rPr>
              <w:t>现制现售饮用水经营单位</w:t>
            </w:r>
            <w:r>
              <w:rPr>
                <w:rFonts w:hint="eastAsia" w:ascii="Times New Roman" w:hAnsi="Times New Roman" w:eastAsia="宋体" w:cs="宋体"/>
                <w:sz w:val="21"/>
                <w:vertAlign w:val="superscript"/>
              </w:rPr>
              <w:t>(c)</w:t>
            </w: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275"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993"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c>
          <w:tcPr>
            <w:tcW w:w="1096"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Times New Roman" w:hAnsi="Times New Roman" w:eastAsia="宋体" w:cs="宋体"/>
                <w:sz w:val="21"/>
              </w:rPr>
            </w:pPr>
          </w:p>
        </w:tc>
      </w:tr>
    </w:tbl>
    <w:p>
      <w:pPr>
        <w:snapToGrid w:val="0"/>
        <w:spacing w:before="298" w:beforeLines="50" w:line="300" w:lineRule="exact"/>
        <w:jc w:val="left"/>
        <w:rPr>
          <w:rFonts w:ascii="Times New Roman" w:hAnsi="Times New Roman" w:eastAsia="宋体" w:cs="宋体"/>
          <w:sz w:val="21"/>
        </w:rPr>
      </w:pPr>
      <w:r>
        <w:rPr>
          <w:rFonts w:hint="eastAsia" w:ascii="Times New Roman" w:hAnsi="Times New Roman" w:eastAsia="宋体" w:cs="宋体"/>
          <w:sz w:val="21"/>
        </w:rPr>
        <w:t>a.产品取得卫生许可批件，产品检查和检测均合格的单位数。</w:t>
      </w:r>
    </w:p>
    <w:p>
      <w:pPr>
        <w:snapToGrid w:val="0"/>
        <w:spacing w:line="300" w:lineRule="exact"/>
        <w:jc w:val="left"/>
        <w:rPr>
          <w:rFonts w:ascii="Times New Roman" w:hAnsi="Times New Roman" w:eastAsia="宋体" w:cs="宋体"/>
          <w:sz w:val="21"/>
        </w:rPr>
      </w:pPr>
      <w:r>
        <w:rPr>
          <w:rFonts w:hint="eastAsia" w:ascii="Times New Roman" w:hAnsi="Times New Roman" w:eastAsia="宋体" w:cs="宋体"/>
          <w:sz w:val="21"/>
        </w:rPr>
        <w:t>b.产品取得卫生许可批件及标签、说明书均合格的产品数。</w:t>
      </w:r>
    </w:p>
    <w:p>
      <w:pPr>
        <w:snapToGrid w:val="0"/>
        <w:spacing w:line="300" w:lineRule="exact"/>
        <w:jc w:val="left"/>
        <w:rPr>
          <w:rFonts w:ascii="Times New Roman" w:hAnsi="Times New Roman" w:eastAsia="宋体" w:cs="宋体"/>
          <w:sz w:val="21"/>
        </w:rPr>
      </w:pPr>
      <w:r>
        <w:rPr>
          <w:rFonts w:hint="eastAsia" w:ascii="Times New Roman" w:hAnsi="Times New Roman" w:eastAsia="宋体" w:cs="宋体"/>
          <w:sz w:val="21"/>
        </w:rPr>
        <w:t>c.产品数指应用现场数。</w:t>
      </w:r>
      <w:bookmarkEnd w:id="0"/>
    </w:p>
    <w:p>
      <w:pPr>
        <w:snapToGrid w:val="0"/>
        <w:spacing w:line="300" w:lineRule="exact"/>
        <w:jc w:val="left"/>
        <w:rPr>
          <w:rFonts w:ascii="Times New Roman" w:hAnsi="Times New Roman" w:eastAsia="宋体" w:cs="宋体"/>
          <w:sz w:val="21"/>
        </w:rPr>
      </w:pPr>
    </w:p>
    <w:p>
      <w:bookmarkStart w:id="1" w:name="_GoBack"/>
      <w:bookmarkEnd w:id="1"/>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280"/>
      <w:jc w:val="right"/>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7</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280" w:firstLineChars="100"/>
      <w:rPr>
        <w:rFonts w:ascii="宋体" w:hAnsi="宋体" w:eastAsia="宋体"/>
        <w:sz w:val="28"/>
        <w:szCs w:val="28"/>
      </w:rPr>
    </w:pPr>
    <w:r>
      <w:rPr>
        <w:rFonts w:ascii="宋体" w:hAnsi="宋体" w:eastAsia="宋体" w:cstheme="majorBidi"/>
        <w:sz w:val="28"/>
        <w:szCs w:val="28"/>
        <w:lang w:val="zh-CN"/>
      </w:rPr>
      <w:t xml:space="preserve">— </w:t>
    </w:r>
    <w:r>
      <w:rPr>
        <w:rFonts w:ascii="宋体" w:hAnsi="宋体" w:eastAsia="宋体" w:cstheme="minorBidi"/>
        <w:sz w:val="28"/>
        <w:szCs w:val="28"/>
      </w:rPr>
      <w:fldChar w:fldCharType="begin"/>
    </w:r>
    <w:r>
      <w:rPr>
        <w:rFonts w:ascii="宋体" w:hAnsi="宋体" w:eastAsia="宋体"/>
        <w:sz w:val="28"/>
        <w:szCs w:val="28"/>
      </w:rPr>
      <w:instrText xml:space="preserve">PAGE    \* MERGEFORMAT</w:instrText>
    </w:r>
    <w:r>
      <w:rPr>
        <w:rFonts w:ascii="宋体" w:hAnsi="宋体" w:eastAsia="宋体" w:cstheme="minorBidi"/>
        <w:sz w:val="28"/>
        <w:szCs w:val="28"/>
      </w:rPr>
      <w:fldChar w:fldCharType="separate"/>
    </w:r>
    <w:r>
      <w:rPr>
        <w:rFonts w:ascii="宋体" w:hAnsi="宋体" w:eastAsia="宋体" w:cstheme="majorBidi"/>
        <w:sz w:val="28"/>
        <w:szCs w:val="28"/>
        <w:lang w:val="zh-CN"/>
      </w:rPr>
      <w:t>8</w:t>
    </w:r>
    <w:r>
      <w:rPr>
        <w:rFonts w:ascii="宋体" w:hAnsi="宋体" w:eastAsia="宋体" w:cstheme="majorBidi"/>
        <w:sz w:val="28"/>
        <w:szCs w:val="28"/>
      </w:rPr>
      <w:fldChar w:fldCharType="end"/>
    </w:r>
    <w:r>
      <w:rPr>
        <w:rFonts w:ascii="宋体" w:hAnsi="宋体" w:eastAsia="宋体" w:cstheme="majorBidi"/>
        <w:sz w:val="28"/>
        <w:szCs w:val="28"/>
        <w:lang w:val="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3MTNkMjhjMjQyMTAwZGY0MDY3OWFkOTczN2JlYTIifQ=="/>
  </w:docVars>
  <w:rsids>
    <w:rsidRoot w:val="52C55348"/>
    <w:rsid w:val="52C553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customStyle="1" w:styleId="5">
    <w:name w:val="公文一级标题"/>
    <w:basedOn w:val="1"/>
    <w:qFormat/>
    <w:uiPriority w:val="0"/>
    <w:pPr>
      <w:snapToGrid w:val="0"/>
      <w:jc w:val="center"/>
    </w:pPr>
    <w:rPr>
      <w:rFonts w:eastAsia="方正小标宋简体"/>
      <w:sz w:val="44"/>
    </w:rPr>
  </w:style>
  <w:style w:type="paragraph" w:styleId="6">
    <w:name w:val="List Paragraph"/>
    <w:basedOn w:val="1"/>
    <w:qFormat/>
    <w:uiPriority w:val="34"/>
    <w:pPr>
      <w:ind w:firstLine="420" w:firstLineChars="200"/>
    </w:pPr>
    <w:rPr>
      <w:rFonts w:ascii="Times New Roman" w:hAnsi="Times New Roman" w:cs="Times New Roman"/>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2022-07-26T01:07:00Z</dcterms:created>
  <dc:creator>平安</dc:creator>
  <cp:lastModifiedBy>平安</cp:lastModifiedBy>
  <dcterms:modified xsi:type="dcterms:W3CDTF">2022-07-26T01:07:53Z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B6928E44D8614537A63937166BFEEEB8</vt:lpwstr>
  </property>
</Properties>
</file>