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乳山市人民政府</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sz w:val="44"/>
          <w:szCs w:val="44"/>
          <w:highlight w:val="none"/>
          <w:shd w:val="clear" w:color="auto" w:fill="FFFFFF"/>
          <w:lang w:val="en-US" w:eastAsia="zh-CN"/>
        </w:rPr>
      </w:pPr>
      <w:r>
        <w:rPr>
          <w:rFonts w:hint="default" w:ascii="Times New Roman" w:hAnsi="Times New Roman" w:eastAsia="方正小标宋简体" w:cs="Times New Roman"/>
          <w:sz w:val="44"/>
          <w:szCs w:val="44"/>
          <w:highlight w:val="none"/>
          <w:shd w:val="clear" w:color="auto" w:fill="FFFFFF"/>
          <w:lang w:val="en-US" w:eastAsia="zh-CN"/>
        </w:rPr>
        <w:t>关于印发乳山市国民经济和社会发展</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sz w:val="44"/>
          <w:szCs w:val="44"/>
          <w:highlight w:val="none"/>
          <w:shd w:val="clear" w:color="auto" w:fill="FFFFFF"/>
          <w:lang w:val="en-US" w:eastAsia="zh-CN"/>
        </w:rPr>
      </w:pPr>
      <w:r>
        <w:rPr>
          <w:rFonts w:hint="default" w:ascii="Times New Roman" w:hAnsi="Times New Roman" w:eastAsia="方正小标宋简体" w:cs="Times New Roman"/>
          <w:sz w:val="44"/>
          <w:szCs w:val="44"/>
          <w:highlight w:val="none"/>
          <w:shd w:val="clear" w:color="auto" w:fill="FFFFFF"/>
          <w:lang w:val="en-US" w:eastAsia="zh-CN"/>
        </w:rPr>
        <w:t>第十五个五年规划纲要的通知</w:t>
      </w:r>
    </w:p>
    <w:p>
      <w:pPr>
        <w:adjustRightInd w:val="0"/>
        <w:snapToGrid w:val="0"/>
        <w:spacing w:line="560" w:lineRule="exact"/>
        <w:jc w:val="center"/>
        <w:rPr>
          <w:rFonts w:hint="default" w:ascii="Times New Roman" w:hAnsi="Times New Roman" w:eastAsia="方正小标宋简体" w:cs="Times New Roman"/>
          <w:sz w:val="44"/>
          <w:szCs w:val="44"/>
          <w:highlight w:val="none"/>
          <w:shd w:val="clear" w:color="auto" w:fill="FFFFFF"/>
          <w:lang w:val="en-US" w:eastAsia="zh-CN"/>
        </w:rPr>
      </w:pPr>
      <w:r>
        <w:rPr>
          <w:rFonts w:hint="default" w:ascii="Times New Roman" w:hAnsi="Times New Roman" w:eastAsia="仿宋_GB2312" w:cs="Times New Roman"/>
          <w:color w:val="000000"/>
          <w:kern w:val="0"/>
          <w:sz w:val="32"/>
          <w:szCs w:val="32"/>
        </w:rPr>
        <w:t>乳政发〔2026〕</w:t>
      </w:r>
      <w:r>
        <w:rPr>
          <w:rFonts w:hint="default" w:ascii="Times New Roman" w:hAnsi="Times New Roman" w:eastAsia="仿宋_GB2312" w:cs="Times New Roman"/>
          <w:color w:val="000000"/>
          <w:kern w:val="0"/>
          <w:sz w:val="32"/>
          <w:szCs w:val="32"/>
          <w:lang w:val="en-US" w:eastAsia="zh-CN"/>
        </w:rPr>
        <w:t>10</w:t>
      </w:r>
      <w:r>
        <w:rPr>
          <w:rFonts w:hint="default" w:ascii="Times New Roman" w:hAnsi="Times New Roman" w:eastAsia="仿宋_GB2312" w:cs="Times New Roman"/>
          <w:color w:val="000000"/>
          <w:kern w:val="0"/>
          <w:sz w:val="32"/>
          <w:szCs w:val="32"/>
        </w:rPr>
        <w:t>号</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仿宋" w:cs="Times New Roman"/>
          <w:sz w:val="36"/>
          <w:szCs w:val="36"/>
          <w:highlight w:val="none"/>
          <w:shd w:val="clear" w:color="auto" w:fill="FFFFFF"/>
          <w:lang w:val="en-US" w:eastAsia="zh-CN"/>
        </w:rPr>
      </w:pPr>
      <w:r>
        <w:rPr>
          <w:rFonts w:hint="eastAsia" w:ascii="Times New Roman" w:hAnsi="Times New Roman" w:eastAsia="仿宋" w:cs="Times New Roman"/>
          <w:sz w:val="36"/>
          <w:szCs w:val="36"/>
          <w:highlight w:val="none"/>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lang w:val="en-US" w:eastAsia="zh-CN"/>
        </w:rPr>
        <w:t>各镇人民政府，市政府各部门、单位，滨海新区（银滩旅游度假区）、经济开发区、城区街道办事处，各市属国有企业：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《乳山市国民经济和社会发展第十五个五年规划纲要》（以下简称《纲要》）已经市十九届人大五次会议审查批准，现印发给你们，请认真贯彻实施。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纲要》坚持以习近平新时代中国特色社会主义思想为指导，认真贯彻党的二十大和二十届历次全会精神，深入落实习近平总书记视察山东重要讲话和重要指示批示精神，严格按照山东省、威海市决策部署和市委、市政府工作要求，完整准确全面贯彻新发展理念，主动服务和融入新发展格局，以推动高质量发展为主题，系统总结“十四五”时期发展成就，全面阐述“十五五”时期发展战略、总体目标、主要任务和重要举措，是加快打造新能源产业高质量发展先行区、滨海旅居康养目的地，奋力开创新时代美好乳山建设新局面的行动纲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各部门、单位要认真学习、深刻领会《纲要》精神，结合本区域、本部门、本单位实际，切实抓好《纲要》的贯彻落实，确保顺利完成“十五五”时期各项目标任务。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shd w:val="clear" w:color="auto" w:fill="FFFFFF"/>
          <w:lang w:val="en-US" w:eastAsia="zh-CN"/>
        </w:rPr>
      </w:pPr>
    </w:p>
    <w:p>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eastAsia" w:ascii="Times New Roman" w:hAnsi="Times New Roman" w:eastAsia="仿宋_GB2312" w:cs="Times New Roman"/>
          <w:w w:val="50"/>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乳山市人民政府</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w w:val="50"/>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lang w:val="en-US" w:eastAsia="zh-CN"/>
        </w:rPr>
        <w:t xml:space="preserve">                                    2026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（此件公开发布）</w:t>
      </w: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仿宋_GB2312" w:cs="Times New Roman"/>
          <w:color w:val="auto"/>
          <w:spacing w:val="0"/>
          <w:sz w:val="32"/>
          <w:szCs w:val="32"/>
          <w:highlight w:val="none"/>
          <w:lang w:val="en-US" w:eastAsia="zh-CN"/>
        </w:rPr>
      </w:pPr>
    </w:p>
    <w:p>
      <w:pPr>
        <w:keepNext w:val="0"/>
        <w:keepLines w:val="0"/>
        <w:pageBreakBefore w:val="0"/>
        <w:widowControl w:val="0"/>
        <w:tabs>
          <w:tab w:val="left" w:pos="628"/>
        </w:tabs>
        <w:kinsoku/>
        <w:wordWrap/>
        <w:overflowPunct/>
        <w:topLinePunct w:val="0"/>
        <w:autoSpaceDE/>
        <w:autoSpaceDN/>
        <w:bidi w:val="0"/>
        <w:adjustRightInd/>
        <w:snapToGrid/>
        <w:spacing w:line="960" w:lineRule="exact"/>
        <w:jc w:val="center"/>
        <w:textAlignment w:val="auto"/>
        <w:rPr>
          <w:rFonts w:hint="default" w:ascii="Times New Roman" w:hAnsi="Times New Roman" w:eastAsia="方正小标宋简体" w:cs="Times New Roman"/>
          <w:color w:val="auto"/>
          <w:spacing w:val="0"/>
          <w:sz w:val="52"/>
          <w:szCs w:val="52"/>
          <w:highlight w:val="none"/>
          <w:lang w:val="en-US" w:eastAsia="zh-CN"/>
        </w:rPr>
      </w:pPr>
      <w:r>
        <w:rPr>
          <w:rFonts w:hint="default" w:ascii="Times New Roman" w:hAnsi="Times New Roman" w:eastAsia="方正小标宋简体" w:cs="Times New Roman"/>
          <w:color w:val="auto"/>
          <w:spacing w:val="0"/>
          <w:sz w:val="52"/>
          <w:szCs w:val="52"/>
          <w:highlight w:val="none"/>
          <w:lang w:val="en-US" w:eastAsia="zh-CN"/>
        </w:rPr>
        <w:t>乳山市国民经济和社会发展</w:t>
      </w:r>
    </w:p>
    <w:p>
      <w:pPr>
        <w:keepNext w:val="0"/>
        <w:keepLines w:val="0"/>
        <w:pageBreakBefore w:val="0"/>
        <w:widowControl w:val="0"/>
        <w:tabs>
          <w:tab w:val="left" w:pos="628"/>
        </w:tabs>
        <w:kinsoku/>
        <w:wordWrap/>
        <w:overflowPunct/>
        <w:topLinePunct w:val="0"/>
        <w:autoSpaceDE/>
        <w:autoSpaceDN/>
        <w:bidi w:val="0"/>
        <w:adjustRightInd/>
        <w:snapToGrid/>
        <w:spacing w:line="960" w:lineRule="exact"/>
        <w:jc w:val="center"/>
        <w:textAlignment w:val="auto"/>
        <w:rPr>
          <w:rFonts w:hint="default" w:ascii="Times New Roman" w:hAnsi="Times New Roman" w:eastAsia="方正小标宋简体" w:cs="Times New Roman"/>
          <w:color w:val="auto"/>
          <w:spacing w:val="0"/>
          <w:sz w:val="52"/>
          <w:szCs w:val="52"/>
          <w:highlight w:val="none"/>
          <w:lang w:val="en-US" w:eastAsia="zh-CN"/>
        </w:rPr>
      </w:pPr>
      <w:r>
        <w:rPr>
          <w:rFonts w:hint="default" w:ascii="Times New Roman" w:hAnsi="Times New Roman" w:eastAsia="方正小标宋简体" w:cs="Times New Roman"/>
          <w:color w:val="auto"/>
          <w:spacing w:val="0"/>
          <w:sz w:val="52"/>
          <w:szCs w:val="52"/>
          <w:highlight w:val="none"/>
          <w:lang w:val="en-US" w:eastAsia="zh-CN"/>
        </w:rPr>
        <w:t>第十五个五年规划纲要</w:t>
      </w: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pStyle w:val="9"/>
        <w:rPr>
          <w:rFonts w:hint="default" w:ascii="Times New Roman" w:hAnsi="Times New Roman" w:eastAsia="楷体_GB2312" w:cs="Times New Roman"/>
          <w:color w:val="auto"/>
          <w:spacing w:val="0"/>
          <w:sz w:val="32"/>
          <w:szCs w:val="32"/>
          <w:highlight w:val="none"/>
          <w:lang w:val="en-US" w:eastAsia="zh-CN"/>
        </w:rPr>
      </w:pPr>
    </w:p>
    <w:p>
      <w:pPr>
        <w:pStyle w:val="23"/>
        <w:rPr>
          <w:rFonts w:hint="default" w:ascii="Times New Roman" w:hAnsi="Times New Roman" w:cs="Times New Roman"/>
          <w:color w:val="auto"/>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both"/>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widowControl w:val="0"/>
        <w:tabs>
          <w:tab w:val="left" w:pos="628"/>
        </w:tabs>
        <w:kinsoku/>
        <w:wordWrap/>
        <w:overflowPunct/>
        <w:topLinePunct w:val="0"/>
        <w:autoSpaceDE/>
        <w:autoSpaceDN/>
        <w:bidi w:val="0"/>
        <w:adjustRightInd/>
        <w:snapToGrid/>
        <w:spacing w:line="2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2"/>
          <w:szCs w:val="32"/>
          <w:highlight w:val="none"/>
          <w:lang w:val="en-US" w:eastAsia="zh-CN"/>
        </w:rPr>
      </w:pPr>
    </w:p>
    <w:p>
      <w:pPr>
        <w:keepNext w:val="0"/>
        <w:keepLines w:val="0"/>
        <w:pageBreakBefore w:val="0"/>
        <w:tabs>
          <w:tab w:val="left" w:pos="628"/>
        </w:tabs>
        <w:kinsoku/>
        <w:wordWrap/>
        <w:overflowPunct/>
        <w:topLinePunct w:val="0"/>
        <w:autoSpaceDE/>
        <w:autoSpaceDN/>
        <w:bidi w:val="0"/>
        <w:snapToGrid/>
        <w:spacing w:line="600" w:lineRule="exact"/>
        <w:jc w:val="center"/>
        <w:textAlignment w:val="auto"/>
        <w:rPr>
          <w:rFonts w:hint="default" w:ascii="Times New Roman" w:hAnsi="Times New Roman" w:eastAsia="楷体_GB2312" w:cs="Times New Roman"/>
          <w:color w:val="auto"/>
          <w:spacing w:val="0"/>
          <w:sz w:val="36"/>
          <w:szCs w:val="36"/>
          <w:highlight w:val="none"/>
          <w:lang w:val="en-US" w:eastAsia="zh-CN"/>
        </w:rPr>
      </w:pPr>
      <w:r>
        <w:rPr>
          <w:rFonts w:hint="default" w:ascii="Times New Roman" w:hAnsi="Times New Roman" w:eastAsia="楷体_GB2312" w:cs="Times New Roman"/>
          <w:color w:val="auto"/>
          <w:spacing w:val="0"/>
          <w:sz w:val="36"/>
          <w:szCs w:val="36"/>
          <w:highlight w:val="none"/>
          <w:lang w:val="en-US" w:eastAsia="zh-CN"/>
        </w:rPr>
        <w:t>乳山市人民政府</w:t>
      </w:r>
    </w:p>
    <w:p>
      <w:pPr>
        <w:pStyle w:val="23"/>
        <w:jc w:val="center"/>
        <w:rPr>
          <w:rFonts w:hint="default" w:ascii="Times New Roman" w:hAnsi="Times New Roman" w:cs="Times New Roman"/>
          <w:color w:val="auto"/>
          <w:highlight w:val="none"/>
          <w:lang w:val="en-US" w:eastAsia="zh-CN"/>
        </w:rPr>
        <w:sectPr>
          <w:footerReference r:id="rId3" w:type="default"/>
          <w:footerReference r:id="rId4" w:type="even"/>
          <w:pgSz w:w="11906" w:h="16838"/>
          <w:pgMar w:top="2098" w:right="1531" w:bottom="1984" w:left="1531" w:header="851" w:footer="1531" w:gutter="0"/>
          <w:pgNumType w:fmt="decimal"/>
          <w:cols w:space="0" w:num="1"/>
          <w:rtlGutter w:val="0"/>
          <w:docGrid w:type="lines" w:linePitch="312" w:charSpace="0"/>
        </w:sectPr>
      </w:pPr>
      <w:r>
        <w:rPr>
          <w:rFonts w:hint="default" w:ascii="Times New Roman" w:hAnsi="Times New Roman" w:eastAsia="楷体_GB2312" w:cs="Times New Roman"/>
          <w:color w:val="auto"/>
          <w:spacing w:val="0"/>
          <w:sz w:val="36"/>
          <w:szCs w:val="36"/>
          <w:highlight w:val="none"/>
          <w:lang w:val="en-US" w:eastAsia="zh-CN"/>
        </w:rPr>
        <w:t>二〇二六年</w:t>
      </w:r>
      <w:r>
        <w:rPr>
          <w:rFonts w:hint="eastAsia" w:ascii="Times New Roman" w:hAnsi="Times New Roman" w:eastAsia="楷体_GB2312" w:cs="Times New Roman"/>
          <w:color w:val="auto"/>
          <w:spacing w:val="0"/>
          <w:sz w:val="36"/>
          <w:szCs w:val="36"/>
          <w:highlight w:val="none"/>
          <w:lang w:val="en-US" w:eastAsia="zh-CN"/>
        </w:rPr>
        <w:t>十</w:t>
      </w:r>
      <w:r>
        <w:rPr>
          <w:rFonts w:hint="default" w:ascii="Times New Roman" w:hAnsi="Times New Roman" w:eastAsia="楷体_GB2312" w:cs="Times New Roman"/>
          <w:color w:val="auto"/>
          <w:spacing w:val="0"/>
          <w:sz w:val="36"/>
          <w:szCs w:val="36"/>
          <w:highlight w:val="none"/>
          <w:lang w:val="en-US" w:eastAsia="zh-CN"/>
        </w:rPr>
        <w:t>月</w:t>
      </w:r>
    </w:p>
    <w:sdt>
      <w:sdtPr>
        <w:rPr>
          <w:rFonts w:hint="default" w:ascii="Times New Roman" w:hAnsi="Times New Roman" w:eastAsia="宋体" w:cs="Times New Roman"/>
          <w:color w:val="auto"/>
          <w:kern w:val="2"/>
          <w:sz w:val="30"/>
          <w:szCs w:val="30"/>
          <w:highlight w:val="none"/>
          <w:lang w:val="en-US" w:eastAsia="zh-CN" w:bidi="ar-SA"/>
        </w:rPr>
        <w:id w:val="147459947"/>
        <w15:color w:val="DBDBDB"/>
        <w:docPartObj>
          <w:docPartGallery w:val="Table of Contents"/>
          <w:docPartUnique/>
        </w:docPartObj>
      </w:sdtPr>
      <w:sdtEndPr>
        <w:rPr>
          <w:rFonts w:hint="default" w:ascii="Times New Roman" w:hAnsi="Times New Roman" w:cs="Times New Roman" w:eastAsiaTheme="minorEastAsia"/>
          <w:color w:val="auto"/>
          <w:kern w:val="2"/>
          <w:sz w:val="21"/>
          <w:szCs w:val="24"/>
          <w:highlight w:val="none"/>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目</w:t>
          </w:r>
          <w:r>
            <w:rPr>
              <w:rFonts w:hint="default" w:ascii="Times New Roman" w:hAnsi="Times New Roman" w:eastAsia="方正小标宋简体" w:cs="Times New Roman"/>
              <w:color w:val="auto"/>
              <w:sz w:val="44"/>
              <w:szCs w:val="44"/>
              <w:highlight w:val="none"/>
              <w:lang w:val="en-US" w:eastAsia="zh-CN"/>
            </w:rPr>
            <w:t xml:space="preserve">   </w:t>
          </w:r>
          <w:r>
            <w:rPr>
              <w:rFonts w:hint="default" w:ascii="Times New Roman" w:hAnsi="Times New Roman" w:eastAsia="方正小标宋简体" w:cs="Times New Roman"/>
              <w:color w:val="auto"/>
              <w:sz w:val="44"/>
              <w:szCs w:val="44"/>
              <w:highlight w:val="none"/>
            </w:rPr>
            <w:t>录</w:t>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TOC \o "1-2" \h \u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_Toc28863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第一章 砥砺奋进，新时代美好乳山建设实现新突破</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_Toc28863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_Toc24612 </w:instrText>
          </w:r>
          <w:r>
            <w:rPr>
              <w:rFonts w:hint="default" w:ascii="Times New Roman" w:hAnsi="Times New Roman" w:cs="Times New Roman"/>
              <w:color w:val="auto"/>
              <w:sz w:val="30"/>
              <w:szCs w:val="30"/>
              <w:highlight w:val="none"/>
              <w:lang w:val="en-US" w:eastAsia="zh-CN"/>
            </w:rPr>
            <w:fldChar w:fldCharType="separate"/>
          </w:r>
          <w:r>
            <w:rPr>
              <w:rFonts w:hint="eastAsia" w:ascii="仿宋_GB2312" w:hAnsi="仿宋_GB2312" w:eastAsia="仿宋_GB2312" w:cs="仿宋_GB2312"/>
              <w:snapToGrid w:val="0"/>
              <w:color w:val="auto"/>
              <w:sz w:val="30"/>
              <w:szCs w:val="30"/>
              <w:highlight w:val="none"/>
              <w:lang w:val="en-US" w:eastAsia="zh-CN"/>
            </w:rPr>
            <w:t>第一节 发展基础</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_Toc24612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8</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_Toc9044 </w:instrText>
          </w:r>
          <w:r>
            <w:rPr>
              <w:rFonts w:hint="default" w:ascii="Times New Roman" w:hAnsi="Times New Roman" w:cs="Times New Roman"/>
              <w:color w:val="auto"/>
              <w:sz w:val="30"/>
              <w:szCs w:val="30"/>
              <w:highlight w:val="none"/>
              <w:lang w:val="en-US" w:eastAsia="zh-CN"/>
            </w:rPr>
            <w:fldChar w:fldCharType="separate"/>
          </w:r>
          <w:r>
            <w:rPr>
              <w:rFonts w:hint="eastAsia" w:ascii="仿宋_GB2312" w:hAnsi="仿宋_GB2312" w:eastAsia="仿宋_GB2312" w:cs="仿宋_GB2312"/>
              <w:snapToGrid w:val="0"/>
              <w:color w:val="auto"/>
              <w:sz w:val="30"/>
              <w:szCs w:val="30"/>
              <w:highlight w:val="none"/>
              <w:lang w:val="en-US" w:eastAsia="zh-CN"/>
            </w:rPr>
            <w:t>第二节 未来五年乳山发展面临的新形势新变化</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_Toc9044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12</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_Toc8280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第二章 继往开来，中国式现代化乳山实践开启新篇章</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_Toc8280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14</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_Toc9602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指导思想</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_Toc9602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14</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_Toc29073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基本原则和发展目标</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_Toc29073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14</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_Toc18988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第三章 建设现代化产业体系，巩固壮大实体经济根基</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_Toc18988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18</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_Toc23474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推动传统产业扩量提质</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_Toc23474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19</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_Toc8205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加快新兴产业膨胀升级</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_Toc8205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24</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_Toc18275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谋划未来产业发展布局</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_Toc18275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28</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_Toc5793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第四节 现代服务业优质高效发展</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_Toc5793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31</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_Toc12764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第四章 全面深耕科技创新，激活新质生产力发展动能</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_Toc12764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34</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_Toc31548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提升创新载体支撑能力</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_Toc31548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34</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_Toc27670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第二节 强化企业创新主体地位</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_Toc27670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35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_Toc6153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第三节 激发人才创新创造活力</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_Toc6153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37</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_Toc10333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第四节 积极推动数实融合发展</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_Toc10333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38</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_Toc19396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第五章 全方位扩大内需，深度融入和服务新发展格局</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_Toc19396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40</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_Toc29084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第一节 促进消费市场扩容提质</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_Toc29084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41</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_Toc26721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着力提高投资质量效益</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_Toc26721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43</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_Toc16854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健全现代化基础设施体系</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_Toc16854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44</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lang w:val="en-US" w:eastAsia="zh-CN"/>
            </w:rPr>
            <w:sectPr>
              <w:footerReference r:id="rId5" w:type="default"/>
              <w:footerReference r:id="rId6" w:type="even"/>
              <w:pgSz w:w="11906" w:h="16838"/>
              <w:pgMar w:top="2098" w:right="1531" w:bottom="1984" w:left="1531" w:header="851" w:footer="1531" w:gutter="0"/>
              <w:pgNumType w:fmt="decimal" w:start="4"/>
              <w:cols w:space="0" w:num="1"/>
              <w:rtlGutter w:val="0"/>
              <w:docGrid w:type="lines" w:linePitch="312" w:charSpace="0"/>
            </w:sectPr>
          </w:pP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_Toc22550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第六章 全面深化改革开放，增强高质量发展内生动力</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_Toc22550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46</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_Toc22959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持续激发市场主体活力</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_Toc22959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47</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_Toc17227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着力打造一流营商环境</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_Toc17227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48</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_Toc18672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全面深化财税金融改革</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_Toc18672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50</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_Toc1926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第四节 加快推进高水平对外开放</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_Toc1926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51</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_Toc22630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第七章 加快农业农村现代化，扎实推进乡村全面振兴</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_Toc22630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53</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_Toc3667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聚力提升产业发展质量</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_Toc3667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53</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_Toc18323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打造宜居宜业和美乡村</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_Toc18323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55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_Toc19628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拓宽共同富裕有效路径</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_Toc19628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57</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_Toc13942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第八章 完善区域发展布局，建设品质宜居精致城市</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_Toc13942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58</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eastAsiaTheme="minorEastAsia"/>
              <w:snapToGrid w:val="0"/>
              <w:color w:val="auto"/>
              <w:kern w:val="2"/>
              <w:sz w:val="30"/>
              <w:szCs w:val="30"/>
              <w:highlight w:val="none"/>
              <w:lang w:val="en-US" w:eastAsia="zh-CN" w:bidi="ar-SA"/>
            </w:rPr>
          </w:pPr>
          <w:r>
            <w:rPr>
              <w:rFonts w:hint="default" w:ascii="Times New Roman" w:hAnsi="Times New Roman" w:cs="Times New Roman" w:eastAsiaTheme="minorEastAsia"/>
              <w:snapToGrid w:val="0"/>
              <w:color w:val="auto"/>
              <w:kern w:val="2"/>
              <w:sz w:val="30"/>
              <w:szCs w:val="30"/>
              <w:highlight w:val="none"/>
              <w:lang w:val="en-US" w:eastAsia="zh-CN" w:bidi="ar-SA"/>
            </w:rPr>
            <w:fldChar w:fldCharType="begin"/>
          </w:r>
          <w:r>
            <w:rPr>
              <w:rFonts w:hint="default" w:ascii="Times New Roman" w:hAnsi="Times New Roman" w:cs="Times New Roman" w:eastAsiaTheme="minorEastAsia"/>
              <w:snapToGrid w:val="0"/>
              <w:color w:val="auto"/>
              <w:kern w:val="2"/>
              <w:sz w:val="30"/>
              <w:szCs w:val="30"/>
              <w:highlight w:val="none"/>
              <w:lang w:val="en-US" w:eastAsia="zh-CN" w:bidi="ar-SA"/>
            </w:rPr>
            <w:instrText xml:space="preserve"> HYPERLINK \l _Toc32345 </w:instrTex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第一节 优化城市协同发展格局</w:t>
          </w:r>
          <w:r>
            <w:rPr>
              <w:rFonts w:hint="default" w:ascii="Times New Roman" w:hAnsi="Times New Roman" w:cs="Times New Roman" w:eastAsiaTheme="minorEastAsia"/>
              <w:snapToGrid w:val="0"/>
              <w:color w:val="auto"/>
              <w:kern w:val="2"/>
              <w:sz w:val="30"/>
              <w:szCs w:val="30"/>
              <w:highlight w:val="none"/>
              <w:lang w:val="en-US" w:eastAsia="zh-CN" w:bidi="ar-SA"/>
            </w:rPr>
            <w:tab/>
          </w:r>
          <w:r>
            <w:rPr>
              <w:rFonts w:hint="default" w:ascii="Times New Roman" w:hAnsi="Times New Roman" w:cs="Times New Roman" w:eastAsiaTheme="minorEastAsia"/>
              <w:snapToGrid w:val="0"/>
              <w:color w:val="auto"/>
              <w:kern w:val="2"/>
              <w:sz w:val="30"/>
              <w:szCs w:val="30"/>
              <w:highlight w:val="none"/>
              <w:lang w:val="en-US" w:eastAsia="zh-CN" w:bidi="ar-SA"/>
            </w:rPr>
            <w:fldChar w:fldCharType="begin"/>
          </w:r>
          <w:r>
            <w:rPr>
              <w:rFonts w:hint="default" w:ascii="Times New Roman" w:hAnsi="Times New Roman" w:cs="Times New Roman" w:eastAsiaTheme="minorEastAsia"/>
              <w:snapToGrid w:val="0"/>
              <w:color w:val="auto"/>
              <w:kern w:val="2"/>
              <w:sz w:val="30"/>
              <w:szCs w:val="30"/>
              <w:highlight w:val="none"/>
              <w:lang w:val="en-US" w:eastAsia="zh-CN" w:bidi="ar-SA"/>
            </w:rPr>
            <w:instrText xml:space="preserve"> PAGEREF _Toc32345 \h </w:instrTex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separate"/>
          </w:r>
          <w:r>
            <w:rPr>
              <w:rFonts w:hint="default" w:ascii="Times New Roman" w:hAnsi="Times New Roman" w:cs="Times New Roman" w:eastAsiaTheme="minorEastAsia"/>
              <w:snapToGrid w:val="0"/>
              <w:color w:val="auto"/>
              <w:kern w:val="2"/>
              <w:sz w:val="30"/>
              <w:szCs w:val="30"/>
              <w:highlight w:val="none"/>
              <w:lang w:val="en-US" w:eastAsia="zh-CN" w:bidi="ar-SA"/>
            </w:rPr>
            <w:t>59</w: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end"/>
          </w:r>
          <w:r>
            <w:rPr>
              <w:rFonts w:hint="default" w:ascii="Times New Roman" w:hAnsi="Times New Roman" w:cs="Times New Roman" w:eastAsiaTheme="minorEastAsia"/>
              <w:snapToGrid w:val="0"/>
              <w:color w:val="auto"/>
              <w:kern w:val="2"/>
              <w:sz w:val="30"/>
              <w:szCs w:val="30"/>
              <w:highlight w:val="none"/>
              <w:lang w:val="en-US" w:eastAsia="zh-CN" w:bidi="ar-SA"/>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eastAsiaTheme="minorEastAsia"/>
              <w:snapToGrid w:val="0"/>
              <w:color w:val="auto"/>
              <w:kern w:val="2"/>
              <w:sz w:val="30"/>
              <w:szCs w:val="30"/>
              <w:highlight w:val="none"/>
              <w:lang w:val="en-US" w:eastAsia="zh-CN" w:bidi="ar-SA"/>
            </w:rPr>
          </w:pPr>
          <w:r>
            <w:rPr>
              <w:rFonts w:hint="default" w:ascii="Times New Roman" w:hAnsi="Times New Roman" w:cs="Times New Roman" w:eastAsiaTheme="minorEastAsia"/>
              <w:snapToGrid w:val="0"/>
              <w:color w:val="auto"/>
              <w:kern w:val="2"/>
              <w:sz w:val="30"/>
              <w:szCs w:val="30"/>
              <w:highlight w:val="none"/>
              <w:lang w:val="en-US" w:eastAsia="zh-CN" w:bidi="ar-SA"/>
            </w:rPr>
            <w:fldChar w:fldCharType="begin"/>
          </w:r>
          <w:r>
            <w:rPr>
              <w:rFonts w:hint="default" w:ascii="Times New Roman" w:hAnsi="Times New Roman" w:cs="Times New Roman" w:eastAsiaTheme="minorEastAsia"/>
              <w:snapToGrid w:val="0"/>
              <w:color w:val="auto"/>
              <w:kern w:val="2"/>
              <w:sz w:val="30"/>
              <w:szCs w:val="30"/>
              <w:highlight w:val="none"/>
              <w:lang w:val="en-US" w:eastAsia="zh-CN" w:bidi="ar-SA"/>
            </w:rPr>
            <w:instrText xml:space="preserve"> HYPERLINK \l _Toc3850 </w:instrTex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第二节 提高精致城市建设水平</w:t>
          </w:r>
          <w:r>
            <w:rPr>
              <w:rFonts w:hint="default" w:ascii="Times New Roman" w:hAnsi="Times New Roman" w:cs="Times New Roman" w:eastAsiaTheme="minorEastAsia"/>
              <w:snapToGrid w:val="0"/>
              <w:color w:val="auto"/>
              <w:kern w:val="2"/>
              <w:sz w:val="30"/>
              <w:szCs w:val="30"/>
              <w:highlight w:val="none"/>
              <w:lang w:val="en-US" w:eastAsia="zh-CN" w:bidi="ar-SA"/>
            </w:rPr>
            <w:tab/>
          </w:r>
          <w:r>
            <w:rPr>
              <w:rFonts w:hint="default" w:ascii="Times New Roman" w:hAnsi="Times New Roman" w:cs="Times New Roman" w:eastAsiaTheme="minorEastAsia"/>
              <w:snapToGrid w:val="0"/>
              <w:color w:val="auto"/>
              <w:kern w:val="2"/>
              <w:sz w:val="30"/>
              <w:szCs w:val="30"/>
              <w:highlight w:val="none"/>
              <w:lang w:val="en-US" w:eastAsia="zh-CN" w:bidi="ar-SA"/>
            </w:rPr>
            <w:fldChar w:fldCharType="begin"/>
          </w:r>
          <w:r>
            <w:rPr>
              <w:rFonts w:hint="default" w:ascii="Times New Roman" w:hAnsi="Times New Roman" w:cs="Times New Roman" w:eastAsiaTheme="minorEastAsia"/>
              <w:snapToGrid w:val="0"/>
              <w:color w:val="auto"/>
              <w:kern w:val="2"/>
              <w:sz w:val="30"/>
              <w:szCs w:val="30"/>
              <w:highlight w:val="none"/>
              <w:lang w:val="en-US" w:eastAsia="zh-CN" w:bidi="ar-SA"/>
            </w:rPr>
            <w:instrText xml:space="preserve"> PAGEREF _Toc3850 \h </w:instrTex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separate"/>
          </w:r>
          <w:r>
            <w:rPr>
              <w:rFonts w:hint="default" w:ascii="Times New Roman" w:hAnsi="Times New Roman" w:cs="Times New Roman" w:eastAsiaTheme="minorEastAsia"/>
              <w:snapToGrid w:val="0"/>
              <w:color w:val="auto"/>
              <w:kern w:val="2"/>
              <w:sz w:val="30"/>
              <w:szCs w:val="30"/>
              <w:highlight w:val="none"/>
              <w:lang w:val="en-US" w:eastAsia="zh-CN" w:bidi="ar-SA"/>
            </w:rPr>
            <w:t>60</w: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end"/>
          </w:r>
          <w:r>
            <w:rPr>
              <w:rFonts w:hint="default" w:ascii="Times New Roman" w:hAnsi="Times New Roman" w:cs="Times New Roman" w:eastAsiaTheme="minorEastAsia"/>
              <w:snapToGrid w:val="0"/>
              <w:color w:val="auto"/>
              <w:kern w:val="2"/>
              <w:sz w:val="30"/>
              <w:szCs w:val="30"/>
              <w:highlight w:val="none"/>
              <w:lang w:val="en-US" w:eastAsia="zh-CN" w:bidi="ar-SA"/>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eastAsiaTheme="minorEastAsia"/>
              <w:snapToGrid w:val="0"/>
              <w:color w:val="auto"/>
              <w:kern w:val="2"/>
              <w:sz w:val="30"/>
              <w:szCs w:val="30"/>
              <w:highlight w:val="none"/>
              <w:lang w:val="en-US" w:eastAsia="zh-CN" w:bidi="ar-SA"/>
            </w:rPr>
            <w:fldChar w:fldCharType="begin"/>
          </w:r>
          <w:r>
            <w:rPr>
              <w:rFonts w:hint="default" w:ascii="Times New Roman" w:hAnsi="Times New Roman" w:cs="Times New Roman" w:eastAsiaTheme="minorEastAsia"/>
              <w:snapToGrid w:val="0"/>
              <w:color w:val="auto"/>
              <w:kern w:val="2"/>
              <w:sz w:val="30"/>
              <w:szCs w:val="30"/>
              <w:highlight w:val="none"/>
              <w:lang w:val="en-US" w:eastAsia="zh-CN" w:bidi="ar-SA"/>
            </w:rPr>
            <w:instrText xml:space="preserve"> HYPERLINK \l _Toc19739 </w:instrTex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第三节 推进特色小城镇建设</w:t>
          </w:r>
          <w:r>
            <w:rPr>
              <w:rFonts w:hint="default" w:ascii="Times New Roman" w:hAnsi="Times New Roman" w:cs="Times New Roman" w:eastAsiaTheme="minorEastAsia"/>
              <w:snapToGrid w:val="0"/>
              <w:color w:val="auto"/>
              <w:kern w:val="2"/>
              <w:sz w:val="30"/>
              <w:szCs w:val="30"/>
              <w:highlight w:val="none"/>
              <w:lang w:val="en-US" w:eastAsia="zh-CN" w:bidi="ar-SA"/>
            </w:rPr>
            <w:tab/>
          </w:r>
          <w:r>
            <w:rPr>
              <w:rFonts w:hint="default" w:ascii="Times New Roman" w:hAnsi="Times New Roman" w:cs="Times New Roman" w:eastAsiaTheme="minorEastAsia"/>
              <w:snapToGrid w:val="0"/>
              <w:color w:val="auto"/>
              <w:kern w:val="2"/>
              <w:sz w:val="30"/>
              <w:szCs w:val="30"/>
              <w:highlight w:val="none"/>
              <w:lang w:val="en-US" w:eastAsia="zh-CN" w:bidi="ar-SA"/>
            </w:rPr>
            <w:fldChar w:fldCharType="begin"/>
          </w:r>
          <w:r>
            <w:rPr>
              <w:rFonts w:hint="default" w:ascii="Times New Roman" w:hAnsi="Times New Roman" w:cs="Times New Roman" w:eastAsiaTheme="minorEastAsia"/>
              <w:snapToGrid w:val="0"/>
              <w:color w:val="auto"/>
              <w:kern w:val="2"/>
              <w:sz w:val="30"/>
              <w:szCs w:val="30"/>
              <w:highlight w:val="none"/>
              <w:lang w:val="en-US" w:eastAsia="zh-CN" w:bidi="ar-SA"/>
            </w:rPr>
            <w:instrText xml:space="preserve"> PAGEREF _Toc19739 \h </w:instrTex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separate"/>
          </w:r>
          <w:r>
            <w:rPr>
              <w:rFonts w:hint="default" w:ascii="Times New Roman" w:hAnsi="Times New Roman" w:cs="Times New Roman" w:eastAsiaTheme="minorEastAsia"/>
              <w:snapToGrid w:val="0"/>
              <w:color w:val="auto"/>
              <w:kern w:val="2"/>
              <w:sz w:val="30"/>
              <w:szCs w:val="30"/>
              <w:highlight w:val="none"/>
              <w:lang w:val="en-US" w:eastAsia="zh-CN" w:bidi="ar-SA"/>
            </w:rPr>
            <w:t>62</w:t>
          </w:r>
          <w:r>
            <w:rPr>
              <w:rFonts w:hint="default" w:ascii="Times New Roman" w:hAnsi="Times New Roman" w:cs="Times New Roman" w:eastAsiaTheme="minorEastAsia"/>
              <w:snapToGrid w:val="0"/>
              <w:color w:val="auto"/>
              <w:kern w:val="2"/>
              <w:sz w:val="30"/>
              <w:szCs w:val="30"/>
              <w:highlight w:val="none"/>
              <w:lang w:val="en-US" w:eastAsia="zh-CN" w:bidi="ar-SA"/>
            </w:rPr>
            <w:fldChar w:fldCharType="end"/>
          </w:r>
          <w:r>
            <w:rPr>
              <w:rFonts w:hint="default" w:ascii="Times New Roman" w:hAnsi="Times New Roman" w:cs="Times New Roman" w:eastAsiaTheme="minorEastAsia"/>
              <w:snapToGrid w:val="0"/>
              <w:color w:val="auto"/>
              <w:kern w:val="2"/>
              <w:sz w:val="30"/>
              <w:szCs w:val="30"/>
              <w:highlight w:val="none"/>
              <w:lang w:val="en-US" w:eastAsia="zh-CN" w:bidi="ar-SA"/>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_Toc1765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第九章 开拓向海发展格局，建设现代化海洋强市</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_Toc1765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65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_Toc28738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第一节 促进海洋产业精深发展</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_Toc28738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65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_Toc22512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统筹港产城一体联动发展</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_Toc22512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68</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_Toc15816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建设人海和谐美丽海洋</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_Toc15816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70</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_Toc23814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第十章 强化生态文明示范，建设山海相依“美丽乳山”</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_Toc23814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72</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_Toc22185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积极稳妥推进碳达峰</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_Toc22185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72</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_Toc18077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加强生态系统保护修复</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_Toc18077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_Toc30556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持续加大环境监管力度</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_Toc30556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77</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lang w:val="en-US" w:eastAsia="zh-CN"/>
            </w:rPr>
            <w:sectPr>
              <w:footerReference r:id="rId7" w:type="default"/>
              <w:footerReference r:id="rId8" w:type="even"/>
              <w:pgSz w:w="11906" w:h="16838"/>
              <w:pgMar w:top="2098" w:right="1531" w:bottom="1984" w:left="1531" w:header="851" w:footer="1531" w:gutter="0"/>
              <w:pgNumType w:fmt="decimal"/>
              <w:cols w:space="0" w:num="1"/>
              <w:rtlGutter w:val="0"/>
              <w:docGrid w:type="lines" w:linePitch="312" w:charSpace="0"/>
            </w:sectPr>
          </w:pP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_Toc23996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第十一章 传承创新优秀文化，大力繁荣文化事业</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_Toc23996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79</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_Toc4470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筑牢意识形态核心堡垒</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_Toc4470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79</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_Toc4007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推动文旅产业融合发展</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_Toc4007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81</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_Toc7973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提升公共文化服务能力</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_Toc7973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83</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_Toc4072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第十二章 持续增进民生福祉，扎实推进共同富裕先行区建设</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_Toc4072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85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_Toc26518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第一节 全力提高就业水平质量</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_Toc26518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86</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4"/>
            <w:keepNext w:val="0"/>
            <w:keepLines w:val="0"/>
            <w:pageBreakBefore w:val="0"/>
            <w:widowControl w:val="0"/>
            <w:tabs>
              <w:tab w:val="right" w:leader="dot" w:pos="8844"/>
            </w:tabs>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_Toc2973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kern w:val="2"/>
              <w:sz w:val="30"/>
              <w:szCs w:val="30"/>
              <w:highlight w:val="none"/>
              <w:lang w:val="en-US" w:eastAsia="zh-CN" w:bidi="ar-SA"/>
            </w:rPr>
            <w:t>第二节 办好人民满意的教育</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_Toc2973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87</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_Toc25481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推动健康幸福乳山建设</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_Toc25481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89</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_Toc48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第四节 促进人口结构健康发展</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_Toc48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91</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_Toc11176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第五节 健全完善社会保障体系</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_Toc11176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93</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_Toc6378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第十三章 统筹发展和安全，筑牢高质量发展屏障</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_Toc6378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95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_Toc26194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强化重点领域安全保障</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_Toc26194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95</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_Toc20991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加强应急保障能力建设</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_Toc20991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97</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_Toc6393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持续提升社会治理能力</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_Toc6393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99</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_Toc21756 </w:instrText>
          </w:r>
          <w:r>
            <w:rPr>
              <w:rFonts w:hint="default" w:ascii="Times New Roman" w:hAnsi="Times New Roman" w:cs="Times New Roman"/>
              <w:color w:val="auto"/>
              <w:sz w:val="30"/>
              <w:szCs w:val="30"/>
              <w:highlight w:val="none"/>
              <w:lang w:val="en-US" w:eastAsia="zh-CN"/>
            </w:rPr>
            <w:fldChar w:fldCharType="separate"/>
          </w:r>
          <w:r>
            <w:rPr>
              <w:rFonts w:hint="default" w:ascii="Times New Roman" w:hAnsi="Times New Roman" w:eastAsia="黑体" w:cs="Times New Roman"/>
              <w:bCs w:val="0"/>
              <w:color w:val="auto"/>
              <w:sz w:val="30"/>
              <w:szCs w:val="30"/>
              <w:highlight w:val="none"/>
              <w:lang w:val="en-US" w:eastAsia="zh-CN"/>
            </w:rPr>
            <w:t>第十四章 强化规划实施保障，推动宏伟蓝图落地实现</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_Toc21756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100</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_Toc8522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第一节 坚持和加强党的全面领导</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_Toc8522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100</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_Toc25036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第二节 健全规划实施保障机制</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_Toc25036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101</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pStyle w:val="13"/>
            <w:keepNext w:val="0"/>
            <w:keepLines w:val="0"/>
            <w:pageBreakBefore w:val="0"/>
            <w:widowControl w:val="0"/>
            <w:tabs>
              <w:tab w:val="right" w:leader="dot" w:pos="8844"/>
            </w:tabs>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lang w:val="en-US" w:eastAsia="zh-CN"/>
            </w:rPr>
            <w:fldChar w:fldCharType="begin"/>
          </w:r>
          <w:r>
            <w:rPr>
              <w:rFonts w:hint="default" w:ascii="Times New Roman" w:hAnsi="Times New Roman" w:cs="Times New Roman"/>
              <w:color w:val="auto"/>
              <w:sz w:val="30"/>
              <w:szCs w:val="30"/>
              <w:highlight w:val="none"/>
              <w:lang w:val="en-US" w:eastAsia="zh-CN"/>
            </w:rPr>
            <w:instrText xml:space="preserve"> HYPERLINK \l _Toc31923 </w:instrText>
          </w:r>
          <w:r>
            <w:rPr>
              <w:rFonts w:hint="default" w:ascii="Times New Roman" w:hAnsi="Times New Roman" w:cs="Times New Roman"/>
              <w:color w:val="auto"/>
              <w:sz w:val="30"/>
              <w:szCs w:val="30"/>
              <w:highlight w:val="none"/>
              <w:lang w:val="en-US" w:eastAsia="zh-CN"/>
            </w:rPr>
            <w:fldChar w:fldCharType="separate"/>
          </w:r>
          <w:r>
            <w:rPr>
              <w:rFonts w:hint="default" w:ascii="仿宋_GB2312" w:hAnsi="仿宋_GB2312" w:eastAsia="仿宋_GB2312" w:cs="仿宋_GB2312"/>
              <w:snapToGrid w:val="0"/>
              <w:color w:val="auto"/>
              <w:sz w:val="30"/>
              <w:szCs w:val="30"/>
              <w:highlight w:val="none"/>
              <w:lang w:val="en-US" w:eastAsia="zh-CN"/>
            </w:rPr>
            <w:t>第三节 加强规划实施监督评估</w:t>
          </w:r>
          <w:r>
            <w:rPr>
              <w:rFonts w:hint="default" w:ascii="Times New Roman" w:hAnsi="Times New Roman" w:cs="Times New Roman"/>
              <w:color w:val="auto"/>
              <w:sz w:val="30"/>
              <w:szCs w:val="30"/>
              <w:highlight w:val="none"/>
            </w:rPr>
            <w:tab/>
          </w:r>
          <w:r>
            <w:rPr>
              <w:rFonts w:hint="default" w:ascii="Times New Roman" w:hAnsi="Times New Roman" w:cs="Times New Roman"/>
              <w:color w:val="auto"/>
              <w:sz w:val="30"/>
              <w:szCs w:val="30"/>
              <w:highlight w:val="none"/>
            </w:rPr>
            <w:fldChar w:fldCharType="begin"/>
          </w:r>
          <w:r>
            <w:rPr>
              <w:rFonts w:hint="default" w:ascii="Times New Roman" w:hAnsi="Times New Roman" w:cs="Times New Roman"/>
              <w:color w:val="auto"/>
              <w:sz w:val="30"/>
              <w:szCs w:val="30"/>
              <w:highlight w:val="none"/>
            </w:rPr>
            <w:instrText xml:space="preserve"> PAGEREF _Toc31923 \h </w:instrText>
          </w:r>
          <w:r>
            <w:rPr>
              <w:rFonts w:hint="default" w:ascii="Times New Roman" w:hAnsi="Times New Roman" w:cs="Times New Roman"/>
              <w:color w:val="auto"/>
              <w:sz w:val="30"/>
              <w:szCs w:val="30"/>
              <w:highlight w:val="none"/>
            </w:rPr>
            <w:fldChar w:fldCharType="separate"/>
          </w:r>
          <w:r>
            <w:rPr>
              <w:rFonts w:hint="default" w:ascii="Times New Roman" w:hAnsi="Times New Roman" w:cs="Times New Roman"/>
              <w:color w:val="auto"/>
              <w:sz w:val="30"/>
              <w:szCs w:val="30"/>
              <w:highlight w:val="none"/>
            </w:rPr>
            <w:t>102</w:t>
          </w:r>
          <w:r>
            <w:rPr>
              <w:rFonts w:hint="default" w:ascii="Times New Roman" w:hAnsi="Times New Roman" w:cs="Times New Roman"/>
              <w:color w:val="auto"/>
              <w:sz w:val="30"/>
              <w:szCs w:val="30"/>
              <w:highlight w:val="none"/>
            </w:rPr>
            <w:fldChar w:fldCharType="end"/>
          </w:r>
          <w:r>
            <w:rPr>
              <w:rFonts w:hint="default" w:ascii="Times New Roman" w:hAnsi="Times New Roman" w:cs="Times New Roman"/>
              <w:color w:val="auto"/>
              <w:sz w:val="30"/>
              <w:szCs w:val="30"/>
              <w:highlight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color w:val="auto"/>
              <w:sz w:val="30"/>
              <w:szCs w:val="30"/>
              <w:highlight w:val="none"/>
              <w:lang w:val="en-US" w:eastAsia="zh-CN"/>
            </w:rPr>
            <w:fldChar w:fldCharType="end"/>
          </w:r>
        </w:p>
      </w:sdtContent>
    </w:sdt>
    <w:p>
      <w:pPr>
        <w:rPr>
          <w:rFonts w:hint="default" w:ascii="Times New Roman" w:hAnsi="Times New Roman" w:cs="Times New Roman" w:eastAsiaTheme="minorEastAsia"/>
          <w:color w:val="auto"/>
          <w:kern w:val="2"/>
          <w:sz w:val="21"/>
          <w:szCs w:val="24"/>
          <w:highlight w:val="none"/>
          <w:lang w:val="en-US" w:eastAsia="zh-CN" w:bidi="ar-SA"/>
        </w:rPr>
        <w:sectPr>
          <w:footerReference r:id="rId9" w:type="default"/>
          <w:footerReference r:id="rId10" w:type="even"/>
          <w:pgSz w:w="11906" w:h="16838"/>
          <w:pgMar w:top="2098" w:right="1531" w:bottom="1984" w:left="1531" w:header="851" w:footer="1531" w:gutter="0"/>
          <w:pgNumType w:fmt="decimal"/>
          <w:cols w:space="0" w:num="1"/>
          <w:rtlGutter w:val="0"/>
          <w:docGrid w:type="lines" w:linePitch="312" w:charSpace="0"/>
        </w:sectPr>
      </w:pPr>
    </w:p>
    <w:p>
      <w:pPr>
        <w:keepNext/>
        <w:keepLines/>
        <w:pageBreakBefore w:val="0"/>
        <w:widowControl w:val="0"/>
        <w:kinsoku/>
        <w:wordWrap/>
        <w:overflowPunct/>
        <w:topLinePunct w:val="0"/>
        <w:autoSpaceDE/>
        <w:autoSpaceDN/>
        <w:bidi w:val="0"/>
        <w:adjustRightInd/>
        <w:snapToGrid/>
        <w:spacing w:before="340" w:after="330" w:line="570" w:lineRule="exact"/>
        <w:ind w:firstLine="640" w:firstLineChars="200"/>
        <w:jc w:val="both"/>
        <w:textAlignment w:val="auto"/>
        <w:outlineLvl w:val="9"/>
        <w:rPr>
          <w:rFonts w:hint="default" w:ascii="Times New Roman" w:hAnsi="Times New Roman" w:eastAsia="仿宋_GB2312" w:cs="Times New Roman"/>
          <w:color w:val="auto"/>
          <w:spacing w:val="0"/>
          <w:sz w:val="32"/>
          <w:szCs w:val="32"/>
          <w:highlight w:val="none"/>
          <w:lang w:val="en-US" w:eastAsia="zh-CN"/>
        </w:rPr>
      </w:pPr>
      <w:bookmarkStart w:id="0" w:name="_Toc4207"/>
      <w:bookmarkStart w:id="1" w:name="_Toc10379"/>
      <w:bookmarkStart w:id="2" w:name="_Toc18823"/>
      <w:bookmarkStart w:id="3" w:name="_Toc3135"/>
      <w:bookmarkStart w:id="4" w:name="_Toc2860"/>
      <w:bookmarkStart w:id="5" w:name="_Toc5378"/>
      <w:r>
        <w:rPr>
          <w:rFonts w:hint="default" w:ascii="Times New Roman" w:hAnsi="Times New Roman" w:eastAsia="仿宋_GB2312" w:cs="Times New Roman"/>
          <w:color w:val="auto"/>
          <w:spacing w:val="0"/>
          <w:sz w:val="32"/>
          <w:szCs w:val="32"/>
          <w:highlight w:val="none"/>
          <w:lang w:val="en-US" w:eastAsia="zh-CN"/>
        </w:rPr>
        <w:t>乳山市国民经济和社会发展第十五个五年规划纲要，以习近平新时代中国特色社会主义思想为指导，深入贯彻党的二十届四中全会精神，依据《中共乳山市委关于制定乳山市国民经济和社会发展第十五个五年规划的建议》编制，主要阐明全市经济社会发展战略，明确政府工作要点，引导规范经营主体行为，是“十五五”时期现代化乳山建设的宏伟蓝图，是全市人民共同的行动纲领。</w:t>
      </w:r>
      <w:bookmarkEnd w:id="0"/>
      <w:bookmarkEnd w:id="1"/>
      <w:bookmarkEnd w:id="2"/>
      <w:bookmarkEnd w:id="3"/>
      <w:bookmarkEnd w:id="4"/>
      <w:bookmarkEnd w:id="5"/>
      <w:bookmarkStart w:id="6" w:name="_Toc28863"/>
      <w:bookmarkStart w:id="7" w:name="_Toc18857"/>
      <w:bookmarkStart w:id="8" w:name="_Toc235"/>
      <w:bookmarkStart w:id="9" w:name="_Toc19559"/>
      <w:bookmarkStart w:id="10" w:name="_Toc7550"/>
      <w:bookmarkStart w:id="11" w:name="_Toc30998"/>
    </w:p>
    <w:p>
      <w:pPr>
        <w:keepNext/>
        <w:keepLines/>
        <w:pageBreakBefore w:val="0"/>
        <w:widowControl w:val="0"/>
        <w:kinsoku/>
        <w:wordWrap/>
        <w:overflowPunct/>
        <w:topLinePunct w:val="0"/>
        <w:autoSpaceDE/>
        <w:autoSpaceDN/>
        <w:bidi w:val="0"/>
        <w:adjustRightInd/>
        <w:snapToGrid/>
        <w:spacing w:line="240" w:lineRule="exact"/>
        <w:ind w:firstLine="640" w:firstLineChars="200"/>
        <w:jc w:val="both"/>
        <w:textAlignment w:val="auto"/>
        <w:outlineLvl w:val="9"/>
        <w:rPr>
          <w:rFonts w:hint="default" w:ascii="Times New Roman" w:hAnsi="Times New Roman" w:eastAsia="仿宋_GB2312" w:cs="Times New Roman"/>
          <w:color w:val="auto"/>
          <w:spacing w:val="0"/>
          <w:sz w:val="32"/>
          <w:szCs w:val="32"/>
          <w:highlight w:val="none"/>
          <w:lang w:val="en-US" w:eastAsia="zh-CN"/>
        </w:rPr>
      </w:pPr>
    </w:p>
    <w:p>
      <w:pPr>
        <w:keepNext/>
        <w:keepLines/>
        <w:pageBreakBefore w:val="0"/>
        <w:widowControl w:val="0"/>
        <w:kinsoku/>
        <w:wordWrap/>
        <w:overflowPunct/>
        <w:topLinePunct w:val="0"/>
        <w:autoSpaceDE/>
        <w:autoSpaceDN/>
        <w:bidi w:val="0"/>
        <w:adjustRightInd/>
        <w:snapToGrid/>
        <w:spacing w:before="340" w:after="330" w:line="57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第一章 砥砺奋进，新时代美好乳山建设实现新突破</w:t>
      </w:r>
      <w:bookmarkEnd w:id="6"/>
      <w:bookmarkEnd w:id="7"/>
      <w:bookmarkEnd w:id="8"/>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“十四五”时期，在以习近平同志为核心的党中央坚强领导下，市委、市政府</w:t>
      </w:r>
      <w:r>
        <w:rPr>
          <w:rFonts w:hint="default" w:ascii="Times New Roman" w:hAnsi="Times New Roman" w:eastAsia="仿宋_GB2312" w:cs="Times New Roman"/>
          <w:color w:val="auto"/>
          <w:spacing w:val="0"/>
          <w:sz w:val="32"/>
          <w:szCs w:val="32"/>
          <w:highlight w:val="none"/>
          <w:lang w:val="en-US" w:eastAsia="zh-CN"/>
        </w:rPr>
        <w:t>始终坚持</w:t>
      </w:r>
      <w:r>
        <w:rPr>
          <w:rFonts w:hint="default" w:ascii="Times New Roman" w:hAnsi="Times New Roman" w:eastAsia="仿宋_GB2312" w:cs="Times New Roman"/>
          <w:color w:val="auto"/>
          <w:spacing w:val="0"/>
          <w:sz w:val="32"/>
          <w:szCs w:val="32"/>
          <w:highlight w:val="none"/>
        </w:rPr>
        <w:t>以习近平新时代中国特色社会主义思想为</w:t>
      </w:r>
      <w:r>
        <w:rPr>
          <w:rFonts w:hint="default" w:ascii="Times New Roman" w:hAnsi="Times New Roman" w:eastAsia="仿宋_GB2312" w:cs="Times New Roman"/>
          <w:color w:val="auto"/>
          <w:spacing w:val="0"/>
          <w:sz w:val="32"/>
          <w:szCs w:val="32"/>
          <w:highlight w:val="none"/>
          <w:lang w:val="en-US" w:eastAsia="zh-CN"/>
        </w:rPr>
        <w:t>指导</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全面贯彻党的二十大和二十届二中、三中、四中全会精神，深入落实习近平总书记视察山东重要讲话精神和对山东工作的重要指示批示要求，始终牢记“威海要向精致城市发展”总目标总方向总遵循，</w:t>
      </w:r>
      <w:r>
        <w:rPr>
          <w:rFonts w:hint="default" w:ascii="Times New Roman" w:hAnsi="Times New Roman" w:eastAsia="仿宋_GB2312" w:cs="Times New Roman"/>
          <w:color w:val="auto"/>
          <w:spacing w:val="0"/>
          <w:sz w:val="32"/>
          <w:szCs w:val="32"/>
          <w:highlight w:val="none"/>
        </w:rPr>
        <w:t>团结带领</w:t>
      </w:r>
      <w:r>
        <w:rPr>
          <w:rFonts w:hint="default" w:ascii="Times New Roman" w:hAnsi="Times New Roman" w:eastAsia="仿宋_GB2312" w:cs="Times New Roman"/>
          <w:color w:val="auto"/>
          <w:spacing w:val="0"/>
          <w:sz w:val="32"/>
          <w:szCs w:val="32"/>
          <w:highlight w:val="none"/>
          <w:lang w:val="en-US" w:eastAsia="zh-CN"/>
        </w:rPr>
        <w:t>全市</w:t>
      </w:r>
      <w:r>
        <w:rPr>
          <w:rFonts w:hint="default" w:ascii="Times New Roman" w:hAnsi="Times New Roman" w:eastAsia="仿宋_GB2312" w:cs="Times New Roman"/>
          <w:color w:val="auto"/>
          <w:spacing w:val="0"/>
          <w:sz w:val="32"/>
          <w:szCs w:val="32"/>
          <w:highlight w:val="none"/>
        </w:rPr>
        <w:t>人民</w:t>
      </w:r>
      <w:r>
        <w:rPr>
          <w:rFonts w:hint="default" w:ascii="Times New Roman" w:hAnsi="Times New Roman" w:eastAsia="仿宋_GB2312" w:cs="Times New Roman"/>
          <w:color w:val="auto"/>
          <w:spacing w:val="0"/>
          <w:sz w:val="32"/>
          <w:szCs w:val="32"/>
          <w:highlight w:val="none"/>
          <w:lang w:val="en-US" w:eastAsia="zh-CN"/>
        </w:rPr>
        <w:t>凝心聚力、真抓实干，加快突破、跨越赶超，</w:t>
      </w:r>
      <w:r>
        <w:rPr>
          <w:rFonts w:hint="default" w:ascii="Times New Roman" w:hAnsi="Times New Roman" w:eastAsia="仿宋_GB2312" w:cs="Times New Roman"/>
          <w:color w:val="auto"/>
          <w:spacing w:val="0"/>
          <w:sz w:val="32"/>
          <w:szCs w:val="32"/>
          <w:highlight w:val="none"/>
          <w:lang w:eastAsia="zh-CN"/>
        </w:rPr>
        <w:t>奋力建设“发展成色更足、开放水平更高、治理成效更好、生态环境更优”的现代化美好乳山，</w:t>
      </w:r>
      <w:r>
        <w:rPr>
          <w:rFonts w:hint="default" w:ascii="Times New Roman" w:hAnsi="Times New Roman" w:eastAsia="仿宋_GB2312" w:cs="Times New Roman"/>
          <w:color w:val="auto"/>
          <w:spacing w:val="0"/>
          <w:sz w:val="32"/>
          <w:szCs w:val="32"/>
          <w:highlight w:val="none"/>
          <w:lang w:val="en-US" w:eastAsia="zh-CN"/>
        </w:rPr>
        <w:t>“十四五”主要目标任务基本完成，为“十五五”高质量发展、加速迈向社会主义现代化提供了坚实支撑。</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p>
    <w:p>
      <w:pPr>
        <w:pStyle w:val="3"/>
        <w:keepNext w:val="0"/>
        <w:keepLines w:val="0"/>
        <w:pageBreakBefore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12" w:name="_Toc28703"/>
      <w:bookmarkStart w:id="13" w:name="_Toc12272"/>
      <w:bookmarkStart w:id="14" w:name="_Toc16338"/>
      <w:bookmarkStart w:id="15" w:name="_Toc6437"/>
      <w:bookmarkStart w:id="16" w:name="_Toc24612"/>
      <w:bookmarkStart w:id="17" w:name="_Toc389"/>
      <w:bookmarkStart w:id="18" w:name="_Toc2021"/>
      <w:bookmarkStart w:id="19" w:name="_Toc15637"/>
      <w:bookmarkStart w:id="20" w:name="_Toc28470"/>
      <w:r>
        <w:rPr>
          <w:rFonts w:hint="default" w:ascii="Times New Roman" w:hAnsi="Times New Roman" w:cs="Times New Roman"/>
          <w:snapToGrid w:val="0"/>
          <w:color w:val="auto"/>
          <w:sz w:val="32"/>
          <w:highlight w:val="none"/>
          <w:lang w:val="en-US" w:eastAsia="zh-CN"/>
        </w:rPr>
        <w:t>第一节 发展基础</w:t>
      </w:r>
      <w:bookmarkEnd w:id="12"/>
      <w:bookmarkEnd w:id="13"/>
      <w:bookmarkEnd w:id="14"/>
      <w:bookmarkEnd w:id="15"/>
      <w:bookmarkEnd w:id="16"/>
      <w:bookmarkEnd w:id="17"/>
      <w:bookmarkEnd w:id="18"/>
      <w:bookmarkEnd w:id="19"/>
      <w:bookmarkEnd w:id="20"/>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综合实力显著跃升</w:t>
      </w:r>
      <w:r>
        <w:rPr>
          <w:rFonts w:hint="default" w:ascii="Times New Roman" w:hAnsi="Times New Roman" w:eastAsia="楷体_GB2312" w:cs="Times New Roman"/>
          <w:b w:val="0"/>
          <w:bCs w:val="0"/>
          <w:color w:val="auto"/>
          <w:sz w:val="32"/>
          <w:szCs w:val="32"/>
          <w:highlight w:val="none"/>
        </w:rPr>
        <w:t>。</w:t>
      </w:r>
      <w:r>
        <w:rPr>
          <w:rFonts w:hint="default" w:ascii="Times New Roman" w:hAnsi="Times New Roman" w:eastAsia="仿宋_GB2312" w:cs="Times New Roman"/>
          <w:b w:val="0"/>
          <w:bCs w:val="0"/>
          <w:color w:val="auto"/>
          <w:kern w:val="0"/>
          <w:sz w:val="32"/>
          <w:szCs w:val="32"/>
          <w:highlight w:val="none"/>
        </w:rPr>
        <w:t>始终坚持大抓经济不动摇，</w:t>
      </w:r>
      <w:r>
        <w:rPr>
          <w:rFonts w:hint="default" w:ascii="Times New Roman" w:hAnsi="Times New Roman" w:eastAsia="仿宋_GB2312" w:cs="Times New Roman"/>
          <w:b w:val="0"/>
          <w:bCs w:val="0"/>
          <w:color w:val="auto"/>
          <w:kern w:val="0"/>
          <w:sz w:val="32"/>
          <w:szCs w:val="32"/>
          <w:highlight w:val="none"/>
          <w:lang w:val="en-US" w:eastAsia="zh-CN"/>
        </w:rPr>
        <w:t>全</w:t>
      </w:r>
      <w:r>
        <w:rPr>
          <w:rFonts w:hint="default" w:ascii="Times New Roman" w:hAnsi="Times New Roman" w:eastAsia="仿宋_GB2312" w:cs="Times New Roman"/>
          <w:b w:val="0"/>
          <w:bCs w:val="0"/>
          <w:color w:val="auto"/>
          <w:kern w:val="0"/>
          <w:sz w:val="32"/>
          <w:szCs w:val="32"/>
          <w:highlight w:val="none"/>
        </w:rPr>
        <w:t>市经济保持稳健增长态势</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rPr>
        <w:t>获评“山东省</w:t>
      </w:r>
      <w:r>
        <w:rPr>
          <w:rFonts w:hint="default" w:ascii="Times New Roman" w:hAnsi="Times New Roman" w:eastAsia="仿宋_GB2312" w:cs="Times New Roman"/>
          <w:color w:val="auto"/>
          <w:kern w:val="0"/>
          <w:sz w:val="32"/>
          <w:szCs w:val="32"/>
          <w:highlight w:val="none"/>
          <w:lang w:val="en-US" w:eastAsia="zh-CN"/>
        </w:rPr>
        <w:t>县域经济高质量发展进步县</w:t>
      </w:r>
      <w:r>
        <w:rPr>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rPr>
        <w:t>。</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rPr>
        <w:t>十四五</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rPr>
        <w:t>期间，</w:t>
      </w:r>
      <w:r>
        <w:rPr>
          <w:rFonts w:hint="default" w:ascii="Times New Roman" w:hAnsi="Times New Roman" w:eastAsia="仿宋_GB2312" w:cs="Times New Roman"/>
          <w:b w:val="0"/>
          <w:bCs w:val="0"/>
          <w:color w:val="auto"/>
          <w:kern w:val="0"/>
          <w:sz w:val="32"/>
          <w:szCs w:val="32"/>
          <w:highlight w:val="none"/>
        </w:rPr>
        <w:t>全市</w:t>
      </w:r>
      <w:r>
        <w:rPr>
          <w:rFonts w:hint="default" w:ascii="Times New Roman" w:hAnsi="Times New Roman" w:eastAsia="仿宋_GB2312" w:cs="Times New Roman"/>
          <w:b w:val="0"/>
          <w:bCs w:val="0"/>
          <w:color w:val="auto"/>
          <w:kern w:val="0"/>
          <w:sz w:val="32"/>
          <w:szCs w:val="32"/>
          <w:highlight w:val="none"/>
          <w:lang w:val="en-US" w:eastAsia="zh-CN"/>
        </w:rPr>
        <w:t>地区</w:t>
      </w:r>
      <w:r>
        <w:rPr>
          <w:rFonts w:hint="default" w:ascii="Times New Roman" w:hAnsi="Times New Roman" w:eastAsia="仿宋_GB2312" w:cs="Times New Roman"/>
          <w:b w:val="0"/>
          <w:bCs w:val="0"/>
          <w:color w:val="auto"/>
          <w:kern w:val="0"/>
          <w:sz w:val="32"/>
          <w:szCs w:val="32"/>
          <w:highlight w:val="none"/>
        </w:rPr>
        <w:t>生产总值年均增长</w:t>
      </w:r>
      <w:r>
        <w:rPr>
          <w:rFonts w:hint="default" w:ascii="Times New Roman" w:hAnsi="Times New Roman" w:eastAsia="仿宋_GB2312" w:cs="Times New Roman"/>
          <w:b w:val="0"/>
          <w:bCs w:val="0"/>
          <w:color w:val="auto"/>
          <w:kern w:val="0"/>
          <w:sz w:val="32"/>
          <w:szCs w:val="32"/>
          <w:highlight w:val="none"/>
          <w:lang w:val="en-US" w:eastAsia="zh-CN"/>
        </w:rPr>
        <w:t>5.9</w:t>
      </w:r>
      <w:r>
        <w:rPr>
          <w:rFonts w:hint="default" w:ascii="Times New Roman" w:hAnsi="Times New Roman" w:eastAsia="仿宋_GB2312" w:cs="Times New Roman"/>
          <w:b w:val="0"/>
          <w:bCs w:val="0"/>
          <w:color w:val="auto"/>
          <w:kern w:val="0"/>
          <w:sz w:val="32"/>
          <w:szCs w:val="32"/>
          <w:highlight w:val="none"/>
        </w:rPr>
        <w:t>%</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rPr>
        <w:t>2025年底突破400亿元，三次产业结构由17.6:29.2:53.2调整为 16.9 :31.6: 51.5，在总量增长中结构更趋优化；</w:t>
      </w:r>
      <w:r>
        <w:rPr>
          <w:rFonts w:hint="default" w:ascii="Times New Roman" w:hAnsi="Times New Roman" w:eastAsia="仿宋_GB2312" w:cs="Times New Roman"/>
          <w:b w:val="0"/>
          <w:bCs w:val="0"/>
          <w:color w:val="auto"/>
          <w:kern w:val="0"/>
          <w:sz w:val="32"/>
          <w:szCs w:val="32"/>
          <w:highlight w:val="none"/>
          <w:lang w:eastAsia="zh-CN"/>
        </w:rPr>
        <w:t>规上</w:t>
      </w:r>
      <w:r>
        <w:rPr>
          <w:rFonts w:hint="default" w:ascii="Times New Roman" w:hAnsi="Times New Roman" w:eastAsia="仿宋_GB2312" w:cs="Times New Roman"/>
          <w:color w:val="auto"/>
          <w:sz w:val="32"/>
          <w:highlight w:val="none"/>
          <w:lang w:eastAsia="zh-CN"/>
        </w:rPr>
        <w:t>工业增加值年均增长</w:t>
      </w:r>
      <w:r>
        <w:rPr>
          <w:rFonts w:hint="default" w:ascii="Times New Roman" w:hAnsi="Times New Roman" w:eastAsia="仿宋_GB2312" w:cs="Times New Roman"/>
          <w:color w:val="auto"/>
          <w:sz w:val="32"/>
          <w:highlight w:val="none"/>
          <w:lang w:val="en-US" w:eastAsia="zh-CN"/>
        </w:rPr>
        <w:t>11.9%；</w:t>
      </w:r>
      <w:r>
        <w:rPr>
          <w:rFonts w:hint="default" w:ascii="Times New Roman" w:hAnsi="Times New Roman" w:eastAsia="仿宋_GB2312" w:cs="Times New Roman"/>
          <w:b w:val="0"/>
          <w:bCs w:val="0"/>
          <w:color w:val="auto"/>
          <w:kern w:val="0"/>
          <w:sz w:val="32"/>
          <w:szCs w:val="32"/>
          <w:highlight w:val="none"/>
          <w:lang w:val="en-US" w:eastAsia="zh-CN"/>
        </w:rPr>
        <w:t>服务业增加值年均增长6.3%；城镇和农村居民人均可支配收入分别达到5.5万元、2.8万元，分别增长29%和41%，经济发展的平衡性、包容性进一步增强。</w:t>
      </w:r>
      <w:r>
        <w:rPr>
          <w:rFonts w:hint="eastAsia" w:ascii="Times New Roman" w:hAnsi="Times New Roman" w:eastAsia="仿宋_GB2312" w:cs="Times New Roman"/>
          <w:b w:val="0"/>
          <w:bCs w:val="0"/>
          <w:color w:val="auto"/>
          <w:kern w:val="0"/>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产业发展量质齐升</w:t>
      </w:r>
      <w:r>
        <w:rPr>
          <w:rFonts w:hint="default" w:ascii="Times New Roman" w:hAnsi="Times New Roman" w:eastAsia="仿宋_GB2312" w:cs="Times New Roman"/>
          <w:b w:val="0"/>
          <w:bCs w:val="0"/>
          <w:color w:val="auto"/>
          <w:sz w:val="32"/>
          <w:szCs w:val="32"/>
          <w:highlight w:val="none"/>
          <w:lang w:val="en-US" w:eastAsia="zh-CN"/>
        </w:rPr>
        <w:t>。坚持“产业为王、工业优先”，大力实施工业企业培大育强“1234”计划，</w:t>
      </w:r>
      <w:r>
        <w:rPr>
          <w:rFonts w:hint="default" w:ascii="Times New Roman" w:hAnsi="Times New Roman" w:eastAsia="仿宋_GB2312" w:cs="Times New Roman"/>
          <w:b w:val="0"/>
          <w:color w:val="auto"/>
          <w:kern w:val="2"/>
          <w:sz w:val="32"/>
          <w:szCs w:val="32"/>
          <w:highlight w:val="none"/>
          <w:lang w:val="en-US" w:eastAsia="zh-CN" w:bidi="ar-SA"/>
        </w:rPr>
        <w:t>精准培育新能源高端装备制造、海工重型装备制造、金属冶炼及新材料等6条重点工业产业链，2025年规上工业企业达196家，营收过亿元企业达48家，全市</w:t>
      </w:r>
      <w:r>
        <w:rPr>
          <w:rFonts w:hint="default" w:ascii="Times New Roman" w:hAnsi="Times New Roman" w:eastAsia="仿宋_GB2312" w:cs="Times New Roman"/>
          <w:b w:val="0"/>
          <w:bCs w:val="0"/>
          <w:color w:val="auto"/>
          <w:sz w:val="32"/>
          <w:szCs w:val="32"/>
          <w:highlight w:val="none"/>
          <w:lang w:val="en-US" w:eastAsia="zh-CN"/>
        </w:rPr>
        <w:t>规上工业总产值达341亿元、总营收392亿元，较“十三五”末分别提高1.9倍、2.4倍，在威海七区市中实现赶超进位。强化重点企业培育，</w:t>
      </w:r>
      <w:r>
        <w:rPr>
          <w:rFonts w:hint="default" w:ascii="Times New Roman" w:hAnsi="Times New Roman" w:eastAsia="仿宋_GB2312" w:cs="Times New Roman"/>
          <w:b w:val="0"/>
          <w:color w:val="auto"/>
          <w:kern w:val="2"/>
          <w:sz w:val="32"/>
          <w:szCs w:val="32"/>
          <w:highlight w:val="none"/>
          <w:lang w:val="en-US" w:eastAsia="zh-CN" w:bidi="ar-SA"/>
        </w:rPr>
        <w:t>威海恒邦成为全市首家营收突破百亿企业，全市省级以上专精特新企业达到59家，其中5家企业获评国家专精特新“小巨人”企业，实现历史性突破。</w:t>
      </w:r>
      <w:r>
        <w:rPr>
          <w:rFonts w:hint="default" w:ascii="Times New Roman" w:hAnsi="Times New Roman" w:eastAsia="仿宋_GB2312" w:cs="Times New Roman"/>
          <w:b w:val="0"/>
          <w:bCs w:val="0"/>
          <w:color w:val="auto"/>
          <w:sz w:val="32"/>
          <w:szCs w:val="32"/>
          <w:highlight w:val="none"/>
          <w:lang w:val="en-US" w:eastAsia="zh-CN"/>
        </w:rPr>
        <w:t>新能源产业从无到有、加速崛起，有序推进风电、光伏、抽水蓄能等资源开发，半岛南U场址150万千瓦海上风电全容量并网，是国内单体容量最大平价海上风电项目，全市新能源和可再生能源装机超200万千瓦，占比达到99.3%。总投资200多亿元的明阳新能源、海力科技、远景能源等项目投产，初步形成集主机、塔筒、单桩、海缆等核心零部件生产及储能、实训、运维检测于一体的完整产业链条，海上风电高端装备产业集群入选“省战略性新兴产业集群”“省特色产业集群”和“省级现代海洋特色产业集聚区”，承办了全省能源绿色低碳高质量发展现场推进会，成功争创“全省能源绿色低碳转型试点县”，新能源发展经验入选“全省绿色低碳高质量发展典型案例”。前瞻布局低空经济、元宇宙、航空航天等新兴产业，积蓄发展新动能。</w:t>
      </w:r>
    </w:p>
    <w:p>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创新能力持续增强</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val="en-US" w:eastAsia="zh-CN"/>
        </w:rPr>
        <w:t>推动</w:t>
      </w:r>
      <w:r>
        <w:rPr>
          <w:rFonts w:hint="default" w:ascii="Times New Roman" w:hAnsi="Times New Roman" w:eastAsia="仿宋_GB2312" w:cs="Times New Roman"/>
          <w:color w:val="auto"/>
          <w:sz w:val="32"/>
          <w:szCs w:val="32"/>
          <w:highlight w:val="none"/>
        </w:rPr>
        <w:t>科技创新</w:t>
      </w:r>
      <w:r>
        <w:rPr>
          <w:rFonts w:hint="default" w:ascii="Times New Roman" w:hAnsi="Times New Roman" w:eastAsia="仿宋_GB2312" w:cs="Times New Roman"/>
          <w:color w:val="auto"/>
          <w:sz w:val="32"/>
          <w:szCs w:val="32"/>
          <w:highlight w:val="none"/>
          <w:lang w:val="en-US" w:eastAsia="zh-CN"/>
        </w:rPr>
        <w:t>与</w:t>
      </w:r>
      <w:r>
        <w:rPr>
          <w:rFonts w:hint="default" w:ascii="Times New Roman" w:hAnsi="Times New Roman" w:eastAsia="仿宋_GB2312" w:cs="Times New Roman"/>
          <w:color w:val="auto"/>
          <w:sz w:val="32"/>
          <w:szCs w:val="32"/>
          <w:highlight w:val="none"/>
        </w:rPr>
        <w:t>产业创新</w:t>
      </w:r>
      <w:r>
        <w:rPr>
          <w:rFonts w:hint="default" w:ascii="Times New Roman" w:hAnsi="Times New Roman" w:eastAsia="仿宋_GB2312" w:cs="Times New Roman"/>
          <w:color w:val="auto"/>
          <w:sz w:val="32"/>
          <w:szCs w:val="32"/>
          <w:highlight w:val="none"/>
          <w:lang w:val="en-US" w:eastAsia="zh-CN"/>
        </w:rPr>
        <w:t>深度融合</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全社会研发投入稳步提升，扎实推进</w:t>
      </w:r>
      <w:r>
        <w:rPr>
          <w:rFonts w:hint="default" w:ascii="Times New Roman" w:hAnsi="Times New Roman" w:eastAsia="仿宋_GB2312" w:cs="Times New Roman"/>
          <w:color w:val="auto"/>
          <w:sz w:val="32"/>
          <w:szCs w:val="32"/>
          <w:highlight w:val="none"/>
        </w:rPr>
        <w:t>企业培育、平台搭建、科技合作</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省</w:t>
      </w:r>
      <w:r>
        <w:rPr>
          <w:rFonts w:hint="default" w:ascii="Times New Roman" w:hAnsi="Times New Roman" w:eastAsia="仿宋_GB2312" w:cs="Times New Roman"/>
          <w:color w:val="auto"/>
          <w:sz w:val="32"/>
          <w:szCs w:val="32"/>
          <w:highlight w:val="none"/>
          <w:lang w:eastAsia="zh-CN"/>
        </w:rPr>
        <w:t>级</w:t>
      </w:r>
      <w:r>
        <w:rPr>
          <w:rFonts w:hint="default" w:ascii="Times New Roman" w:hAnsi="Times New Roman" w:eastAsia="仿宋_GB2312" w:cs="Times New Roman"/>
          <w:color w:val="auto"/>
          <w:sz w:val="32"/>
          <w:szCs w:val="32"/>
          <w:highlight w:val="none"/>
        </w:rPr>
        <w:t>工程研究中心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企业技术中心</w:t>
      </w:r>
      <w:r>
        <w:rPr>
          <w:rFonts w:hint="default" w:ascii="Times New Roman" w:hAnsi="Times New Roman" w:eastAsia="仿宋_GB2312" w:cs="Times New Roman"/>
          <w:color w:val="auto"/>
          <w:sz w:val="32"/>
          <w:szCs w:val="32"/>
          <w:highlight w:val="none"/>
          <w:lang w:eastAsia="zh-CN"/>
        </w:rPr>
        <w:t>，市级以上“一企一技术”研发中心、工业设计中心等各类创新平台达到</w:t>
      </w:r>
      <w:r>
        <w:rPr>
          <w:rFonts w:hint="default" w:ascii="Times New Roman" w:hAnsi="Times New Roman" w:eastAsia="仿宋_GB2312" w:cs="Times New Roman"/>
          <w:color w:val="auto"/>
          <w:sz w:val="32"/>
          <w:szCs w:val="32"/>
          <w:highlight w:val="none"/>
          <w:lang w:val="en-US" w:eastAsia="zh-CN"/>
        </w:rPr>
        <w:t>100余家</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 w:val="0"/>
          <w:bCs w:val="0"/>
          <w:color w:val="auto"/>
          <w:sz w:val="32"/>
          <w:szCs w:val="32"/>
          <w:highlight w:val="none"/>
          <w:lang w:val="en-US" w:eastAsia="zh-CN"/>
        </w:rPr>
        <w:t>高新技术企业突破80家、国家级科技型中小企业150余家。深化产学研合作，累计获评国家级人才项目12个、泰山产业领军人才项目4个，加大与哈尔滨工业大学、山东大学、齐鲁工业大学等20余所高校院所、科研机构对接交流，年均向企业推送高校可转化科研成果200余项。</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城乡融合发展加快推进</w:t>
      </w:r>
      <w:r>
        <w:rPr>
          <w:rFonts w:hint="default" w:ascii="Times New Roman" w:hAnsi="Times New Roman" w:eastAsia="仿宋_GB2312" w:cs="Times New Roman"/>
          <w:b w:val="0"/>
          <w:bCs w:val="0"/>
          <w:color w:val="auto"/>
          <w:sz w:val="32"/>
          <w:szCs w:val="32"/>
          <w:highlight w:val="none"/>
          <w:lang w:val="en-US" w:eastAsia="zh-CN"/>
        </w:rPr>
        <w:t>。坚持把精致理念融入城乡建设管理全过程，高标准推进城市更新，“十四五”期间累计改造老旧小区127个，新建改造城市道路47条，改造提升农村公路612公里，完成雨污分流58.5公里，新增城市绿地15.6万平方米，先后建成北斗湾体育公园、乐享运动体育公园等综合性公园和6处口袋公园，在全国率先实现跨区域核能供暖，中心城区、工业集聚区、旅游度假区实现5G和千兆网络全覆盖，莱荣高铁通车运行，我市迈入“高铁时代”，G228乳山口大桥顺利合龙，城乡公交一体化率达到100%，市民生活更加舒适便利，入选“全国四好农村路示范县”“以县城为重要载体的城镇化建设省级试点”。乡村振兴扎实推进，新建改造高标准农田12.8万亩，花生亩产突破790公斤、达到威海单产最高水平，粮食播种面积连续五年增长、产量稳定在23万吨以上，农村“三资”实现一网统管，成功争创“国家农村产权流转交易规范化试点”。积极培育牡蛎、苹果、大姜、茶叶、蓝莓等特色产业，全国名特优新农产品达到11个，国家地理标志证明商标达到25个，乳山牡蛎品牌价值达到193.85亿元，位居“国家地理标志牡蛎品牌价值”排行榜首位，获评“国家农业现代化示范区”“省现代农业强县”“省农业绿色发展先行县”。</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改革开放迸发活力</w:t>
      </w:r>
      <w:r>
        <w:rPr>
          <w:rFonts w:hint="default" w:ascii="Times New Roman" w:hAnsi="Times New Roman" w:eastAsia="仿宋_GB2312" w:cs="Times New Roman"/>
          <w:b w:val="0"/>
          <w:bCs w:val="0"/>
          <w:color w:val="auto"/>
          <w:sz w:val="32"/>
          <w:szCs w:val="32"/>
          <w:highlight w:val="none"/>
          <w:lang w:val="en-US" w:eastAsia="zh-CN"/>
        </w:rPr>
        <w:t>。深入实施“五争五提升”行动，争创国家级改革试点37个、省级改革试点152个。深入开展“高效办成一件事”提速提效行动，落实“跨省通办”“全省通办”改革，创新推出“乳山三宝”“牡蛎产销”等“一件事”服务场景，市场主体总量突破5.9万户。稳步推进对外开放，乳山港一类开放口岸通过验收，港口货物吞吐量增长60%，豪迈重装2500吨乙二醇海上油气模块从乳山港运往土耳其，刷新了威海海运单体货物重量的历史记录。外贸进出口总额由63.5亿元提高到90.7亿元、增长42.8%，实际利用外资由2892万美元增加到9072万美元、提高了两倍，年均增长25.7%。沃森氏农牧债转股项目两年累计到账外资超1.4亿美元，成功入选“跨国公司助力山东绿色低碳高质量发展先行区建设十大典型案例”。</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生态环境质量持续改善。</w:t>
      </w:r>
      <w:r>
        <w:rPr>
          <w:rFonts w:hint="default" w:ascii="Times New Roman" w:hAnsi="Times New Roman" w:eastAsia="仿宋_GB2312" w:cs="Times New Roman"/>
          <w:b w:val="0"/>
          <w:bCs w:val="0"/>
          <w:color w:val="auto"/>
          <w:sz w:val="32"/>
          <w:szCs w:val="32"/>
          <w:highlight w:val="none"/>
          <w:lang w:val="en-US" w:eastAsia="zh-CN"/>
        </w:rPr>
        <w:t>牢固树立“绿水青山就是金山银山”理念，</w:t>
      </w:r>
      <w:r>
        <w:rPr>
          <w:rFonts w:hint="default" w:ascii="Times New Roman" w:hAnsi="Times New Roman" w:eastAsia="仿宋_GB2312" w:cs="Times New Roman"/>
          <w:b w:val="0"/>
          <w:bCs/>
          <w:color w:val="auto"/>
          <w:sz w:val="32"/>
          <w:szCs w:val="32"/>
          <w:highlight w:val="none"/>
          <w:lang w:val="en-US" w:eastAsia="zh-CN"/>
        </w:rPr>
        <w:t>“十四五”以来单位GDP能耗下降94.5%。</w:t>
      </w:r>
      <w:r>
        <w:rPr>
          <w:rFonts w:hint="default" w:ascii="Times New Roman" w:hAnsi="Times New Roman" w:eastAsia="仿宋_GB2312" w:cs="Times New Roman"/>
          <w:b w:val="0"/>
          <w:color w:val="auto"/>
          <w:kern w:val="2"/>
          <w:sz w:val="32"/>
          <w:szCs w:val="32"/>
          <w:highlight w:val="none"/>
          <w:lang w:val="en-US" w:eastAsia="zh-CN" w:bidi="ar-SA"/>
        </w:rPr>
        <w:t>高标准打好蓝天、碧水、净土保卫战，环境空气质量在全省县市区中排名前列，修复提升21公里自然岸线，完成全国首单1000吨以上牡蛎碳汇交易。</w:t>
      </w:r>
      <w:r>
        <w:rPr>
          <w:rFonts w:hint="default" w:ascii="Times New Roman" w:hAnsi="Times New Roman" w:eastAsia="仿宋_GB2312" w:cs="Times New Roman"/>
          <w:b w:val="0"/>
          <w:bCs w:val="0"/>
          <w:color w:val="auto"/>
          <w:sz w:val="32"/>
          <w:szCs w:val="32"/>
          <w:highlight w:val="none"/>
          <w:lang w:val="en-US" w:eastAsia="zh-CN"/>
        </w:rPr>
        <w:t>深入落实“河长制”“湖长制”“湾长制”，加强入海排污口监管与入海河流总氮管控，</w:t>
      </w:r>
      <w:r>
        <w:rPr>
          <w:rFonts w:hint="default" w:ascii="Times New Roman" w:hAnsi="Times New Roman" w:eastAsia="仿宋_GB2312" w:cs="Times New Roman"/>
          <w:b w:val="0"/>
          <w:color w:val="auto"/>
          <w:kern w:val="2"/>
          <w:sz w:val="32"/>
          <w:szCs w:val="32"/>
          <w:highlight w:val="none"/>
          <w:lang w:val="en-US" w:eastAsia="zh-CN" w:bidi="ar-SA"/>
        </w:rPr>
        <w:t>全域黑臭水体实现动态清零，</w:t>
      </w:r>
      <w:r>
        <w:rPr>
          <w:rFonts w:hint="default" w:ascii="Times New Roman" w:hAnsi="Times New Roman" w:eastAsia="仿宋_GB2312" w:cs="Times New Roman"/>
          <w:b w:val="0"/>
          <w:bCs w:val="0"/>
          <w:color w:val="auto"/>
          <w:sz w:val="32"/>
          <w:szCs w:val="32"/>
          <w:highlight w:val="none"/>
          <w:lang w:val="en-US" w:eastAsia="zh-CN"/>
        </w:rPr>
        <w:t>乳山河、黄垒河水质稳</w:t>
      </w:r>
      <w:r>
        <w:rPr>
          <w:rFonts w:hint="default" w:ascii="Times New Roman" w:hAnsi="Times New Roman" w:eastAsia="仿宋_GB2312" w:cs="Times New Roman"/>
          <w:b w:val="0"/>
          <w:bCs/>
          <w:color w:val="auto"/>
          <w:sz w:val="32"/>
          <w:szCs w:val="32"/>
          <w:highlight w:val="none"/>
          <w:lang w:val="en-US" w:eastAsia="zh-CN"/>
        </w:rPr>
        <w:t>定达到Ⅲ类标准，洋村口湾入选国家级美丽海湾，乳山湾入选省级美丽河湖典型案例，近岸海域水质优良比例保持100%。土壤污染风险得到有效管控，地块安全利用率、工业固废、危废无害化处置率均达到100%。成功争创首批“国家级优化养殖用海管理工作标准和举措试点”，被自然资源部评为“自然资源节约集约示范县”。</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 w:val="0"/>
          <w:color w:val="auto"/>
          <w:kern w:val="2"/>
          <w:sz w:val="32"/>
          <w:szCs w:val="32"/>
          <w:highlight w:val="none"/>
          <w:lang w:val="en-US" w:eastAsia="zh-CN" w:bidi="ar-SA"/>
        </w:rPr>
      </w:pPr>
      <w:r>
        <w:rPr>
          <w:rFonts w:hint="default" w:ascii="Times New Roman" w:hAnsi="Times New Roman" w:eastAsia="楷体_GB2312" w:cs="Times New Roman"/>
          <w:b w:val="0"/>
          <w:bCs w:val="0"/>
          <w:color w:val="auto"/>
          <w:sz w:val="32"/>
          <w:szCs w:val="32"/>
          <w:highlight w:val="none"/>
          <w:lang w:val="en-US" w:eastAsia="zh-CN"/>
        </w:rPr>
        <w:t>民生福祉不断增进。</w:t>
      </w:r>
      <w:r>
        <w:rPr>
          <w:rFonts w:hint="default" w:ascii="Times New Roman" w:hAnsi="Times New Roman" w:eastAsia="仿宋_GB2312" w:cs="Times New Roman"/>
          <w:b w:val="0"/>
          <w:color w:val="auto"/>
          <w:kern w:val="2"/>
          <w:sz w:val="32"/>
          <w:szCs w:val="32"/>
          <w:highlight w:val="none"/>
          <w:lang w:val="en-US" w:eastAsia="zh-CN" w:bidi="ar-SA"/>
        </w:rPr>
        <w:t>始终坚持以人民为中心的发展思想，每年民生支出占一般公共预算支出比重保持80%以上，基本公共服务均等化水平稳步提升。实施就业优先战略，累计新增城镇就业2.5万人。社会保障体系不断完善，城乡居民基本养老保险参保率达99.8%，基本医疗保险参保率达96.73%，获评“省社会救助综合改革试点”“省县域养老服务体系创新示范县”等。持续改善教育环境，新建3所公办幼儿园，义务教育阶段大班额全面消除，获评“全国义务教育优质均衡发展县”“国家学前教育普及普惠县”“全省乡村教育振兴试验区”。深化紧密型医共体建设，人民医院新院区建成投用，打造了以人民医院为核心的东部医疗组团和以中医院为核心的西部医疗组团。文化体育事业蓬勃发展，建成投用市文化馆、美术馆，红色文化之旅入选全国乡村旅游精品线路，高水平举办半程马拉松、泵道自行车世锦赛等赛事活动，入选“国家高水平体育后备人才基地”“全国群众体育先进单位”，连续3年蝉联全国文明城市。此外，意识形态、民族宗教、红十字、妇女、残疾人、审计、外事、档案、保密、地方史志、退役军人、双拥共建、打私、气象等事业也取得新进展。</w:t>
      </w:r>
    </w:p>
    <w:p>
      <w:pPr>
        <w:pStyle w:val="3"/>
        <w:keepNext w:val="0"/>
        <w:keepLines w:val="0"/>
        <w:pageBreakBefore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21" w:name="_Toc1720"/>
      <w:bookmarkStart w:id="22" w:name="_Toc5657"/>
      <w:bookmarkStart w:id="23" w:name="_Toc22932"/>
      <w:bookmarkStart w:id="24" w:name="_Toc26197"/>
      <w:bookmarkStart w:id="25" w:name="_Toc19602"/>
      <w:bookmarkStart w:id="26" w:name="_Toc9884"/>
      <w:bookmarkStart w:id="27" w:name="_Toc16374"/>
      <w:bookmarkStart w:id="28" w:name="_Toc7944"/>
      <w:bookmarkStart w:id="29" w:name="_Toc9044"/>
      <w:r>
        <w:rPr>
          <w:rFonts w:hint="default" w:ascii="Times New Roman" w:hAnsi="Times New Roman" w:cs="Times New Roman"/>
          <w:snapToGrid w:val="0"/>
          <w:color w:val="auto"/>
          <w:sz w:val="32"/>
          <w:highlight w:val="none"/>
          <w:lang w:val="en-US" w:eastAsia="zh-CN"/>
        </w:rPr>
        <w:t xml:space="preserve">第二节 </w:t>
      </w:r>
      <w:bookmarkEnd w:id="21"/>
      <w:bookmarkEnd w:id="22"/>
      <w:bookmarkEnd w:id="23"/>
      <w:bookmarkEnd w:id="24"/>
      <w:bookmarkEnd w:id="25"/>
      <w:bookmarkEnd w:id="26"/>
      <w:bookmarkEnd w:id="27"/>
      <w:bookmarkEnd w:id="28"/>
      <w:r>
        <w:rPr>
          <w:rFonts w:hint="default" w:ascii="Times New Roman" w:hAnsi="Times New Roman" w:cs="Times New Roman"/>
          <w:snapToGrid w:val="0"/>
          <w:color w:val="auto"/>
          <w:sz w:val="32"/>
          <w:highlight w:val="none"/>
          <w:lang w:val="en-US" w:eastAsia="zh-CN"/>
        </w:rPr>
        <w:t>未来五年乳山发展面临的新形势新变化</w:t>
      </w:r>
      <w:bookmarkEnd w:id="29"/>
    </w:p>
    <w:p>
      <w:pPr>
        <w:keepNext w:val="0"/>
        <w:keepLines w:val="0"/>
        <w:pageBreakBefore w:val="0"/>
        <w:widowControl/>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十五五”时期是基本实现社会主义现代化夯实基础、全面发力的关键时期，也是我市高质量发展加快突破、跨越赶超的决定性阶段，发展环境面临深刻复杂变化，战略机遇和风险挑战并存、不确定难预料因素增多。国际形势复杂严峻，世界百年未有之大变局加速演进，国际力量对比深刻调整，新一轮科技革命和产业变革加速突破，大国博弈更加复杂激烈。我国发展环境发生深刻变化，经济基础稳、优势多、韧性强、潜能大，长期向好的支撑条件和基本趋势没有变，中国特色社会主义制度优势、超大规模市场优势、完整产业体系优势、丰富人才资源优势更加彰显，内需主导的新发展格局加快构建，新质生产力成为高质量发展强引擎，正加速向建成社会主义现代化强国迈进。我市进入发展快车道，稳的基础持续巩固，好的因素不断累积，发展后劲加快聚集，绿色低碳高质量发展理念深入人心、成效逐步显现，产业向智能化、绿色化、高端化转型，一批重大工程、重大项目、重大平台陆续落地，改革开放创新活力不断增强，城乡区域协调发展，重大战略、重大政策利好叠加，为推动乳山高质量发展带来了更多机遇。同时也要看到，我市发展仍然面临不少困难和挑战：经济总量偏小、产业结构不优，具有引领性、支撑性的大项目、好项目偏少，发展不平衡、不充分问题依然存在，数字产业化水平有待提高；改革开放先行先试优势有所弱化，对外贸易新业态发展缓慢；科研平台能力偏弱，人才瓶颈突出；公共服务供给与群众需求存在一定差距，社会治理精细化水平有待提升。同时，区域之间竞争日趋激烈，济南都市圈、青岛都市圈“双星”崛起，头部城市对优势资源“虹吸”效应愈加明显，我市面临更大的城市竞争压力。</w:t>
      </w:r>
    </w:p>
    <w:p>
      <w:pPr>
        <w:keepNext w:val="0"/>
        <w:keepLines w:val="0"/>
        <w:pageBreakBefore w:val="0"/>
        <w:widowControl/>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面向未来，全市上下必须自觉把思想和行动统一到以习近平同志为核心的党中央决策部署上来，锚定目标任务，保持战略定力，增强必胜信心，积极识变应变求变，持续固根基、扬优势、补短板、强弱项，以历史主动精神克难关、战风险、迎挑战，努力在变局中开新局，在优势中育胜势，在“精致城市·幸福威海”建设中突破赶超、多做贡献，为全国和全省、威海市发展大局和现代化建设全局作出更大贡献。</w:t>
      </w:r>
      <w:bookmarkStart w:id="30" w:name="_Toc15940"/>
      <w:bookmarkStart w:id="31" w:name="_Toc4069"/>
      <w:bookmarkStart w:id="32" w:name="_Toc5228"/>
      <w:bookmarkStart w:id="33" w:name="_Toc28962"/>
      <w:bookmarkStart w:id="34" w:name="_Toc5946"/>
    </w:p>
    <w:p>
      <w:pPr>
        <w:pStyle w:val="2"/>
        <w:pageBreakBefore w:val="0"/>
        <w:widowControl w:val="0"/>
        <w:kinsoku/>
        <w:wordWrap/>
        <w:overflowPunct/>
        <w:topLinePunct w:val="0"/>
        <w:autoSpaceDE/>
        <w:autoSpaceDN/>
        <w:bidi w:val="0"/>
        <w:adjustRightInd/>
        <w:snapToGrid/>
        <w:spacing w:before="100" w:beforeLines="100" w:after="100" w:afterLines="100" w:line="56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35" w:name="_Toc8280"/>
      <w:r>
        <w:rPr>
          <w:rFonts w:hint="default" w:ascii="Times New Roman" w:hAnsi="Times New Roman" w:eastAsia="黑体" w:cs="Times New Roman"/>
          <w:b w:val="0"/>
          <w:bCs w:val="0"/>
          <w:color w:val="auto"/>
          <w:sz w:val="32"/>
          <w:szCs w:val="32"/>
          <w:highlight w:val="none"/>
          <w:lang w:val="en-US" w:eastAsia="zh-CN"/>
        </w:rPr>
        <w:t>第二章 继往开来，中国式现代化乳山实践开启新篇章</w:t>
      </w:r>
      <w:bookmarkEnd w:id="9"/>
      <w:bookmarkEnd w:id="10"/>
      <w:bookmarkEnd w:id="11"/>
      <w:bookmarkEnd w:id="30"/>
      <w:bookmarkEnd w:id="31"/>
      <w:bookmarkEnd w:id="32"/>
      <w:bookmarkEnd w:id="33"/>
      <w:bookmarkEnd w:id="34"/>
      <w:bookmarkEnd w:id="35"/>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6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36" w:name="_Toc4701"/>
      <w:bookmarkStart w:id="37" w:name="_Toc21251"/>
      <w:bookmarkStart w:id="38" w:name="_Toc8551"/>
      <w:bookmarkStart w:id="39" w:name="_Toc10266"/>
      <w:bookmarkStart w:id="40" w:name="_Toc29791"/>
      <w:bookmarkStart w:id="41" w:name="_Toc6416"/>
      <w:bookmarkStart w:id="42" w:name="_Toc9602"/>
      <w:bookmarkStart w:id="43" w:name="_Toc6735"/>
      <w:bookmarkStart w:id="44" w:name="_Toc16047"/>
      <w:r>
        <w:rPr>
          <w:rFonts w:hint="default" w:ascii="Times New Roman" w:hAnsi="Times New Roman" w:cs="Times New Roman"/>
          <w:snapToGrid w:val="0"/>
          <w:color w:val="auto"/>
          <w:sz w:val="32"/>
          <w:highlight w:val="none"/>
          <w:lang w:val="en-US" w:eastAsia="zh-CN"/>
        </w:rPr>
        <w:t>第一节 指导思想</w:t>
      </w:r>
      <w:bookmarkEnd w:id="36"/>
      <w:bookmarkEnd w:id="37"/>
      <w:bookmarkEnd w:id="38"/>
      <w:bookmarkEnd w:id="39"/>
      <w:bookmarkEnd w:id="40"/>
      <w:bookmarkEnd w:id="41"/>
      <w:bookmarkEnd w:id="42"/>
      <w:bookmarkEnd w:id="43"/>
      <w:bookmarkEnd w:id="44"/>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bookmarkStart w:id="45" w:name="_Toc32743"/>
      <w:bookmarkStart w:id="46" w:name="_Toc1730"/>
      <w:bookmarkStart w:id="47" w:name="_Toc18095"/>
      <w:bookmarkStart w:id="48" w:name="_Toc23322"/>
      <w:bookmarkStart w:id="49" w:name="_Toc3398"/>
      <w:bookmarkStart w:id="50" w:name="_Toc28511"/>
      <w:bookmarkStart w:id="51" w:name="_Toc28139"/>
      <w:r>
        <w:rPr>
          <w:rFonts w:hint="default" w:ascii="Times New Roman" w:hAnsi="Times New Roman" w:eastAsia="仿宋_GB2312" w:cs="Times New Roman"/>
          <w:color w:val="auto"/>
          <w:sz w:val="32"/>
          <w:szCs w:val="32"/>
          <w:highlight w:val="none"/>
          <w:lang w:val="en-US" w:eastAsia="zh-CN"/>
        </w:rPr>
        <w:t>坚持马克思列宁主义、毛泽东思想、邓小平理论、“三个代表”重要思想、科学发展观，全面贯彻习近平新时代中国特色社会主义思想，深入贯彻党的二十大和二十届历次全会精神，认真落实习近平总书记视察山东重要讲话精神和对山东工作的重要指示批示要求，统筹推进“五位一体”总体布局，协调推进“四个全面”战略布局，统筹国内国际两个大局，完整准确全面贯彻新发展理念，主动服务和融入新发展格局，坚持稳中求进工作总基调，坚持以经济建设为中心，以推动高质量发展为主题，以改革创新为根本动力，以满足人民日益增长的美好生活需要为根本目的，以全面从严治党为根本保障，坚持以绿色低碳、和美宜居为引领，加快打造新能源产业高质量发展先行区、滨海旅居康养目的地，推动经济实现质的有效提升和量的合理增长，努力成为区域经济新的增长极，推动人的全面发展、全体人民共同富裕迈出坚实步伐，努力为以中国式现代化全面推进强国建设、民族复兴伟业作出更大贡献。</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6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52" w:name="_Toc13774"/>
      <w:bookmarkStart w:id="53" w:name="_Toc29073"/>
      <w:r>
        <w:rPr>
          <w:rFonts w:hint="default" w:ascii="Times New Roman" w:hAnsi="Times New Roman" w:cs="Times New Roman"/>
          <w:snapToGrid w:val="0"/>
          <w:color w:val="auto"/>
          <w:sz w:val="32"/>
          <w:highlight w:val="none"/>
          <w:lang w:val="en-US" w:eastAsia="zh-CN"/>
        </w:rPr>
        <w:t>第二节 基本原则</w:t>
      </w:r>
      <w:bookmarkEnd w:id="45"/>
      <w:bookmarkEnd w:id="46"/>
      <w:bookmarkEnd w:id="47"/>
      <w:bookmarkEnd w:id="48"/>
      <w:bookmarkEnd w:id="49"/>
      <w:bookmarkEnd w:id="50"/>
      <w:bookmarkEnd w:id="51"/>
      <w:r>
        <w:rPr>
          <w:rFonts w:hint="default" w:ascii="Times New Roman" w:hAnsi="Times New Roman" w:cs="Times New Roman"/>
          <w:snapToGrid w:val="0"/>
          <w:color w:val="auto"/>
          <w:sz w:val="32"/>
          <w:highlight w:val="none"/>
          <w:lang w:val="en-US" w:eastAsia="zh-CN"/>
        </w:rPr>
        <w:t>和发展目标</w:t>
      </w:r>
      <w:bookmarkEnd w:id="52"/>
      <w:bookmarkEnd w:id="53"/>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“十五五”时期，全市发展必须坚持党的全面领导，坚持人民至上，坚持高质量发展，坚持全面深化改革，坚持有效市场和有为政府相结合，坚持统筹发展和安全，推动经济持续健康发展和社会全面进步。</w:t>
      </w:r>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展望未来五年乃至十年，必须发挥区位优势，扛牢政治担当，坚定不移落实习近平总书记“威海要向精致城市方向发展”的殷切嘱托，始终把走在前、勇争先的标准要求贯穿到全市经济、政治、文化、社会和生态文明等各方面建设中，为省和威海市推动新时代社会主义现代化强省、强市建设贡献更多乳山力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楷体_GB2312" w:cs="Times New Roman"/>
          <w:b w:val="0"/>
          <w:bCs w:val="0"/>
          <w:color w:val="auto"/>
          <w:sz w:val="32"/>
          <w:szCs w:val="32"/>
          <w:highlight w:val="none"/>
          <w:lang w:val="en-US" w:eastAsia="zh-CN"/>
        </w:rPr>
        <w:t>经济发展稳步提质。</w:t>
      </w:r>
      <w:r>
        <w:rPr>
          <w:rFonts w:hint="default" w:ascii="Times New Roman" w:hAnsi="Times New Roman" w:eastAsia="仿宋_GB2312" w:cs="Times New Roman"/>
          <w:b w:val="0"/>
          <w:bCs w:val="0"/>
          <w:color w:val="auto"/>
          <w:sz w:val="32"/>
          <w:szCs w:val="32"/>
          <w:highlight w:val="none"/>
          <w:lang w:val="en-US" w:eastAsia="zh-CN"/>
        </w:rPr>
        <w:t>经济稳中有进、进中提质，全要素生产率稳步提高，内需对经济增长主动力作用不断增强，更好服务融入全国统一大市场，绿色低碳发展优势不断扩大，新质生产力发展水平稳步提升，新型工业化、信息化、城镇化、农业现代化取得重大进展，建设现代化产业体系实现重大突破。到2030年，人均生产总值达到2万美元左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楷体_GB2312" w:cs="Times New Roman"/>
          <w:b w:val="0"/>
          <w:bCs w:val="0"/>
          <w:color w:val="auto"/>
          <w:sz w:val="32"/>
          <w:szCs w:val="32"/>
          <w:highlight w:val="none"/>
          <w:lang w:val="en-US" w:eastAsia="zh-CN"/>
        </w:rPr>
        <w:t>科技创新赋能提级。</w:t>
      </w:r>
      <w:r>
        <w:rPr>
          <w:rFonts w:hint="default" w:ascii="Times New Roman" w:hAnsi="Times New Roman" w:eastAsia="仿宋_GB2312" w:cs="Times New Roman"/>
          <w:b w:val="0"/>
          <w:bCs w:val="0"/>
          <w:color w:val="auto"/>
          <w:sz w:val="32"/>
          <w:szCs w:val="32"/>
          <w:highlight w:val="none"/>
          <w:lang w:val="en-US" w:eastAsia="zh-CN"/>
        </w:rPr>
        <w:t>科技创新投入持续增加，区域创新生态优化升级，企业创新动力活力得到释放，重点产业关键核心技术加快突破，各类人才加速集聚，教育科技人才一体化发展格局基本形成，科技创新和产业创新深度融合，创新驱动作用明显增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楷体_GB2312" w:cs="Times New Roman"/>
          <w:b w:val="0"/>
          <w:bCs w:val="0"/>
          <w:color w:val="auto"/>
          <w:sz w:val="32"/>
          <w:szCs w:val="32"/>
          <w:highlight w:val="none"/>
          <w:lang w:val="en-US" w:eastAsia="zh-CN"/>
        </w:rPr>
        <w:t>改革开放纵深提速。</w:t>
      </w:r>
      <w:r>
        <w:rPr>
          <w:rFonts w:hint="default" w:ascii="Times New Roman" w:hAnsi="Times New Roman" w:eastAsia="仿宋_GB2312" w:cs="Times New Roman"/>
          <w:b w:val="0"/>
          <w:bCs w:val="0"/>
          <w:color w:val="auto"/>
          <w:sz w:val="32"/>
          <w:szCs w:val="32"/>
          <w:highlight w:val="none"/>
          <w:lang w:val="en-US" w:eastAsia="zh-CN"/>
        </w:rPr>
        <w:t>重点领域与关键环节改革攻坚突破，市场经济、民主法治等体制机制创新完善，形成更多原创性独创性改革成果。开放型经济发展迈上新台阶，货物贸易和服务贸易规模稳步扩大，对外投资合作有序拓展，融入日韩合作、“一带一路”取得实质性进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楷体_GB2312" w:cs="Times New Roman"/>
          <w:color w:val="auto"/>
          <w:sz w:val="32"/>
          <w:szCs w:val="32"/>
          <w:highlight w:val="none"/>
          <w:lang w:val="en-US" w:eastAsia="zh-CN"/>
        </w:rPr>
        <w:t>城乡融合全域提优。</w:t>
      </w:r>
      <w:r>
        <w:rPr>
          <w:rFonts w:hint="default" w:ascii="Times New Roman" w:hAnsi="Times New Roman" w:eastAsia="仿宋_GB2312" w:cs="Times New Roman"/>
          <w:color w:val="auto"/>
          <w:sz w:val="32"/>
          <w:szCs w:val="32"/>
          <w:highlight w:val="none"/>
          <w:lang w:val="en-US" w:eastAsia="zh-CN"/>
        </w:rPr>
        <w:t>新型城镇化建设进程加快推进，国土空间布局更加优化，全域精致、城乡和美基本实现，绿色生产生活方式基本形成，碳达峰目标按期实现，清洁低碳安全高效的新型能源体系加快成型，生态环境质量、能耗水平全省领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楷体_GB2312" w:cs="Times New Roman"/>
          <w:color w:val="auto"/>
          <w:sz w:val="32"/>
          <w:szCs w:val="32"/>
          <w:highlight w:val="none"/>
          <w:lang w:val="en-US" w:eastAsia="zh-CN"/>
        </w:rPr>
        <w:t>文明素养全民提效。</w:t>
      </w:r>
      <w:r>
        <w:rPr>
          <w:rFonts w:hint="default" w:ascii="Times New Roman" w:hAnsi="Times New Roman" w:eastAsia="仿宋_GB2312" w:cs="Times New Roman"/>
          <w:color w:val="auto"/>
          <w:sz w:val="32"/>
          <w:szCs w:val="32"/>
          <w:highlight w:val="none"/>
          <w:lang w:val="en-US" w:eastAsia="zh-CN"/>
        </w:rPr>
        <w:t>全民文化创新活力充分激发，文化自信更加坚定，主流思想舆论阵地不断巩固壮大，文化事业和文化产业繁荣发展，文明城市建设迈上新台阶，美德乳山和信用乳山建设取得更大成效，人民精神文化生活更加丰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楷体_GB2312" w:cs="Times New Roman"/>
          <w:b w:val="0"/>
          <w:bCs w:val="0"/>
          <w:color w:val="auto"/>
          <w:sz w:val="32"/>
          <w:szCs w:val="32"/>
          <w:highlight w:val="none"/>
          <w:lang w:val="en-US" w:eastAsia="zh-CN"/>
        </w:rPr>
        <w:t>民生福祉持续提标。</w:t>
      </w:r>
      <w:r>
        <w:rPr>
          <w:rFonts w:hint="default" w:ascii="Times New Roman" w:hAnsi="Times New Roman" w:eastAsia="仿宋_GB2312" w:cs="Times New Roman"/>
          <w:b w:val="0"/>
          <w:bCs w:val="0"/>
          <w:color w:val="auto"/>
          <w:sz w:val="32"/>
          <w:szCs w:val="32"/>
          <w:highlight w:val="none"/>
          <w:lang w:val="en-US" w:eastAsia="zh-CN"/>
        </w:rPr>
        <w:t>高质量充分就业取得新进展，居民收入增长和经济增长基本同步，中等收入群体稳步增加，城乡收入差距持续缩小，基本公共服务供给水平进一步提升，覆盖全生命周期的人口服务体系建立健全，全体人民共同富裕迈出坚实步伐。</w:t>
      </w:r>
    </w:p>
    <w:p>
      <w:pPr>
        <w:keepNext w:val="0"/>
        <w:keepLines w:val="0"/>
        <w:pageBreakBefore w:val="0"/>
        <w:widowControl w:val="0"/>
        <w:kinsoku/>
        <w:wordWrap/>
        <w:overflowPunct/>
        <w:topLinePunct w:val="0"/>
        <w:autoSpaceDE/>
        <w:autoSpaceDN/>
        <w:bidi w:val="0"/>
        <w:adjustRightInd w:val="0"/>
        <w:snapToGrid w:val="0"/>
        <w:spacing w:after="0" w:afterLines="-2147483648" w:line="560" w:lineRule="exact"/>
        <w:ind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楷体_GB2312" w:cs="Times New Roman"/>
          <w:b w:val="0"/>
          <w:bCs w:val="0"/>
          <w:color w:val="auto"/>
          <w:sz w:val="32"/>
          <w:szCs w:val="32"/>
          <w:highlight w:val="none"/>
          <w:lang w:val="en-US" w:eastAsia="zh-CN"/>
        </w:rPr>
        <w:t>安全能力全面提升。</w:t>
      </w:r>
      <w:r>
        <w:rPr>
          <w:rFonts w:hint="default" w:ascii="Times New Roman" w:hAnsi="Times New Roman" w:eastAsia="仿宋_GB2312" w:cs="Times New Roman"/>
          <w:b w:val="0"/>
          <w:bCs w:val="0"/>
          <w:color w:val="auto"/>
          <w:sz w:val="32"/>
          <w:szCs w:val="32"/>
          <w:highlight w:val="none"/>
          <w:lang w:val="en-US" w:eastAsia="zh-CN"/>
        </w:rPr>
        <w:t>基层社会治理能力显著增强，公平正义可感可触可见，统筹发展和安全的体制机制更加完善，不安全、不稳定因素有效防范化解，建成更高水平平安乳山、法治乳山。</w:t>
      </w:r>
    </w:p>
    <w:p>
      <w:pPr>
        <w:keepNext w:val="0"/>
        <w:keepLines w:val="0"/>
        <w:pageBreakBefore w:val="0"/>
        <w:widowControl w:val="0"/>
        <w:kinsoku/>
        <w:wordWrap/>
        <w:overflowPunct/>
        <w:topLinePunct w:val="0"/>
        <w:autoSpaceDE/>
        <w:autoSpaceDN/>
        <w:bidi w:val="0"/>
        <w:adjustRightInd w:val="0"/>
        <w:snapToGrid w:val="0"/>
        <w:spacing w:after="0" w:afterLines="-2147483648" w:line="560" w:lineRule="exact"/>
        <w:ind w:firstLine="640" w:firstLineChars="200"/>
        <w:jc w:val="left"/>
        <w:textAlignment w:val="auto"/>
        <w:rPr>
          <w:rFonts w:hint="default" w:ascii="Times New Roman" w:hAnsi="Times New Roman" w:eastAsia="黑体" w:cs="Times New Roman"/>
          <w:color w:val="auto"/>
          <w:kern w:val="0"/>
          <w:sz w:val="28"/>
          <w:szCs w:val="28"/>
          <w:highlight w:val="none"/>
          <w:lang w:val="en-US" w:eastAsia="zh-CN" w:bidi="ar-SA"/>
        </w:rPr>
      </w:pPr>
      <w:r>
        <w:rPr>
          <w:rFonts w:hint="default" w:ascii="Times New Roman" w:hAnsi="Times New Roman" w:eastAsia="仿宋_GB2312" w:cs="Times New Roman"/>
          <w:b w:val="0"/>
          <w:bCs w:val="0"/>
          <w:color w:val="auto"/>
          <w:sz w:val="32"/>
          <w:szCs w:val="32"/>
          <w:highlight w:val="none"/>
          <w:lang w:val="en-US" w:eastAsia="zh-CN"/>
        </w:rPr>
        <w:t>在此基础上再奋斗五年，到二〇三五年，我市经济实力、科技实力、综合竞争力大幅跃升，人均地区生产总值保持在全省平均水平以上，率先达到中等发达经济体水平，人民享有更高品质、更加幸福的美好生活，奋力谱写中国式现代化乳山篇章。</w:t>
      </w:r>
    </w:p>
    <w:p>
      <w:pPr>
        <w:keepNext w:val="0"/>
        <w:keepLines w:val="0"/>
        <w:pageBreakBefore w:val="0"/>
        <w:widowControl/>
        <w:kinsoku/>
        <w:wordWrap/>
        <w:overflowPunct/>
        <w:topLinePunct w:val="0"/>
        <w:autoSpaceDE/>
        <w:autoSpaceDN/>
        <w:bidi w:val="0"/>
        <w:adjustRightInd/>
        <w:snapToGrid/>
        <w:spacing w:after="0" w:afterLines="-2147483648" w:line="240" w:lineRule="auto"/>
        <w:jc w:val="left"/>
        <w:textAlignment w:val="auto"/>
        <w:rPr>
          <w:rFonts w:hint="default" w:ascii="Times New Roman" w:hAnsi="Times New Roman" w:eastAsia="黑体" w:cs="Times New Roman"/>
          <w:color w:val="auto"/>
          <w:kern w:val="0"/>
          <w:sz w:val="28"/>
          <w:szCs w:val="28"/>
          <w:highlight w:val="none"/>
          <w:lang w:val="en-US" w:eastAsia="zh-CN" w:bidi="ar-SA"/>
        </w:rPr>
      </w:pPr>
      <w:r>
        <w:rPr>
          <w:rFonts w:hint="default" w:ascii="Times New Roman" w:hAnsi="Times New Roman" w:eastAsia="黑体" w:cs="Times New Roman"/>
          <w:color w:val="auto"/>
          <w:kern w:val="0"/>
          <w:sz w:val="28"/>
          <w:szCs w:val="28"/>
          <w:highlight w:val="none"/>
          <w:lang w:val="en-US" w:eastAsia="zh-CN" w:bidi="ar-SA"/>
        </w:rPr>
        <w:br w:type="page"/>
      </w:r>
    </w:p>
    <w:p>
      <w:pPr>
        <w:keepNext w:val="0"/>
        <w:keepLines w:val="0"/>
        <w:pageBreakBefore w:val="0"/>
        <w:widowControl w:val="0"/>
        <w:kinsoku/>
        <w:wordWrap/>
        <w:overflowPunct/>
        <w:topLinePunct w:val="0"/>
        <w:autoSpaceDE w:val="0"/>
        <w:autoSpaceDN w:val="0"/>
        <w:bidi w:val="0"/>
        <w:adjustRightInd w:val="0"/>
        <w:snapToGrid/>
        <w:spacing w:after="0" w:afterLines="0" w:line="240" w:lineRule="auto"/>
        <w:jc w:val="center"/>
        <w:textAlignment w:val="auto"/>
        <w:rPr>
          <w:rFonts w:hint="default" w:ascii="Times New Roman" w:hAnsi="Times New Roman" w:eastAsia="黑体" w:cs="Times New Roman"/>
          <w:color w:val="auto"/>
          <w:kern w:val="0"/>
          <w:sz w:val="28"/>
          <w:szCs w:val="28"/>
          <w:highlight w:val="none"/>
          <w:lang w:val="en-US" w:eastAsia="zh-CN" w:bidi="ar-SA"/>
        </w:rPr>
      </w:pPr>
      <w:r>
        <w:rPr>
          <w:rFonts w:hint="default" w:ascii="Times New Roman" w:hAnsi="Times New Roman" w:eastAsia="黑体" w:cs="Times New Roman"/>
          <w:color w:val="auto"/>
          <w:kern w:val="0"/>
          <w:sz w:val="28"/>
          <w:szCs w:val="28"/>
          <w:highlight w:val="none"/>
          <w:lang w:val="en-US" w:eastAsia="zh-CN" w:bidi="ar-SA"/>
        </w:rPr>
        <w:t>“十五五”时期经济社会发展主要指标</w:t>
      </w:r>
    </w:p>
    <w:p>
      <w:pPr>
        <w:keepNext w:val="0"/>
        <w:keepLines w:val="0"/>
        <w:pageBreakBefore w:val="0"/>
        <w:widowControl w:val="0"/>
        <w:kinsoku/>
        <w:wordWrap/>
        <w:overflowPunct/>
        <w:topLinePunct w:val="0"/>
        <w:autoSpaceDE w:val="0"/>
        <w:autoSpaceDN w:val="0"/>
        <w:bidi w:val="0"/>
        <w:adjustRightInd w:val="0"/>
        <w:snapToGrid/>
        <w:spacing w:after="0" w:afterLines="0" w:line="240" w:lineRule="auto"/>
        <w:jc w:val="center"/>
        <w:textAlignment w:val="auto"/>
        <w:rPr>
          <w:rFonts w:hint="default" w:ascii="Times New Roman" w:hAnsi="Times New Roman" w:eastAsia="黑体" w:cs="Times New Roman"/>
          <w:color w:val="auto"/>
          <w:kern w:val="0"/>
          <w:sz w:val="28"/>
          <w:szCs w:val="28"/>
          <w:highlight w:val="none"/>
          <w:lang w:val="en-US" w:eastAsia="zh-CN" w:bidi="ar-SA"/>
        </w:rPr>
      </w:pP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3819"/>
        <w:gridCol w:w="1096"/>
        <w:gridCol w:w="1203"/>
        <w:gridCol w:w="1225"/>
        <w:gridCol w:w="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trPr>
        <w:tc>
          <w:tcPr>
            <w:tcW w:w="409"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w w:val="95"/>
                <w:sz w:val="24"/>
                <w:szCs w:val="24"/>
                <w:highlight w:val="none"/>
              </w:rPr>
            </w:pPr>
            <w:r>
              <w:rPr>
                <w:rFonts w:hint="default" w:ascii="Times New Roman" w:hAnsi="Times New Roman" w:eastAsia="黑体" w:cs="Times New Roman"/>
                <w:b w:val="0"/>
                <w:bCs w:val="0"/>
                <w:color w:val="auto"/>
                <w:w w:val="95"/>
                <w:sz w:val="24"/>
                <w:szCs w:val="24"/>
                <w:highlight w:val="none"/>
              </w:rPr>
              <w:t>类别</w:t>
            </w: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w w:val="95"/>
                <w:sz w:val="24"/>
                <w:szCs w:val="24"/>
                <w:highlight w:val="none"/>
              </w:rPr>
            </w:pPr>
            <w:r>
              <w:rPr>
                <w:rFonts w:hint="default" w:ascii="Times New Roman" w:hAnsi="Times New Roman" w:eastAsia="黑体" w:cs="Times New Roman"/>
                <w:b w:val="0"/>
                <w:bCs w:val="0"/>
                <w:color w:val="auto"/>
                <w:w w:val="95"/>
                <w:sz w:val="24"/>
                <w:szCs w:val="24"/>
                <w:highlight w:val="none"/>
              </w:rPr>
              <w:t>指标（单位）</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w w:val="95"/>
                <w:sz w:val="24"/>
                <w:szCs w:val="24"/>
                <w:highlight w:val="none"/>
              </w:rPr>
            </w:pPr>
            <w:r>
              <w:rPr>
                <w:rFonts w:hint="default" w:ascii="Times New Roman" w:hAnsi="Times New Roman" w:eastAsia="黑体" w:cs="Times New Roman"/>
                <w:b w:val="0"/>
                <w:bCs w:val="0"/>
                <w:color w:val="auto"/>
                <w:w w:val="95"/>
                <w:sz w:val="24"/>
                <w:szCs w:val="24"/>
                <w:highlight w:val="none"/>
              </w:rPr>
              <w:t>202</w:t>
            </w:r>
            <w:r>
              <w:rPr>
                <w:rFonts w:hint="default" w:ascii="Times New Roman" w:hAnsi="Times New Roman" w:eastAsia="黑体" w:cs="Times New Roman"/>
                <w:b w:val="0"/>
                <w:bCs w:val="0"/>
                <w:color w:val="auto"/>
                <w:w w:val="95"/>
                <w:sz w:val="24"/>
                <w:szCs w:val="24"/>
                <w:highlight w:val="none"/>
                <w:lang w:val="en-US" w:eastAsia="zh-CN"/>
              </w:rPr>
              <w:t>5</w:t>
            </w:r>
            <w:r>
              <w:rPr>
                <w:rFonts w:hint="default" w:ascii="Times New Roman" w:hAnsi="Times New Roman" w:eastAsia="黑体" w:cs="Times New Roman"/>
                <w:b w:val="0"/>
                <w:bCs w:val="0"/>
                <w:color w:val="auto"/>
                <w:w w:val="95"/>
                <w:sz w:val="24"/>
                <w:szCs w:val="24"/>
                <w:highlight w:val="none"/>
              </w:rPr>
              <w:t>年</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w w:val="95"/>
                <w:sz w:val="24"/>
                <w:szCs w:val="24"/>
                <w:highlight w:val="none"/>
              </w:rPr>
            </w:pPr>
            <w:r>
              <w:rPr>
                <w:rFonts w:hint="default" w:ascii="Times New Roman" w:hAnsi="Times New Roman" w:eastAsia="黑体" w:cs="Times New Roman"/>
                <w:b w:val="0"/>
                <w:bCs w:val="0"/>
                <w:color w:val="auto"/>
                <w:w w:val="95"/>
                <w:sz w:val="24"/>
                <w:szCs w:val="24"/>
                <w:highlight w:val="none"/>
              </w:rPr>
              <w:t>20</w:t>
            </w:r>
            <w:r>
              <w:rPr>
                <w:rFonts w:hint="default" w:ascii="Times New Roman" w:hAnsi="Times New Roman" w:eastAsia="黑体" w:cs="Times New Roman"/>
                <w:b w:val="0"/>
                <w:bCs w:val="0"/>
                <w:color w:val="auto"/>
                <w:w w:val="95"/>
                <w:sz w:val="24"/>
                <w:szCs w:val="24"/>
                <w:highlight w:val="none"/>
                <w:lang w:val="en-US" w:eastAsia="zh-CN"/>
              </w:rPr>
              <w:t>30</w:t>
            </w:r>
            <w:r>
              <w:rPr>
                <w:rFonts w:hint="default" w:ascii="Times New Roman" w:hAnsi="Times New Roman" w:eastAsia="黑体" w:cs="Times New Roman"/>
                <w:b w:val="0"/>
                <w:bCs w:val="0"/>
                <w:color w:val="auto"/>
                <w:w w:val="95"/>
                <w:sz w:val="24"/>
                <w:szCs w:val="24"/>
                <w:highlight w:val="none"/>
              </w:rPr>
              <w:t>年</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w w:val="95"/>
                <w:sz w:val="24"/>
                <w:szCs w:val="24"/>
                <w:highlight w:val="none"/>
              </w:rPr>
            </w:pPr>
            <w:r>
              <w:rPr>
                <w:rFonts w:hint="default" w:ascii="Times New Roman" w:hAnsi="Times New Roman" w:eastAsia="黑体" w:cs="Times New Roman"/>
                <w:b w:val="0"/>
                <w:bCs w:val="0"/>
                <w:color w:val="auto"/>
                <w:w w:val="95"/>
                <w:sz w:val="24"/>
                <w:szCs w:val="24"/>
                <w:highlight w:val="none"/>
              </w:rPr>
              <w:t>年均增速/[累计]</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w w:val="95"/>
                <w:sz w:val="24"/>
                <w:szCs w:val="24"/>
                <w:highlight w:val="none"/>
                <w:lang w:eastAsia="zh-CN"/>
              </w:rPr>
            </w:pPr>
            <w:r>
              <w:rPr>
                <w:rFonts w:hint="default" w:ascii="Times New Roman" w:hAnsi="Times New Roman" w:eastAsia="黑体" w:cs="Times New Roman"/>
                <w:b w:val="0"/>
                <w:bCs w:val="0"/>
                <w:color w:val="auto"/>
                <w:w w:val="95"/>
                <w:sz w:val="24"/>
                <w:szCs w:val="24"/>
                <w:highlight w:val="none"/>
                <w:lang w:eastAsia="zh-CN"/>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restar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r>
              <w:rPr>
                <w:rFonts w:hint="default" w:ascii="Times New Roman" w:hAnsi="Times New Roman" w:eastAsia="仿宋_GB2312" w:cs="Times New Roman"/>
                <w:b w:val="0"/>
                <w:bCs w:val="0"/>
                <w:color w:val="auto"/>
                <w:sz w:val="24"/>
                <w:szCs w:val="24"/>
                <w:highlight w:val="none"/>
              </w:rPr>
              <w:t>经济</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r>
              <w:rPr>
                <w:rFonts w:hint="default" w:ascii="Times New Roman" w:hAnsi="Times New Roman" w:eastAsia="仿宋_GB2312" w:cs="Times New Roman"/>
                <w:b w:val="0"/>
                <w:bCs w:val="0"/>
                <w:color w:val="auto"/>
                <w:sz w:val="24"/>
                <w:szCs w:val="24"/>
                <w:highlight w:val="none"/>
              </w:rPr>
              <w:t>发展</w:t>
            </w: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color w:val="auto"/>
                <w:w w:val="95"/>
                <w:sz w:val="24"/>
                <w:szCs w:val="24"/>
                <w:highlight w:val="none"/>
              </w:rPr>
            </w:pPr>
            <w:r>
              <w:rPr>
                <w:rFonts w:hint="default" w:ascii="Times New Roman" w:hAnsi="Times New Roman" w:eastAsia="仿宋_GB2312" w:cs="Times New Roman"/>
                <w:b w:val="0"/>
                <w:bCs w:val="0"/>
                <w:color w:val="auto"/>
                <w:w w:val="95"/>
                <w:sz w:val="24"/>
                <w:szCs w:val="24"/>
                <w:highlight w:val="none"/>
              </w:rPr>
              <w:t>（1）地区生产总值</w:t>
            </w:r>
            <w:r>
              <w:rPr>
                <w:rFonts w:hint="default" w:ascii="Times New Roman" w:hAnsi="Times New Roman" w:eastAsia="仿宋_GB2312" w:cs="Times New Roman"/>
                <w:b w:val="0"/>
                <w:bCs w:val="0"/>
                <w:color w:val="auto"/>
                <w:w w:val="95"/>
                <w:sz w:val="24"/>
                <w:szCs w:val="24"/>
                <w:highlight w:val="none"/>
                <w:lang w:eastAsia="zh-CN"/>
              </w:rPr>
              <w:t>增速</w:t>
            </w:r>
            <w:r>
              <w:rPr>
                <w:rFonts w:hint="default" w:ascii="Times New Roman" w:hAnsi="Times New Roman" w:eastAsia="仿宋_GB2312" w:cs="Times New Roman"/>
                <w:b w:val="0"/>
                <w:bCs w:val="0"/>
                <w:color w:val="auto"/>
                <w:w w:val="95"/>
                <w:sz w:val="24"/>
                <w:szCs w:val="24"/>
                <w:highlight w:val="none"/>
              </w:rPr>
              <w:t>（</w:t>
            </w:r>
            <w:r>
              <w:rPr>
                <w:rFonts w:hint="default" w:ascii="Times New Roman" w:hAnsi="Times New Roman" w:eastAsia="仿宋_GB2312" w:cs="Times New Roman"/>
                <w:b w:val="0"/>
                <w:bCs w:val="0"/>
                <w:color w:val="auto"/>
                <w:w w:val="95"/>
                <w:sz w:val="24"/>
                <w:szCs w:val="24"/>
                <w:highlight w:val="none"/>
                <w:lang w:val="en-US" w:eastAsia="zh-CN"/>
              </w:rPr>
              <w:t>%</w:t>
            </w:r>
            <w:r>
              <w:rPr>
                <w:rFonts w:hint="default" w:ascii="Times New Roman" w:hAnsi="Times New Roman" w:eastAsia="仿宋_GB2312" w:cs="Times New Roman"/>
                <w:b w:val="0"/>
                <w:bCs w:val="0"/>
                <w:color w:val="auto"/>
                <w:w w:val="95"/>
                <w:sz w:val="24"/>
                <w:szCs w:val="24"/>
                <w:highlight w:val="none"/>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7.9</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7</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eastAsia="zh-CN"/>
              </w:rPr>
            </w:pPr>
            <w:r>
              <w:rPr>
                <w:rFonts w:hint="default" w:ascii="Times New Roman" w:hAnsi="Times New Roman" w:eastAsia="仿宋_GB2312" w:cs="Times New Roman"/>
                <w:b w:val="0"/>
                <w:bCs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color w:val="auto"/>
                <w:w w:val="95"/>
                <w:kern w:val="2"/>
                <w:sz w:val="24"/>
                <w:szCs w:val="24"/>
                <w:highlight w:val="none"/>
                <w:lang w:val="en-US" w:eastAsia="zh-CN" w:bidi="ar-SA"/>
              </w:rPr>
            </w:pPr>
            <w:r>
              <w:rPr>
                <w:rFonts w:hint="default" w:ascii="Times New Roman" w:hAnsi="Times New Roman" w:eastAsia="仿宋_GB2312" w:cs="Times New Roman"/>
                <w:b w:val="0"/>
                <w:bCs w:val="0"/>
                <w:color w:val="auto"/>
                <w:w w:val="95"/>
                <w:sz w:val="24"/>
                <w:szCs w:val="24"/>
                <w:highlight w:val="none"/>
              </w:rPr>
              <w:t>（</w:t>
            </w:r>
            <w:r>
              <w:rPr>
                <w:rFonts w:hint="default" w:ascii="Times New Roman" w:hAnsi="Times New Roman" w:eastAsia="仿宋_GB2312" w:cs="Times New Roman"/>
                <w:b w:val="0"/>
                <w:bCs w:val="0"/>
                <w:color w:val="auto"/>
                <w:w w:val="95"/>
                <w:sz w:val="24"/>
                <w:szCs w:val="24"/>
                <w:highlight w:val="none"/>
                <w:lang w:val="en-US" w:eastAsia="zh-CN"/>
              </w:rPr>
              <w:t>2</w:t>
            </w:r>
            <w:r>
              <w:rPr>
                <w:rFonts w:hint="default" w:ascii="Times New Roman" w:hAnsi="Times New Roman" w:eastAsia="仿宋_GB2312" w:cs="Times New Roman"/>
                <w:b w:val="0"/>
                <w:bCs w:val="0"/>
                <w:color w:val="auto"/>
                <w:w w:val="95"/>
                <w:sz w:val="24"/>
                <w:szCs w:val="24"/>
                <w:highlight w:val="none"/>
              </w:rPr>
              <w:t>）常住人口城镇化率（%）</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60.09</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65左右</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color w:val="auto"/>
                <w:w w:val="95"/>
                <w:sz w:val="24"/>
                <w:szCs w:val="24"/>
                <w:highlight w:val="none"/>
                <w:lang w:eastAsia="zh-CN"/>
              </w:rPr>
            </w:pPr>
            <w:r>
              <w:rPr>
                <w:rFonts w:hint="default" w:ascii="Times New Roman" w:hAnsi="Times New Roman" w:eastAsia="仿宋_GB2312" w:cs="Times New Roman"/>
                <w:b w:val="0"/>
                <w:bCs w:val="0"/>
                <w:color w:val="auto"/>
                <w:w w:val="95"/>
                <w:sz w:val="24"/>
                <w:szCs w:val="24"/>
                <w:highlight w:val="none"/>
                <w:lang w:eastAsia="zh-CN"/>
              </w:rPr>
              <w:t>（</w:t>
            </w:r>
            <w:r>
              <w:rPr>
                <w:rFonts w:hint="default" w:ascii="Times New Roman" w:hAnsi="Times New Roman" w:eastAsia="仿宋_GB2312" w:cs="Times New Roman"/>
                <w:b w:val="0"/>
                <w:bCs w:val="0"/>
                <w:color w:val="auto"/>
                <w:w w:val="95"/>
                <w:sz w:val="24"/>
                <w:szCs w:val="24"/>
                <w:highlight w:val="none"/>
                <w:lang w:val="en-US" w:eastAsia="zh-CN"/>
              </w:rPr>
              <w:t>3</w:t>
            </w:r>
            <w:r>
              <w:rPr>
                <w:rFonts w:hint="default" w:ascii="Times New Roman" w:hAnsi="Times New Roman" w:eastAsia="仿宋_GB2312" w:cs="Times New Roman"/>
                <w:b w:val="0"/>
                <w:bCs w:val="0"/>
                <w:color w:val="auto"/>
                <w:w w:val="95"/>
                <w:sz w:val="24"/>
                <w:szCs w:val="24"/>
                <w:highlight w:val="none"/>
                <w:lang w:eastAsia="zh-CN"/>
              </w:rPr>
              <w:t>）全员劳动生产率增速（</w:t>
            </w:r>
            <w:r>
              <w:rPr>
                <w:rFonts w:hint="default" w:ascii="Times New Roman" w:hAnsi="Times New Roman" w:eastAsia="仿宋_GB2312" w:cs="Times New Roman"/>
                <w:b w:val="0"/>
                <w:bCs w:val="0"/>
                <w:color w:val="auto"/>
                <w:w w:val="95"/>
                <w:sz w:val="24"/>
                <w:szCs w:val="24"/>
                <w:highlight w:val="none"/>
                <w:lang w:val="en-US" w:eastAsia="zh-CN"/>
              </w:rPr>
              <w:t>%</w:t>
            </w:r>
            <w:r>
              <w:rPr>
                <w:rFonts w:hint="default" w:ascii="Times New Roman" w:hAnsi="Times New Roman" w:eastAsia="仿宋_GB2312" w:cs="Times New Roman"/>
                <w:b w:val="0"/>
                <w:bCs w:val="0"/>
                <w:color w:val="auto"/>
                <w:w w:val="95"/>
                <w:sz w:val="24"/>
                <w:szCs w:val="24"/>
                <w:highlight w:val="none"/>
                <w:lang w:eastAsia="zh-CN"/>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高于GDP增长</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eastAsia="zh-CN"/>
              </w:rPr>
            </w:pPr>
            <w:r>
              <w:rPr>
                <w:rFonts w:hint="default" w:ascii="Times New Roman" w:hAnsi="Times New Roman" w:eastAsia="仿宋_GB2312" w:cs="Times New Roman"/>
                <w:b w:val="0"/>
                <w:bCs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kern w:val="2"/>
                <w:sz w:val="24"/>
                <w:szCs w:val="24"/>
                <w:highlight w:val="none"/>
                <w:lang w:val="en-US" w:eastAsia="zh-CN" w:bidi="ar-SA"/>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4</w:t>
            </w:r>
            <w:r>
              <w:rPr>
                <w:rFonts w:hint="default" w:ascii="Times New Roman" w:hAnsi="Times New Roman" w:eastAsia="仿宋_GB2312" w:cs="Times New Roman"/>
                <w:b w:val="0"/>
                <w:bCs w:val="0"/>
                <w:strike w:val="0"/>
                <w:color w:val="auto"/>
                <w:w w:val="95"/>
                <w:sz w:val="24"/>
                <w:szCs w:val="24"/>
                <w:highlight w:val="none"/>
              </w:rPr>
              <w:t>）海洋</w:t>
            </w:r>
            <w:r>
              <w:rPr>
                <w:rFonts w:hint="default" w:ascii="Times New Roman" w:hAnsi="Times New Roman" w:eastAsia="仿宋_GB2312" w:cs="Times New Roman"/>
                <w:b w:val="0"/>
                <w:bCs w:val="0"/>
                <w:strike w:val="0"/>
                <w:color w:val="auto"/>
                <w:w w:val="95"/>
                <w:sz w:val="24"/>
                <w:szCs w:val="24"/>
                <w:highlight w:val="none"/>
                <w:lang w:val="en-US" w:eastAsia="zh-CN"/>
              </w:rPr>
              <w:t>经济生产总值增速（%）</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7.9</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sz w:val="24"/>
                <w:szCs w:val="24"/>
                <w:highlight w:val="none"/>
                <w:lang w:val="en-US" w:eastAsia="zh-CN"/>
              </w:rPr>
              <w:t>-</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7</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restar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r>
              <w:rPr>
                <w:rFonts w:hint="default" w:ascii="Times New Roman" w:hAnsi="Times New Roman" w:eastAsia="仿宋_GB2312" w:cs="Times New Roman"/>
                <w:b w:val="0"/>
                <w:bCs w:val="0"/>
                <w:color w:val="auto"/>
                <w:sz w:val="24"/>
                <w:szCs w:val="24"/>
                <w:highlight w:val="none"/>
              </w:rPr>
              <w:t>创新</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r>
              <w:rPr>
                <w:rFonts w:hint="default" w:ascii="Times New Roman" w:hAnsi="Times New Roman" w:eastAsia="仿宋_GB2312" w:cs="Times New Roman"/>
                <w:b w:val="0"/>
                <w:bCs w:val="0"/>
                <w:color w:val="auto"/>
                <w:sz w:val="24"/>
                <w:szCs w:val="24"/>
                <w:highlight w:val="none"/>
              </w:rPr>
              <w:t>驱动</w:t>
            </w: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color w:val="auto"/>
                <w:w w:val="95"/>
                <w:sz w:val="24"/>
                <w:szCs w:val="24"/>
                <w:highlight w:val="none"/>
              </w:rPr>
            </w:pPr>
            <w:r>
              <w:rPr>
                <w:rFonts w:hint="default" w:ascii="Times New Roman" w:hAnsi="Times New Roman" w:eastAsia="仿宋_GB2312" w:cs="Times New Roman"/>
                <w:b w:val="0"/>
                <w:bCs w:val="0"/>
                <w:color w:val="auto"/>
                <w:w w:val="95"/>
                <w:sz w:val="24"/>
                <w:szCs w:val="24"/>
                <w:highlight w:val="none"/>
              </w:rPr>
              <w:t>（</w:t>
            </w:r>
            <w:r>
              <w:rPr>
                <w:rFonts w:hint="default" w:ascii="Times New Roman" w:hAnsi="Times New Roman" w:eastAsia="仿宋_GB2312" w:cs="Times New Roman"/>
                <w:b w:val="0"/>
                <w:bCs w:val="0"/>
                <w:color w:val="auto"/>
                <w:w w:val="95"/>
                <w:sz w:val="24"/>
                <w:szCs w:val="24"/>
                <w:highlight w:val="none"/>
                <w:lang w:val="en-US" w:eastAsia="zh-CN"/>
              </w:rPr>
              <w:t>5</w:t>
            </w:r>
            <w:r>
              <w:rPr>
                <w:rFonts w:hint="default" w:ascii="Times New Roman" w:hAnsi="Times New Roman" w:eastAsia="仿宋_GB2312" w:cs="Times New Roman"/>
                <w:b w:val="0"/>
                <w:bCs w:val="0"/>
                <w:color w:val="auto"/>
                <w:w w:val="95"/>
                <w:sz w:val="24"/>
                <w:szCs w:val="24"/>
                <w:highlight w:val="none"/>
              </w:rPr>
              <w:t>）</w:t>
            </w:r>
            <w:r>
              <w:rPr>
                <w:rFonts w:hint="default" w:ascii="Times New Roman" w:hAnsi="Times New Roman" w:eastAsia="仿宋_GB2312" w:cs="Times New Roman"/>
                <w:b w:val="0"/>
                <w:bCs w:val="0"/>
                <w:color w:val="auto"/>
                <w:w w:val="95"/>
                <w:sz w:val="24"/>
                <w:szCs w:val="24"/>
                <w:highlight w:val="none"/>
                <w:lang w:val="en-US" w:eastAsia="zh-CN"/>
              </w:rPr>
              <w:t>全社会研发经费投入增长</w:t>
            </w:r>
            <w:r>
              <w:rPr>
                <w:rFonts w:hint="default" w:ascii="Times New Roman" w:hAnsi="Times New Roman" w:eastAsia="仿宋_GB2312" w:cs="Times New Roman"/>
                <w:b w:val="0"/>
                <w:bCs w:val="0"/>
                <w:color w:val="auto"/>
                <w:w w:val="95"/>
                <w:sz w:val="24"/>
                <w:szCs w:val="24"/>
                <w:highlight w:val="none"/>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6.18*</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10</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10.1</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eastAsia="zh-CN"/>
              </w:rPr>
            </w:pPr>
            <w:r>
              <w:rPr>
                <w:rFonts w:hint="default" w:ascii="Times New Roman" w:hAnsi="Times New Roman" w:eastAsia="仿宋_GB2312" w:cs="Times New Roman"/>
                <w:b w:val="0"/>
                <w:bCs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color w:val="auto"/>
                <w:w w:val="95"/>
                <w:sz w:val="24"/>
                <w:szCs w:val="24"/>
                <w:highlight w:val="none"/>
              </w:rPr>
            </w:pPr>
            <w:r>
              <w:rPr>
                <w:rFonts w:hint="default" w:ascii="Times New Roman" w:hAnsi="Times New Roman" w:eastAsia="仿宋_GB2312" w:cs="Times New Roman"/>
                <w:b w:val="0"/>
                <w:bCs w:val="0"/>
                <w:color w:val="auto"/>
                <w:w w:val="95"/>
                <w:sz w:val="24"/>
                <w:szCs w:val="24"/>
                <w:highlight w:val="none"/>
              </w:rPr>
              <w:t>（</w:t>
            </w:r>
            <w:r>
              <w:rPr>
                <w:rFonts w:hint="default" w:ascii="Times New Roman" w:hAnsi="Times New Roman" w:eastAsia="仿宋_GB2312" w:cs="Times New Roman"/>
                <w:b w:val="0"/>
                <w:bCs w:val="0"/>
                <w:color w:val="auto"/>
                <w:w w:val="95"/>
                <w:sz w:val="24"/>
                <w:szCs w:val="24"/>
                <w:highlight w:val="none"/>
                <w:lang w:val="en-US" w:eastAsia="zh-CN"/>
              </w:rPr>
              <w:t>6</w:t>
            </w:r>
            <w:r>
              <w:rPr>
                <w:rFonts w:hint="default" w:ascii="Times New Roman" w:hAnsi="Times New Roman" w:eastAsia="仿宋_GB2312" w:cs="Times New Roman"/>
                <w:b w:val="0"/>
                <w:bCs w:val="0"/>
                <w:color w:val="auto"/>
                <w:w w:val="95"/>
                <w:sz w:val="24"/>
                <w:szCs w:val="24"/>
                <w:highlight w:val="none"/>
              </w:rPr>
              <w:t>）每万人</w:t>
            </w:r>
            <w:r>
              <w:rPr>
                <w:rFonts w:hint="default" w:ascii="Times New Roman" w:hAnsi="Times New Roman" w:eastAsia="仿宋_GB2312" w:cs="Times New Roman"/>
                <w:b w:val="0"/>
                <w:bCs w:val="0"/>
                <w:color w:val="auto"/>
                <w:w w:val="95"/>
                <w:sz w:val="24"/>
                <w:szCs w:val="24"/>
                <w:highlight w:val="none"/>
                <w:lang w:eastAsia="zh-CN"/>
              </w:rPr>
              <w:t>口高价值</w:t>
            </w:r>
            <w:r>
              <w:rPr>
                <w:rFonts w:hint="default" w:ascii="Times New Roman" w:hAnsi="Times New Roman" w:eastAsia="仿宋_GB2312" w:cs="Times New Roman"/>
                <w:b w:val="0"/>
                <w:bCs w:val="0"/>
                <w:color w:val="auto"/>
                <w:w w:val="95"/>
                <w:sz w:val="24"/>
                <w:szCs w:val="24"/>
                <w:highlight w:val="none"/>
              </w:rPr>
              <w:t>发明专利</w:t>
            </w:r>
            <w:r>
              <w:rPr>
                <w:rFonts w:hint="default" w:ascii="Times New Roman" w:hAnsi="Times New Roman" w:eastAsia="仿宋_GB2312" w:cs="Times New Roman"/>
                <w:b w:val="0"/>
                <w:bCs w:val="0"/>
                <w:color w:val="auto"/>
                <w:w w:val="95"/>
                <w:sz w:val="24"/>
                <w:szCs w:val="24"/>
                <w:highlight w:val="none"/>
                <w:lang w:eastAsia="zh-CN"/>
              </w:rPr>
              <w:t>拥有量</w:t>
            </w:r>
            <w:r>
              <w:rPr>
                <w:rFonts w:hint="default" w:ascii="Times New Roman" w:hAnsi="Times New Roman" w:eastAsia="仿宋_GB2312" w:cs="Times New Roman"/>
                <w:b w:val="0"/>
                <w:bCs w:val="0"/>
                <w:color w:val="auto"/>
                <w:w w:val="95"/>
                <w:sz w:val="24"/>
                <w:szCs w:val="24"/>
                <w:highlight w:val="none"/>
              </w:rPr>
              <w:t>（件）</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3.61</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7.2</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仿宋_GB2312" w:cs="Times New Roman"/>
                <w:b w:val="0"/>
                <w:bCs w:val="0"/>
                <w:color w:val="auto"/>
                <w:sz w:val="24"/>
                <w:szCs w:val="24"/>
                <w:highlight w:val="none"/>
                <w:lang w:eastAsia="zh-CN"/>
              </w:rPr>
            </w:pPr>
            <w:r>
              <w:rPr>
                <w:rFonts w:hint="default" w:ascii="Times New Roman" w:hAnsi="Times New Roman" w:eastAsia="仿宋_GB2312" w:cs="Times New Roman"/>
                <w:b w:val="0"/>
                <w:bCs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kern w:val="2"/>
                <w:sz w:val="24"/>
                <w:szCs w:val="24"/>
                <w:highlight w:val="none"/>
                <w:lang w:val="en-US" w:eastAsia="zh-CN" w:bidi="ar-SA"/>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7</w:t>
            </w:r>
            <w:r>
              <w:rPr>
                <w:rFonts w:hint="default" w:ascii="Times New Roman" w:hAnsi="Times New Roman" w:eastAsia="仿宋_GB2312" w:cs="Times New Roman"/>
                <w:b w:val="0"/>
                <w:bCs w:val="0"/>
                <w:strike w:val="0"/>
                <w:color w:val="auto"/>
                <w:w w:val="95"/>
                <w:sz w:val="24"/>
                <w:szCs w:val="24"/>
                <w:highlight w:val="none"/>
              </w:rPr>
              <w:t>）高新技术产业</w:t>
            </w:r>
            <w:r>
              <w:rPr>
                <w:rFonts w:hint="default" w:ascii="Times New Roman" w:hAnsi="Times New Roman" w:eastAsia="仿宋_GB2312" w:cs="Times New Roman"/>
                <w:b w:val="0"/>
                <w:bCs w:val="0"/>
                <w:strike w:val="0"/>
                <w:color w:val="auto"/>
                <w:w w:val="95"/>
                <w:sz w:val="24"/>
                <w:szCs w:val="24"/>
                <w:highlight w:val="none"/>
                <w:lang w:eastAsia="zh-CN"/>
              </w:rPr>
              <w:t>产值占规模以上工业总产值比重</w:t>
            </w:r>
            <w:r>
              <w:rPr>
                <w:rFonts w:hint="default" w:ascii="Times New Roman" w:hAnsi="Times New Roman" w:eastAsia="仿宋_GB2312" w:cs="Times New Roman"/>
                <w:b w:val="0"/>
                <w:bCs w:val="0"/>
                <w:strike w:val="0"/>
                <w:color w:val="auto"/>
                <w:w w:val="95"/>
                <w:sz w:val="24"/>
                <w:szCs w:val="24"/>
                <w:highlight w:val="none"/>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31.95</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45</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restar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民生</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福祉</w:t>
            </w: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kern w:val="2"/>
                <w:sz w:val="24"/>
                <w:szCs w:val="24"/>
                <w:highlight w:val="none"/>
                <w:lang w:val="en-US" w:eastAsia="zh-CN" w:bidi="ar-SA"/>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8</w:t>
            </w: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eastAsia="zh-CN"/>
              </w:rPr>
              <w:t>居民</w:t>
            </w:r>
            <w:r>
              <w:rPr>
                <w:rFonts w:hint="default" w:ascii="Times New Roman" w:hAnsi="Times New Roman" w:eastAsia="仿宋_GB2312" w:cs="Times New Roman"/>
                <w:b w:val="0"/>
                <w:bCs w:val="0"/>
                <w:strike w:val="0"/>
                <w:color w:val="auto"/>
                <w:w w:val="95"/>
                <w:sz w:val="24"/>
                <w:szCs w:val="24"/>
                <w:highlight w:val="none"/>
              </w:rPr>
              <w:t>人均可支配收入增长（%）</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5.8</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与GDP增长同步</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kern w:val="2"/>
                <w:sz w:val="24"/>
                <w:szCs w:val="24"/>
                <w:highlight w:val="none"/>
                <w:lang w:val="en-US" w:eastAsia="zh-CN" w:bidi="ar-SA"/>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9</w:t>
            </w:r>
            <w:r>
              <w:rPr>
                <w:rFonts w:hint="default" w:ascii="Times New Roman" w:hAnsi="Times New Roman" w:eastAsia="仿宋_GB2312" w:cs="Times New Roman"/>
                <w:b w:val="0"/>
                <w:bCs w:val="0"/>
                <w:strike w:val="0"/>
                <w:color w:val="auto"/>
                <w:w w:val="95"/>
                <w:sz w:val="24"/>
                <w:szCs w:val="24"/>
                <w:highlight w:val="none"/>
              </w:rPr>
              <w:t>）城镇</w:t>
            </w:r>
            <w:r>
              <w:rPr>
                <w:rFonts w:hint="default" w:ascii="Times New Roman" w:hAnsi="Times New Roman" w:eastAsia="仿宋_GB2312" w:cs="Times New Roman"/>
                <w:b w:val="0"/>
                <w:bCs w:val="0"/>
                <w:strike w:val="0"/>
                <w:color w:val="auto"/>
                <w:w w:val="95"/>
                <w:sz w:val="24"/>
                <w:szCs w:val="24"/>
                <w:highlight w:val="none"/>
                <w:lang w:val="en-US" w:eastAsia="zh-CN"/>
              </w:rPr>
              <w:t>新增就业人数</w:t>
            </w: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万人</w:t>
            </w:r>
            <w:r>
              <w:rPr>
                <w:rFonts w:hint="default" w:ascii="Times New Roman" w:hAnsi="Times New Roman" w:eastAsia="仿宋_GB2312" w:cs="Times New Roman"/>
                <w:b w:val="0"/>
                <w:bCs w:val="0"/>
                <w:strike w:val="0"/>
                <w:color w:val="auto"/>
                <w:w w:val="95"/>
                <w:sz w:val="24"/>
                <w:szCs w:val="24"/>
                <w:highlight w:val="none"/>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0.4</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[2]</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sz w:val="24"/>
                <w:szCs w:val="24"/>
                <w:highlight w:val="none"/>
              </w:rPr>
            </w:pPr>
          </w:p>
        </w:tc>
        <w:tc>
          <w:tcPr>
            <w:tcW w:w="2108" w:type="pct"/>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rFonts w:hint="default" w:ascii="Times New Roman" w:hAnsi="Times New Roman" w:eastAsia="仿宋_GB2312" w:cs="Times New Roman"/>
                <w:b w:val="0"/>
                <w:bCs w:val="0"/>
                <w:strike w:val="0"/>
                <w:color w:val="auto"/>
                <w:w w:val="95"/>
                <w:sz w:val="24"/>
                <w:szCs w:val="24"/>
                <w:highlight w:val="none"/>
              </w:rPr>
            </w:pPr>
            <w:r>
              <w:rPr>
                <w:rFonts w:hint="default" w:ascii="Times New Roman" w:hAnsi="Times New Roman" w:eastAsia="仿宋_GB2312" w:cs="Times New Roman"/>
                <w:b w:val="0"/>
                <w:bCs w:val="0"/>
                <w:i w:val="0"/>
                <w:strike w:val="0"/>
                <w:color w:val="auto"/>
                <w:w w:val="95"/>
                <w:sz w:val="24"/>
                <w:szCs w:val="24"/>
                <w:highlight w:val="none"/>
                <w:u w:val="none"/>
                <w:lang w:eastAsia="zh-CN"/>
              </w:rPr>
              <w:t>（</w:t>
            </w:r>
            <w:r>
              <w:rPr>
                <w:rFonts w:hint="default" w:ascii="Times New Roman" w:hAnsi="Times New Roman" w:eastAsia="仿宋_GB2312" w:cs="Times New Roman"/>
                <w:b w:val="0"/>
                <w:bCs w:val="0"/>
                <w:i w:val="0"/>
                <w:strike w:val="0"/>
                <w:color w:val="auto"/>
                <w:w w:val="95"/>
                <w:sz w:val="24"/>
                <w:szCs w:val="24"/>
                <w:highlight w:val="none"/>
                <w:u w:val="none"/>
                <w:lang w:val="en-US" w:eastAsia="zh-CN"/>
              </w:rPr>
              <w:t>10</w:t>
            </w:r>
            <w:r>
              <w:rPr>
                <w:rFonts w:hint="default" w:ascii="Times New Roman" w:hAnsi="Times New Roman" w:eastAsia="仿宋_GB2312" w:cs="Times New Roman"/>
                <w:b w:val="0"/>
                <w:bCs w:val="0"/>
                <w:i w:val="0"/>
                <w:strike w:val="0"/>
                <w:color w:val="auto"/>
                <w:w w:val="95"/>
                <w:sz w:val="24"/>
                <w:szCs w:val="24"/>
                <w:highlight w:val="none"/>
                <w:u w:val="none"/>
                <w:lang w:eastAsia="zh-CN"/>
              </w:rPr>
              <w:t>）劳动年龄人口平均受教育年限（年）</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12</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12以上</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i w:val="0"/>
                <w:strike w:val="0"/>
                <w:color w:val="auto"/>
                <w:sz w:val="24"/>
                <w:szCs w:val="24"/>
                <w:highlight w:val="none"/>
                <w:u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rPr>
            </w:pPr>
            <w:r>
              <w:rPr>
                <w:rFonts w:hint="default" w:ascii="Times New Roman" w:hAnsi="Times New Roman" w:eastAsia="仿宋_GB2312" w:cs="Times New Roman"/>
                <w:strike w:val="0"/>
                <w:color w:val="auto"/>
                <w:spacing w:val="0"/>
                <w:w w:val="95"/>
                <w:sz w:val="24"/>
                <w:szCs w:val="24"/>
                <w:highlight w:val="none"/>
                <w:lang w:val="en-US" w:eastAsia="zh-CN"/>
              </w:rPr>
              <w:t>（11）养老机构护理型床位占比（%）</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80.2</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80.5</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lang w:eastAsia="zh-CN"/>
              </w:rPr>
            </w:pPr>
            <w:r>
              <w:rPr>
                <w:rFonts w:hint="default" w:ascii="Times New Roman" w:hAnsi="Times New Roman" w:eastAsia="仿宋_GB2312" w:cs="Times New Roman"/>
                <w:b w:val="0"/>
                <w:bCs w:val="0"/>
                <w:strike w:val="0"/>
                <w:color w:val="auto"/>
                <w:w w:val="95"/>
                <w:sz w:val="24"/>
                <w:szCs w:val="24"/>
                <w:highlight w:val="none"/>
              </w:rPr>
              <w:t>（1</w:t>
            </w:r>
            <w:r>
              <w:rPr>
                <w:rFonts w:hint="default" w:ascii="Times New Roman" w:hAnsi="Times New Roman" w:eastAsia="仿宋_GB2312" w:cs="Times New Roman"/>
                <w:b w:val="0"/>
                <w:bCs w:val="0"/>
                <w:strike w:val="0"/>
                <w:color w:val="auto"/>
                <w:w w:val="95"/>
                <w:sz w:val="24"/>
                <w:szCs w:val="24"/>
                <w:highlight w:val="none"/>
                <w:lang w:val="en-US" w:eastAsia="zh-CN"/>
              </w:rPr>
              <w:t>2</w:t>
            </w:r>
            <w:r>
              <w:rPr>
                <w:rFonts w:hint="default" w:ascii="Times New Roman" w:hAnsi="Times New Roman" w:eastAsia="仿宋_GB2312" w:cs="Times New Roman"/>
                <w:b w:val="0"/>
                <w:bCs w:val="0"/>
                <w:strike w:val="0"/>
                <w:color w:val="auto"/>
                <w:w w:val="95"/>
                <w:sz w:val="24"/>
                <w:szCs w:val="24"/>
                <w:highlight w:val="none"/>
              </w:rPr>
              <w:t>）每千</w:t>
            </w:r>
            <w:r>
              <w:rPr>
                <w:rFonts w:hint="default" w:ascii="Times New Roman" w:hAnsi="Times New Roman" w:eastAsia="仿宋_GB2312" w:cs="Times New Roman"/>
                <w:b w:val="0"/>
                <w:bCs w:val="0"/>
                <w:strike w:val="0"/>
                <w:color w:val="auto"/>
                <w:w w:val="95"/>
                <w:sz w:val="24"/>
                <w:szCs w:val="24"/>
                <w:highlight w:val="none"/>
                <w:lang w:val="en-US" w:eastAsia="zh-CN"/>
              </w:rPr>
              <w:t>人口执业医师数</w:t>
            </w: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人</w:t>
            </w:r>
            <w:r>
              <w:rPr>
                <w:rFonts w:hint="default" w:ascii="Times New Roman" w:hAnsi="Times New Roman" w:eastAsia="仿宋_GB2312" w:cs="Times New Roman"/>
                <w:b w:val="0"/>
                <w:bCs w:val="0"/>
                <w:strike w:val="0"/>
                <w:color w:val="auto"/>
                <w:w w:val="95"/>
                <w:sz w:val="24"/>
                <w:szCs w:val="24"/>
                <w:highlight w:val="none"/>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3.84</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3.9</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cs="Times New Roman" w:eastAsiaTheme="minorEastAsia"/>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13</w:t>
            </w:r>
            <w:r>
              <w:rPr>
                <w:rFonts w:hint="default" w:ascii="Times New Roman" w:hAnsi="Times New Roman" w:eastAsia="仿宋_GB2312" w:cs="Times New Roman"/>
                <w:b w:val="0"/>
                <w:bCs w:val="0"/>
                <w:strike w:val="0"/>
                <w:color w:val="auto"/>
                <w:w w:val="95"/>
                <w:sz w:val="24"/>
                <w:szCs w:val="24"/>
                <w:highlight w:val="none"/>
              </w:rPr>
              <w:t>）每千</w:t>
            </w:r>
            <w:r>
              <w:rPr>
                <w:rFonts w:hint="default" w:ascii="Times New Roman" w:hAnsi="Times New Roman" w:eastAsia="仿宋_GB2312" w:cs="Times New Roman"/>
                <w:b w:val="0"/>
                <w:bCs w:val="0"/>
                <w:strike w:val="0"/>
                <w:color w:val="auto"/>
                <w:w w:val="95"/>
                <w:sz w:val="24"/>
                <w:szCs w:val="24"/>
                <w:highlight w:val="none"/>
                <w:lang w:val="en-US" w:eastAsia="zh-CN"/>
              </w:rPr>
              <w:t>人口注册护士数</w:t>
            </w: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人</w:t>
            </w:r>
            <w:r>
              <w:rPr>
                <w:rFonts w:hint="default" w:ascii="Times New Roman" w:hAnsi="Times New Roman" w:eastAsia="仿宋_GB2312" w:cs="Times New Roman"/>
                <w:b w:val="0"/>
                <w:bCs w:val="0"/>
                <w:strike w:val="0"/>
                <w:color w:val="auto"/>
                <w:w w:val="95"/>
                <w:sz w:val="24"/>
                <w:szCs w:val="24"/>
                <w:highlight w:val="none"/>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3.91</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4.2</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cs="Times New Roman" w:eastAsiaTheme="minorEastAsia"/>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kern w:val="2"/>
                <w:sz w:val="24"/>
                <w:szCs w:val="24"/>
                <w:highlight w:val="none"/>
                <w:lang w:val="en-US" w:eastAsia="zh-CN" w:bidi="ar-SA"/>
              </w:rPr>
            </w:pPr>
            <w:r>
              <w:rPr>
                <w:rFonts w:hint="default" w:ascii="Times New Roman" w:hAnsi="Times New Roman" w:eastAsia="仿宋_GB2312" w:cs="Times New Roman"/>
                <w:b w:val="0"/>
                <w:bCs w:val="0"/>
                <w:strike w:val="0"/>
                <w:color w:val="auto"/>
                <w:w w:val="95"/>
                <w:sz w:val="24"/>
                <w:szCs w:val="24"/>
                <w:highlight w:val="none"/>
                <w:lang w:eastAsia="zh-CN"/>
              </w:rPr>
              <w:t>（</w:t>
            </w:r>
            <w:r>
              <w:rPr>
                <w:rFonts w:hint="default" w:ascii="Times New Roman" w:hAnsi="Times New Roman" w:eastAsia="仿宋_GB2312" w:cs="Times New Roman"/>
                <w:b w:val="0"/>
                <w:bCs w:val="0"/>
                <w:strike w:val="0"/>
                <w:color w:val="auto"/>
                <w:w w:val="95"/>
                <w:sz w:val="24"/>
                <w:szCs w:val="24"/>
                <w:highlight w:val="none"/>
                <w:lang w:val="en-US" w:eastAsia="zh-CN"/>
              </w:rPr>
              <w:t>14</w:t>
            </w:r>
            <w:r>
              <w:rPr>
                <w:rFonts w:hint="default" w:ascii="Times New Roman" w:hAnsi="Times New Roman" w:eastAsia="仿宋_GB2312" w:cs="Times New Roman"/>
                <w:b w:val="0"/>
                <w:bCs w:val="0"/>
                <w:strike w:val="0"/>
                <w:color w:val="auto"/>
                <w:w w:val="95"/>
                <w:sz w:val="24"/>
                <w:szCs w:val="24"/>
                <w:highlight w:val="none"/>
                <w:lang w:eastAsia="zh-CN"/>
              </w:rPr>
              <w:t>）</w:t>
            </w:r>
            <w:r>
              <w:rPr>
                <w:rFonts w:hint="default" w:ascii="Times New Roman" w:hAnsi="Times New Roman" w:eastAsia="仿宋_GB2312" w:cs="Times New Roman"/>
                <w:b w:val="0"/>
                <w:bCs w:val="0"/>
                <w:strike w:val="0"/>
                <w:color w:val="auto"/>
                <w:w w:val="95"/>
                <w:sz w:val="24"/>
                <w:szCs w:val="24"/>
                <w:highlight w:val="none"/>
              </w:rPr>
              <w:t>人均预期寿命（岁）</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81.36</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82.2</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左右</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sz w:val="24"/>
                <w:szCs w:val="24"/>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restar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b w:val="0"/>
                <w:bCs w:val="0"/>
                <w:strike w:val="0"/>
                <w:color w:val="auto"/>
                <w:sz w:val="24"/>
                <w:szCs w:val="24"/>
                <w:highlight w:val="none"/>
                <w:lang w:val="en-US" w:eastAsia="zh-CN"/>
              </w:rPr>
            </w:pPr>
            <w:r>
              <w:rPr>
                <w:rFonts w:hint="eastAsia" w:ascii="仿宋_GB2312" w:hAnsi="仿宋_GB2312" w:eastAsia="仿宋_GB2312" w:cs="仿宋_GB2312"/>
                <w:b w:val="0"/>
                <w:bCs w:val="0"/>
                <w:strike w:val="0"/>
                <w:color w:val="auto"/>
                <w:sz w:val="24"/>
                <w:szCs w:val="24"/>
                <w:highlight w:val="none"/>
                <w:lang w:val="en-US" w:eastAsia="zh-CN"/>
              </w:rPr>
              <w:t>绿色</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b w:val="0"/>
                <w:bCs w:val="0"/>
                <w:strike w:val="0"/>
                <w:color w:val="auto"/>
                <w:sz w:val="24"/>
                <w:szCs w:val="24"/>
                <w:highlight w:val="none"/>
                <w:lang w:val="en-US" w:eastAsia="zh-CN"/>
              </w:rPr>
            </w:pPr>
            <w:r>
              <w:rPr>
                <w:rFonts w:hint="eastAsia" w:ascii="仿宋_GB2312" w:hAnsi="仿宋_GB2312" w:eastAsia="仿宋_GB2312" w:cs="仿宋_GB2312"/>
                <w:b w:val="0"/>
                <w:bCs w:val="0"/>
                <w:strike w:val="0"/>
                <w:color w:val="auto"/>
                <w:sz w:val="24"/>
                <w:szCs w:val="24"/>
                <w:highlight w:val="none"/>
                <w:lang w:val="en-US" w:eastAsia="zh-CN"/>
              </w:rPr>
              <w:t>生态</w:t>
            </w: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rPr>
            </w:pPr>
            <w:r>
              <w:rPr>
                <w:rFonts w:hint="default" w:ascii="Times New Roman" w:hAnsi="Times New Roman" w:eastAsia="仿宋_GB2312" w:cs="Times New Roman"/>
                <w:b w:val="0"/>
                <w:bCs w:val="0"/>
                <w:strike w:val="0"/>
                <w:color w:val="auto"/>
                <w:w w:val="95"/>
                <w:sz w:val="24"/>
                <w:szCs w:val="24"/>
                <w:highlight w:val="none"/>
              </w:rPr>
              <w:t>（1</w:t>
            </w:r>
            <w:r>
              <w:rPr>
                <w:rFonts w:hint="default" w:ascii="Times New Roman" w:hAnsi="Times New Roman" w:eastAsia="仿宋_GB2312" w:cs="Times New Roman"/>
                <w:b w:val="0"/>
                <w:bCs w:val="0"/>
                <w:strike w:val="0"/>
                <w:color w:val="auto"/>
                <w:w w:val="95"/>
                <w:sz w:val="24"/>
                <w:szCs w:val="24"/>
                <w:highlight w:val="none"/>
                <w:lang w:val="en-US" w:eastAsia="zh-CN"/>
              </w:rPr>
              <w:t>5</w:t>
            </w:r>
            <w:r>
              <w:rPr>
                <w:rFonts w:hint="default" w:ascii="Times New Roman" w:hAnsi="Times New Roman" w:eastAsia="仿宋_GB2312" w:cs="Times New Roman"/>
                <w:b w:val="0"/>
                <w:bCs w:val="0"/>
                <w:strike w:val="0"/>
                <w:color w:val="auto"/>
                <w:w w:val="95"/>
                <w:sz w:val="24"/>
                <w:szCs w:val="24"/>
                <w:highlight w:val="none"/>
              </w:rPr>
              <w:t>）单位</w:t>
            </w:r>
            <w:r>
              <w:rPr>
                <w:rFonts w:hint="default" w:ascii="Times New Roman" w:hAnsi="Times New Roman" w:eastAsia="仿宋_GB2312" w:cs="Times New Roman"/>
                <w:b w:val="0"/>
                <w:bCs w:val="0"/>
                <w:strike w:val="0"/>
                <w:color w:val="auto"/>
                <w:w w:val="95"/>
                <w:sz w:val="24"/>
                <w:szCs w:val="24"/>
                <w:highlight w:val="none"/>
                <w:lang w:val="en-US" w:eastAsia="zh-CN"/>
              </w:rPr>
              <w:t>GDP</w:t>
            </w:r>
            <w:r>
              <w:rPr>
                <w:rFonts w:hint="default" w:ascii="Times New Roman" w:hAnsi="Times New Roman" w:eastAsia="仿宋_GB2312" w:cs="Times New Roman"/>
                <w:b w:val="0"/>
                <w:bCs w:val="0"/>
                <w:strike w:val="0"/>
                <w:color w:val="auto"/>
                <w:w w:val="95"/>
                <w:sz w:val="24"/>
                <w:szCs w:val="24"/>
                <w:highlight w:val="none"/>
              </w:rPr>
              <w:t>二氧化碳排放降低（%）</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color w:val="auto"/>
                <w:sz w:val="24"/>
                <w:szCs w:val="24"/>
                <w:highlight w:val="none"/>
                <w:lang w:val="en-US" w:eastAsia="zh-CN"/>
              </w:rPr>
              <w:t>[</w:t>
            </w:r>
            <w:r>
              <w:rPr>
                <w:rFonts w:hint="default" w:ascii="Times New Roman" w:hAnsi="Times New Roman" w:eastAsia="仿宋_GB2312" w:cs="Times New Roman"/>
                <w:b w:val="0"/>
                <w:bCs w:val="0"/>
                <w:strike w:val="0"/>
                <w:color w:val="auto"/>
                <w:sz w:val="24"/>
                <w:szCs w:val="24"/>
                <w:highlight w:val="none"/>
                <w:lang w:val="en-US" w:eastAsia="zh-CN"/>
              </w:rPr>
              <w:t>20.56</w:t>
            </w:r>
            <w:r>
              <w:rPr>
                <w:rFonts w:hint="default" w:ascii="Times New Roman" w:hAnsi="Times New Roman" w:eastAsia="仿宋_GB2312" w:cs="Times New Roman"/>
                <w:b w:val="0"/>
                <w:bCs w:val="0"/>
                <w:color w:val="auto"/>
                <w:sz w:val="24"/>
                <w:szCs w:val="24"/>
                <w:highlight w:val="none"/>
                <w:lang w:val="en-US" w:eastAsia="zh-CN"/>
              </w:rPr>
              <w:t>]</w:t>
            </w:r>
          </w:p>
        </w:tc>
        <w:tc>
          <w:tcPr>
            <w:tcW w:w="664" w:type="pct"/>
            <w:vMerge w:val="restart"/>
            <w:vAlign w:val="center"/>
          </w:tcPr>
          <w:p>
            <w:pPr>
              <w:keepNext w:val="0"/>
              <w:keepLines w:val="0"/>
              <w:pageBreakBefore w:val="0"/>
              <w:tabs>
                <w:tab w:val="left" w:pos="305"/>
              </w:tabs>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完成上级审核确定目标</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rPr>
            </w:pPr>
            <w:r>
              <w:rPr>
                <w:rFonts w:hint="default" w:ascii="Times New Roman" w:hAnsi="Times New Roman" w:eastAsia="仿宋_GB2312" w:cs="Times New Roman"/>
                <w:strike w:val="0"/>
                <w:color w:val="auto"/>
                <w:spacing w:val="0"/>
                <w:w w:val="95"/>
                <w:sz w:val="24"/>
                <w:szCs w:val="24"/>
                <w:highlight w:val="none"/>
                <w:lang w:val="en-US" w:eastAsia="zh-CN"/>
              </w:rPr>
              <w:t>（16）非化石能源占能源消费总量比重（%）</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664" w:type="pct"/>
            <w:vMerge w:val="continue"/>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rPr>
            </w:pP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lang w:val="en-US" w:eastAsia="zh-CN"/>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17</w:t>
            </w: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县级城市细颗粒物（PM2.5）浓度（微克/立方米）</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22</w:t>
            </w:r>
          </w:p>
        </w:tc>
        <w:tc>
          <w:tcPr>
            <w:tcW w:w="664" w:type="pct"/>
            <w:vMerge w:val="restar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rPr>
            </w:pPr>
            <w:r>
              <w:rPr>
                <w:rFonts w:hint="default" w:ascii="Times New Roman" w:hAnsi="Times New Roman" w:eastAsia="仿宋_GB2312" w:cs="Times New Roman"/>
                <w:b w:val="0"/>
                <w:bCs w:val="0"/>
                <w:strike w:val="0"/>
                <w:color w:val="auto"/>
                <w:sz w:val="24"/>
                <w:szCs w:val="24"/>
                <w:highlight w:val="none"/>
                <w:lang w:val="en-US" w:eastAsia="zh-CN"/>
              </w:rPr>
              <w:t>完成上级分解任务</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18</w:t>
            </w: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eastAsia="zh-CN"/>
              </w:rPr>
              <w:t>优良水体比例</w:t>
            </w:r>
            <w:r>
              <w:rPr>
                <w:rFonts w:hint="default" w:ascii="Times New Roman" w:hAnsi="Times New Roman" w:eastAsia="仿宋_GB2312" w:cs="Times New Roman"/>
                <w:b w:val="0"/>
                <w:bCs w:val="0"/>
                <w:strike w:val="0"/>
                <w:color w:val="auto"/>
                <w:w w:val="95"/>
                <w:sz w:val="24"/>
                <w:szCs w:val="24"/>
                <w:highlight w:val="none"/>
              </w:rPr>
              <w:t>（%）</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100</w:t>
            </w:r>
          </w:p>
        </w:tc>
        <w:tc>
          <w:tcPr>
            <w:tcW w:w="664" w:type="pct"/>
            <w:vMerge w:val="continue"/>
            <w:vAlign w:val="top"/>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rPr>
            </w:pP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6"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b w:val="0"/>
                <w:bCs w:val="0"/>
                <w:strike w:val="0"/>
                <w:color w:val="auto"/>
                <w:sz w:val="24"/>
                <w:szCs w:val="24"/>
                <w:highlight w:val="none"/>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19</w:t>
            </w:r>
            <w:r>
              <w:rPr>
                <w:rFonts w:hint="default" w:ascii="Times New Roman" w:hAnsi="Times New Roman" w:eastAsia="仿宋_GB2312" w:cs="Times New Roman"/>
                <w:b w:val="0"/>
                <w:bCs w:val="0"/>
                <w:strike w:val="0"/>
                <w:color w:val="auto"/>
                <w:w w:val="95"/>
                <w:sz w:val="24"/>
                <w:szCs w:val="24"/>
                <w:highlight w:val="none"/>
              </w:rPr>
              <w:t>）森林覆盖率（%）</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bCs/>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完成上级审核确定目标</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sz w:val="24"/>
                <w:szCs w:val="24"/>
                <w:highlight w:val="none"/>
                <w:lang w:val="en-US" w:eastAsia="zh-CN"/>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bCs/>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09" w:type="pct"/>
            <w:vMerge w:val="restar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 w:val="0"/>
                <w:bCs w:val="0"/>
                <w:strike w:val="0"/>
                <w:color w:val="auto"/>
                <w:sz w:val="24"/>
                <w:szCs w:val="24"/>
                <w:highlight w:val="none"/>
                <w:lang w:eastAsia="zh-CN"/>
              </w:rPr>
            </w:pPr>
            <w:r>
              <w:rPr>
                <w:rFonts w:hint="eastAsia" w:ascii="仿宋_GB2312" w:hAnsi="仿宋_GB2312" w:eastAsia="仿宋_GB2312" w:cs="仿宋_GB2312"/>
                <w:b w:val="0"/>
                <w:bCs w:val="0"/>
                <w:strike w:val="0"/>
                <w:color w:val="auto"/>
                <w:sz w:val="24"/>
                <w:szCs w:val="24"/>
                <w:highlight w:val="none"/>
                <w:lang w:eastAsia="zh-CN"/>
              </w:rPr>
              <w:t>安全</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 w:val="0"/>
                <w:bCs w:val="0"/>
                <w:strike w:val="0"/>
                <w:color w:val="auto"/>
                <w:sz w:val="24"/>
                <w:szCs w:val="24"/>
                <w:highlight w:val="none"/>
                <w:lang w:eastAsia="zh-CN"/>
              </w:rPr>
            </w:pPr>
            <w:r>
              <w:rPr>
                <w:rFonts w:hint="eastAsia" w:ascii="仿宋_GB2312" w:hAnsi="仿宋_GB2312" w:eastAsia="仿宋_GB2312" w:cs="仿宋_GB2312"/>
                <w:b w:val="0"/>
                <w:bCs w:val="0"/>
                <w:strike w:val="0"/>
                <w:color w:val="auto"/>
                <w:sz w:val="24"/>
                <w:szCs w:val="24"/>
                <w:highlight w:val="none"/>
                <w:lang w:eastAsia="zh-CN"/>
              </w:rPr>
              <w:t>保障</w:t>
            </w: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kern w:val="2"/>
                <w:sz w:val="24"/>
                <w:szCs w:val="24"/>
                <w:highlight w:val="none"/>
                <w:lang w:val="en-US" w:eastAsia="zh-CN" w:bidi="ar-SA"/>
              </w:rPr>
            </w:pPr>
            <w:r>
              <w:rPr>
                <w:rFonts w:hint="default" w:ascii="Times New Roman" w:hAnsi="Times New Roman" w:eastAsia="仿宋_GB2312" w:cs="Times New Roman"/>
                <w:b w:val="0"/>
                <w:bCs w:val="0"/>
                <w:strike w:val="0"/>
                <w:color w:val="auto"/>
                <w:w w:val="95"/>
                <w:sz w:val="24"/>
                <w:szCs w:val="24"/>
                <w:highlight w:val="none"/>
              </w:rPr>
              <w:t>（</w:t>
            </w:r>
            <w:r>
              <w:rPr>
                <w:rFonts w:hint="default" w:ascii="Times New Roman" w:hAnsi="Times New Roman" w:eastAsia="仿宋_GB2312" w:cs="Times New Roman"/>
                <w:b w:val="0"/>
                <w:bCs w:val="0"/>
                <w:strike w:val="0"/>
                <w:color w:val="auto"/>
                <w:w w:val="95"/>
                <w:sz w:val="24"/>
                <w:szCs w:val="24"/>
                <w:highlight w:val="none"/>
                <w:lang w:val="en-US" w:eastAsia="zh-CN"/>
              </w:rPr>
              <w:t>20</w:t>
            </w:r>
            <w:r>
              <w:rPr>
                <w:rFonts w:hint="default" w:ascii="Times New Roman" w:hAnsi="Times New Roman" w:eastAsia="仿宋_GB2312" w:cs="Times New Roman"/>
                <w:b w:val="0"/>
                <w:bCs w:val="0"/>
                <w:strike w:val="0"/>
                <w:color w:val="auto"/>
                <w:w w:val="95"/>
                <w:sz w:val="24"/>
                <w:szCs w:val="24"/>
                <w:highlight w:val="none"/>
              </w:rPr>
              <w:t>）粮食综合生产能力（万吨）</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23</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23</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kern w:val="2"/>
                <w:sz w:val="24"/>
                <w:szCs w:val="24"/>
                <w:highlight w:val="none"/>
                <w:lang w:val="en-US" w:eastAsia="zh-CN" w:bidi="ar-SA"/>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kern w:val="2"/>
                <w:sz w:val="24"/>
                <w:szCs w:val="24"/>
                <w:highlight w:val="none"/>
                <w:lang w:val="en-US" w:eastAsia="zh-CN" w:bidi="ar-SA"/>
              </w:rPr>
            </w:pPr>
            <w:r>
              <w:rPr>
                <w:rFonts w:hint="default" w:ascii="Times New Roman" w:hAnsi="Times New Roman" w:eastAsia="仿宋_GB2312" w:cs="Times New Roman"/>
                <w:b w:val="0"/>
                <w:bCs w:val="0"/>
                <w:strike w:val="0"/>
                <w:color w:val="auto"/>
                <w:sz w:val="24"/>
                <w:szCs w:val="24"/>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409" w:type="pct"/>
            <w:vMerge w:val="continue"/>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cs="Times New Roman" w:eastAsiaTheme="minorEastAsia"/>
                <w:b w:val="0"/>
                <w:bCs w:val="0"/>
                <w:strike w:val="0"/>
                <w:color w:val="auto"/>
                <w:sz w:val="24"/>
                <w:szCs w:val="24"/>
                <w:highlight w:val="none"/>
                <w:lang w:eastAsia="zh-CN"/>
              </w:rPr>
            </w:pPr>
          </w:p>
        </w:tc>
        <w:tc>
          <w:tcPr>
            <w:tcW w:w="2108" w:type="pct"/>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b w:val="0"/>
                <w:bCs w:val="0"/>
                <w:strike w:val="0"/>
                <w:color w:val="auto"/>
                <w:w w:val="95"/>
                <w:sz w:val="24"/>
                <w:szCs w:val="24"/>
                <w:highlight w:val="none"/>
                <w:lang w:eastAsia="zh-CN"/>
              </w:rPr>
            </w:pPr>
            <w:r>
              <w:rPr>
                <w:rFonts w:hint="default" w:ascii="Times New Roman" w:hAnsi="Times New Roman" w:eastAsia="仿宋_GB2312" w:cs="Times New Roman"/>
                <w:b w:val="0"/>
                <w:bCs w:val="0"/>
                <w:strike w:val="0"/>
                <w:color w:val="auto"/>
                <w:w w:val="95"/>
                <w:sz w:val="24"/>
                <w:szCs w:val="24"/>
                <w:highlight w:val="none"/>
                <w:lang w:eastAsia="zh-CN"/>
              </w:rPr>
              <w:t>（</w:t>
            </w:r>
            <w:r>
              <w:rPr>
                <w:rFonts w:hint="default" w:ascii="Times New Roman" w:hAnsi="Times New Roman" w:eastAsia="仿宋_GB2312" w:cs="Times New Roman"/>
                <w:b w:val="0"/>
                <w:bCs w:val="0"/>
                <w:strike w:val="0"/>
                <w:color w:val="auto"/>
                <w:w w:val="95"/>
                <w:sz w:val="24"/>
                <w:szCs w:val="24"/>
                <w:highlight w:val="none"/>
                <w:lang w:val="en-US" w:eastAsia="zh-CN"/>
              </w:rPr>
              <w:t>21</w:t>
            </w:r>
            <w:r>
              <w:rPr>
                <w:rFonts w:hint="default" w:ascii="Times New Roman" w:hAnsi="Times New Roman" w:eastAsia="仿宋_GB2312" w:cs="Times New Roman"/>
                <w:b w:val="0"/>
                <w:bCs w:val="0"/>
                <w:strike w:val="0"/>
                <w:color w:val="auto"/>
                <w:w w:val="95"/>
                <w:sz w:val="24"/>
                <w:szCs w:val="24"/>
                <w:highlight w:val="none"/>
                <w:lang w:eastAsia="zh-CN"/>
              </w:rPr>
              <w:t>）能源综合生产能力（万吨标煤）</w:t>
            </w:r>
          </w:p>
        </w:tc>
        <w:tc>
          <w:tcPr>
            <w:tcW w:w="605"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b w:val="0"/>
                <w:bCs w:val="0"/>
                <w:strike w:val="0"/>
                <w:color w:val="000000" w:themeColor="text1"/>
                <w:sz w:val="24"/>
                <w:szCs w:val="24"/>
                <w:highlight w:val="none"/>
                <w:lang w:val="en-US" w:eastAsia="zh-CN"/>
                <w14:textFill>
                  <w14:solidFill>
                    <w14:schemeClr w14:val="tx1"/>
                  </w14:solidFill>
                </w14:textFill>
              </w:rPr>
              <w:t>43.43</w:t>
            </w:r>
          </w:p>
        </w:tc>
        <w:tc>
          <w:tcPr>
            <w:tcW w:w="664"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b w:val="0"/>
                <w:bCs w:val="0"/>
                <w:strike w:val="0"/>
                <w:color w:val="000000" w:themeColor="text1"/>
                <w:sz w:val="24"/>
                <w:szCs w:val="24"/>
                <w:highlight w:val="none"/>
                <w:lang w:val="en-US" w:eastAsia="zh-CN"/>
                <w14:textFill>
                  <w14:solidFill>
                    <w14:schemeClr w14:val="tx1"/>
                  </w14:solidFill>
                </w14:textFill>
              </w:rPr>
              <w:t>99</w:t>
            </w:r>
          </w:p>
        </w:tc>
        <w:tc>
          <w:tcPr>
            <w:tcW w:w="67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val="en-US" w:eastAsia="zh-CN"/>
              </w:rPr>
            </w:pPr>
            <w:r>
              <w:rPr>
                <w:rFonts w:hint="default" w:ascii="Times New Roman" w:hAnsi="Times New Roman" w:eastAsia="仿宋_GB2312" w:cs="Times New Roman"/>
                <w:b w:val="0"/>
                <w:bCs w:val="0"/>
                <w:strike w:val="0"/>
                <w:color w:val="auto"/>
                <w:kern w:val="2"/>
                <w:sz w:val="24"/>
                <w:szCs w:val="24"/>
                <w:highlight w:val="none"/>
                <w:lang w:val="en-US" w:eastAsia="zh-CN" w:bidi="ar-SA"/>
              </w:rPr>
              <w:t>-</w:t>
            </w:r>
          </w:p>
        </w:tc>
        <w:tc>
          <w:tcPr>
            <w:tcW w:w="536" w:type="pct"/>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b w:val="0"/>
                <w:bCs w:val="0"/>
                <w:strike w:val="0"/>
                <w:color w:val="auto"/>
                <w:sz w:val="24"/>
                <w:szCs w:val="24"/>
                <w:highlight w:val="none"/>
                <w:lang w:eastAsia="zh-CN"/>
              </w:rPr>
            </w:pPr>
            <w:r>
              <w:rPr>
                <w:rFonts w:hint="default" w:ascii="Times New Roman" w:hAnsi="Times New Roman" w:eastAsia="仿宋_GB2312" w:cs="Times New Roman"/>
                <w:b w:val="0"/>
                <w:bCs w:val="0"/>
                <w:strike w:val="0"/>
                <w:color w:val="auto"/>
                <w:sz w:val="24"/>
                <w:szCs w:val="24"/>
                <w:highlight w:val="none"/>
                <w:lang w:eastAsia="zh-CN"/>
              </w:rPr>
              <w:t>约束性</w:t>
            </w:r>
          </w:p>
        </w:tc>
      </w:tr>
    </w:tbl>
    <w:p>
      <w:pPr>
        <w:keepNext w:val="0"/>
        <w:keepLines w:val="0"/>
        <w:pageBreakBefore w:val="0"/>
        <w:widowControl w:val="0"/>
        <w:kinsoku/>
        <w:wordWrap/>
        <w:overflowPunct/>
        <w:topLinePunct w:val="0"/>
        <w:autoSpaceDE/>
        <w:autoSpaceDN/>
        <w:bidi w:val="0"/>
        <w:adjustRightInd/>
        <w:snapToGrid/>
        <w:spacing w:before="157" w:beforeLines="50" w:line="280" w:lineRule="exact"/>
        <w:textAlignment w:val="auto"/>
        <w:rPr>
          <w:rFonts w:hint="default" w:ascii="Times New Roman" w:hAnsi="Times New Roman" w:cs="Times New Roman" w:eastAsiaTheme="minorEastAsia"/>
          <w:b w:val="0"/>
          <w:bCs w:val="0"/>
          <w:color w:val="auto"/>
          <w:w w:val="95"/>
          <w:sz w:val="24"/>
          <w:szCs w:val="24"/>
          <w:highlight w:val="none"/>
          <w:lang w:val="en-US" w:eastAsia="zh-CN"/>
        </w:rPr>
      </w:pPr>
      <w:bookmarkStart w:id="54" w:name="_Toc3871"/>
      <w:bookmarkStart w:id="55" w:name="_Toc5301"/>
      <w:bookmarkStart w:id="56" w:name="_Toc5776"/>
      <w:r>
        <w:rPr>
          <w:rFonts w:hint="default" w:ascii="Times New Roman" w:hAnsi="Times New Roman" w:cs="Times New Roman" w:eastAsiaTheme="minorEastAsia"/>
          <w:b w:val="0"/>
          <w:bCs w:val="0"/>
          <w:color w:val="auto"/>
          <w:w w:val="95"/>
          <w:sz w:val="24"/>
          <w:szCs w:val="24"/>
          <w:highlight w:val="none"/>
          <w:lang w:val="en-US" w:eastAsia="zh-CN"/>
        </w:rPr>
        <w:t>注：[]内为5年累计数；带*的为2024年数据</w:t>
      </w:r>
    </w:p>
    <w:p>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cs="Times New Roman" w:eastAsiaTheme="minorEastAsia"/>
          <w:b w:val="0"/>
          <w:bCs w:val="0"/>
          <w:color w:val="auto"/>
          <w:w w:val="95"/>
          <w:sz w:val="24"/>
          <w:szCs w:val="24"/>
          <w:highlight w:val="none"/>
          <w:lang w:val="en-US" w:eastAsia="zh-CN"/>
        </w:rPr>
      </w:pPr>
    </w:p>
    <w:bookmarkEnd w:id="54"/>
    <w:bookmarkEnd w:id="55"/>
    <w:bookmarkEnd w:id="56"/>
    <w:p>
      <w:pPr>
        <w:pStyle w:val="2"/>
        <w:pageBreakBefore w:val="0"/>
        <w:widowControl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57" w:name="_Toc21816"/>
      <w:bookmarkStart w:id="58" w:name="_Toc5635"/>
      <w:bookmarkStart w:id="59" w:name="_Toc20726"/>
      <w:bookmarkStart w:id="60" w:name="_Toc7397"/>
      <w:bookmarkStart w:id="61" w:name="_Toc26991"/>
      <w:bookmarkStart w:id="62" w:name="_Toc23247"/>
      <w:bookmarkStart w:id="63" w:name="_Toc12727"/>
      <w:bookmarkStart w:id="64" w:name="_Toc10913"/>
      <w:bookmarkStart w:id="65" w:name="_Toc18988"/>
      <w:r>
        <w:rPr>
          <w:rFonts w:hint="default" w:ascii="Times New Roman" w:hAnsi="Times New Roman" w:eastAsia="黑体" w:cs="Times New Roman"/>
          <w:b w:val="0"/>
          <w:bCs w:val="0"/>
          <w:color w:val="auto"/>
          <w:sz w:val="32"/>
          <w:szCs w:val="32"/>
          <w:highlight w:val="none"/>
          <w:lang w:val="en-US" w:eastAsia="zh-CN"/>
        </w:rPr>
        <w:t>第三章 建设现代化产业体系</w:t>
      </w:r>
      <w:bookmarkEnd w:id="57"/>
      <w:bookmarkEnd w:id="58"/>
      <w:bookmarkEnd w:id="59"/>
      <w:bookmarkEnd w:id="60"/>
      <w:r>
        <w:rPr>
          <w:rFonts w:hint="default" w:ascii="Times New Roman" w:hAnsi="Times New Roman" w:eastAsia="黑体" w:cs="Times New Roman"/>
          <w:b w:val="0"/>
          <w:bCs w:val="0"/>
          <w:color w:val="auto"/>
          <w:sz w:val="32"/>
          <w:szCs w:val="32"/>
          <w:highlight w:val="none"/>
          <w:lang w:val="en-US" w:eastAsia="zh-CN"/>
        </w:rPr>
        <w:t>，巩固壮大实体经济根基</w:t>
      </w:r>
      <w:bookmarkEnd w:id="61"/>
      <w:bookmarkEnd w:id="62"/>
      <w:bookmarkEnd w:id="63"/>
      <w:bookmarkEnd w:id="64"/>
      <w:bookmarkEnd w:id="65"/>
    </w:p>
    <w:p>
      <w:pPr>
        <w:keepNext w:val="0"/>
        <w:keepLines w:val="0"/>
        <w:pageBreakBefore w:val="0"/>
        <w:widowControl w:val="0"/>
        <w:tabs>
          <w:tab w:val="left" w:pos="1050"/>
        </w:tabs>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lang w:val="en-US" w:eastAsia="zh-CN"/>
        </w:rPr>
      </w:pPr>
      <w:bookmarkStart w:id="66" w:name="_Toc2997"/>
      <w:bookmarkStart w:id="67" w:name="_Toc12211"/>
      <w:bookmarkStart w:id="68" w:name="_Toc6638"/>
      <w:bookmarkStart w:id="69" w:name="_Toc4405"/>
      <w:bookmarkStart w:id="70" w:name="_Toc23390"/>
      <w:bookmarkStart w:id="71" w:name="_Toc3830"/>
      <w:bookmarkStart w:id="72" w:name="_Toc12184"/>
      <w:r>
        <w:rPr>
          <w:rFonts w:hint="default" w:ascii="Times New Roman" w:hAnsi="Times New Roman" w:eastAsia="仿宋_GB2312" w:cs="Times New Roman"/>
          <w:color w:val="auto"/>
          <w:spacing w:val="0"/>
          <w:sz w:val="32"/>
          <w:szCs w:val="32"/>
          <w:highlight w:val="none"/>
          <w:lang w:val="en-US" w:eastAsia="zh-CN"/>
        </w:rPr>
        <w:t>坚持把实体经济作为发展经济的着力点，突出产业为王、工业优先，</w:t>
      </w:r>
      <w:r>
        <w:rPr>
          <w:rFonts w:hint="default" w:ascii="Times New Roman" w:hAnsi="Times New Roman" w:eastAsia="仿宋_GB2312" w:cs="Times New Roman"/>
          <w:b w:val="0"/>
          <w:bCs w:val="0"/>
          <w:color w:val="auto"/>
          <w:sz w:val="32"/>
          <w:szCs w:val="32"/>
          <w:highlight w:val="none"/>
          <w:lang w:val="en-US" w:eastAsia="zh-CN"/>
        </w:rPr>
        <w:t>以“工业经济”头号工程为引领，以</w:t>
      </w:r>
      <w:r>
        <w:rPr>
          <w:rFonts w:hint="default" w:ascii="Times New Roman" w:hAnsi="Times New Roman" w:eastAsia="仿宋_GB2312" w:cs="Times New Roman"/>
          <w:i w:val="0"/>
          <w:iCs w:val="0"/>
          <w:caps w:val="0"/>
          <w:color w:val="auto"/>
          <w:spacing w:val="0"/>
          <w:sz w:val="32"/>
          <w:szCs w:val="32"/>
          <w:highlight w:val="none"/>
          <w:shd w:val="clear"/>
        </w:rPr>
        <w:t>智能化、绿色化、融合化</w:t>
      </w:r>
      <w:r>
        <w:rPr>
          <w:rFonts w:hint="default" w:ascii="Times New Roman" w:hAnsi="Times New Roman" w:eastAsia="仿宋_GB2312" w:cs="Times New Roman"/>
          <w:b w:val="0"/>
          <w:bCs w:val="0"/>
          <w:color w:val="auto"/>
          <w:sz w:val="32"/>
          <w:szCs w:val="32"/>
          <w:highlight w:val="none"/>
          <w:lang w:val="en-US" w:eastAsia="zh-CN"/>
        </w:rPr>
        <w:t>为</w:t>
      </w:r>
      <w:r>
        <w:rPr>
          <w:rFonts w:hint="default" w:ascii="Times New Roman" w:hAnsi="Times New Roman" w:eastAsia="仿宋_GB2312" w:cs="Times New Roman"/>
          <w:i w:val="0"/>
          <w:iCs w:val="0"/>
          <w:caps w:val="0"/>
          <w:color w:val="auto"/>
          <w:spacing w:val="0"/>
          <w:sz w:val="32"/>
          <w:szCs w:val="32"/>
          <w:highlight w:val="none"/>
          <w:shd w:val="clear"/>
        </w:rPr>
        <w:t>方向，</w:t>
      </w:r>
      <w:r>
        <w:rPr>
          <w:rFonts w:hint="default" w:ascii="Times New Roman" w:hAnsi="Times New Roman" w:eastAsia="仿宋_GB2312" w:cs="Times New Roman"/>
          <w:i w:val="0"/>
          <w:iCs w:val="0"/>
          <w:caps w:val="0"/>
          <w:color w:val="auto"/>
          <w:spacing w:val="0"/>
          <w:sz w:val="32"/>
          <w:szCs w:val="32"/>
          <w:highlight w:val="none"/>
          <w:shd w:val="clear"/>
          <w:lang w:val="en-US" w:eastAsia="zh-CN"/>
        </w:rPr>
        <w:t>全面融入威海市八大产业集群和12条标志性产业链，</w:t>
      </w:r>
      <w:r>
        <w:rPr>
          <w:rFonts w:hint="default" w:ascii="Times New Roman" w:hAnsi="Times New Roman" w:eastAsia="仿宋_GB2312" w:cs="Times New Roman"/>
          <w:i w:val="0"/>
          <w:iCs w:val="0"/>
          <w:caps w:val="0"/>
          <w:color w:val="auto"/>
          <w:spacing w:val="0"/>
          <w:sz w:val="32"/>
          <w:szCs w:val="32"/>
          <w:highlight w:val="none"/>
          <w:shd w:val="clear"/>
        </w:rPr>
        <w:t>健全“总链长+链长+副链长+链主企业”协同推进机制，</w:t>
      </w:r>
      <w:r>
        <w:rPr>
          <w:rFonts w:hint="default" w:ascii="Times New Roman" w:hAnsi="Times New Roman" w:eastAsia="仿宋_GB2312" w:cs="Times New Roman"/>
          <w:b w:val="0"/>
          <w:bCs w:val="0"/>
          <w:color w:val="auto"/>
          <w:sz w:val="32"/>
          <w:szCs w:val="32"/>
          <w:highlight w:val="none"/>
          <w:lang w:val="en-US" w:eastAsia="zh-CN"/>
        </w:rPr>
        <w:t>深入开展</w:t>
      </w:r>
      <w:r>
        <w:rPr>
          <w:rFonts w:hint="default" w:ascii="Times New Roman" w:hAnsi="Times New Roman" w:eastAsia="仿宋_GB2312" w:cs="Times New Roman"/>
          <w:i w:val="0"/>
          <w:iCs w:val="0"/>
          <w:caps w:val="0"/>
          <w:color w:val="auto"/>
          <w:spacing w:val="0"/>
          <w:sz w:val="32"/>
          <w:szCs w:val="32"/>
          <w:highlight w:val="none"/>
          <w:shd w:val="clear"/>
        </w:rPr>
        <w:t>传统产业提质</w:t>
      </w:r>
      <w:r>
        <w:rPr>
          <w:rFonts w:hint="default" w:ascii="Times New Roman" w:hAnsi="Times New Roman" w:eastAsia="仿宋_GB2312" w:cs="Times New Roman"/>
          <w:i w:val="0"/>
          <w:iCs w:val="0"/>
          <w:caps w:val="0"/>
          <w:color w:val="auto"/>
          <w:spacing w:val="0"/>
          <w:sz w:val="32"/>
          <w:szCs w:val="32"/>
          <w:highlight w:val="none"/>
          <w:shd w:val="clear"/>
          <w:lang w:val="en-US" w:eastAsia="zh-CN"/>
        </w:rPr>
        <w:t>焕新工程</w:t>
      </w:r>
      <w:r>
        <w:rPr>
          <w:rFonts w:hint="default" w:ascii="Times New Roman" w:hAnsi="Times New Roman" w:eastAsia="仿宋_GB2312" w:cs="Times New Roman"/>
          <w:i w:val="0"/>
          <w:iCs w:val="0"/>
          <w:caps w:val="0"/>
          <w:color w:val="auto"/>
          <w:spacing w:val="0"/>
          <w:sz w:val="32"/>
          <w:szCs w:val="32"/>
          <w:highlight w:val="none"/>
          <w:shd w:val="clear"/>
        </w:rPr>
        <w:t>，新兴产业</w:t>
      </w:r>
      <w:r>
        <w:rPr>
          <w:rFonts w:hint="default" w:ascii="Times New Roman" w:hAnsi="Times New Roman" w:eastAsia="仿宋_GB2312" w:cs="Times New Roman"/>
          <w:i w:val="0"/>
          <w:iCs w:val="0"/>
          <w:caps w:val="0"/>
          <w:color w:val="auto"/>
          <w:spacing w:val="0"/>
          <w:sz w:val="32"/>
          <w:szCs w:val="32"/>
          <w:highlight w:val="none"/>
          <w:shd w:val="clear"/>
          <w:lang w:val="en-US" w:eastAsia="zh-CN"/>
        </w:rPr>
        <w:t>进阶跨越计划</w:t>
      </w:r>
      <w:r>
        <w:rPr>
          <w:rFonts w:hint="default" w:ascii="Times New Roman" w:hAnsi="Times New Roman" w:eastAsia="仿宋_GB2312" w:cs="Times New Roman"/>
          <w:i w:val="0"/>
          <w:iCs w:val="0"/>
          <w:caps w:val="0"/>
          <w:color w:val="auto"/>
          <w:spacing w:val="0"/>
          <w:sz w:val="32"/>
          <w:szCs w:val="32"/>
          <w:highlight w:val="none"/>
          <w:shd w:val="clear"/>
        </w:rPr>
        <w:t>，未来产业</w:t>
      </w:r>
      <w:r>
        <w:rPr>
          <w:rFonts w:hint="default" w:ascii="Times New Roman" w:hAnsi="Times New Roman" w:eastAsia="仿宋_GB2312" w:cs="Times New Roman"/>
          <w:i w:val="0"/>
          <w:iCs w:val="0"/>
          <w:caps w:val="0"/>
          <w:color w:val="auto"/>
          <w:spacing w:val="0"/>
          <w:sz w:val="32"/>
          <w:szCs w:val="32"/>
          <w:highlight w:val="none"/>
          <w:shd w:val="clear"/>
          <w:lang w:val="en-US" w:eastAsia="zh-CN"/>
        </w:rPr>
        <w:t>突破蜕变行动</w:t>
      </w:r>
      <w:r>
        <w:rPr>
          <w:rFonts w:hint="default" w:ascii="Times New Roman" w:hAnsi="Times New Roman" w:eastAsia="仿宋_GB2312" w:cs="Times New Roman"/>
          <w:i w:val="0"/>
          <w:iCs w:val="0"/>
          <w:caps w:val="0"/>
          <w:color w:val="auto"/>
          <w:spacing w:val="0"/>
          <w:sz w:val="32"/>
          <w:szCs w:val="32"/>
          <w:highlight w:val="none"/>
          <w:shd w:val="clear"/>
        </w:rPr>
        <w:t>，</w:t>
      </w:r>
      <w:r>
        <w:rPr>
          <w:rFonts w:hint="default" w:ascii="Times New Roman" w:hAnsi="Times New Roman" w:eastAsia="仿宋_GB2312" w:cs="Times New Roman"/>
          <w:i w:val="0"/>
          <w:iCs w:val="0"/>
          <w:caps w:val="0"/>
          <w:color w:val="auto"/>
          <w:spacing w:val="0"/>
          <w:sz w:val="32"/>
          <w:szCs w:val="32"/>
          <w:highlight w:val="none"/>
          <w:shd w:val="clear"/>
          <w:lang w:val="en-US" w:eastAsia="zh-CN"/>
        </w:rPr>
        <w:t>加快构建以先进制造业为骨干、以现代服务业为支撑、以优良产业生态为保障的现代化产业体系，全面夯实高质量发展产业根基。</w:t>
      </w:r>
    </w:p>
    <w:p>
      <w:pPr>
        <w:pStyle w:val="3"/>
        <w:keepNext w:val="0"/>
        <w:keepLines w:val="0"/>
        <w:pageBreakBefore w:val="0"/>
        <w:widowControl w:val="0"/>
        <w:kinsoku/>
        <w:wordWrap/>
        <w:overflowPunct/>
        <w:topLinePunct w:val="0"/>
        <w:autoSpaceDE/>
        <w:autoSpaceDN/>
        <w:bidi w:val="0"/>
        <w:adjustRightInd/>
        <w:snapToGrid/>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73" w:name="_Toc23474"/>
      <w:bookmarkStart w:id="74" w:name="_Toc13221"/>
      <w:r>
        <w:rPr>
          <w:rFonts w:hint="default" w:ascii="Times New Roman" w:hAnsi="Times New Roman" w:cs="Times New Roman"/>
          <w:snapToGrid w:val="0"/>
          <w:color w:val="auto"/>
          <w:sz w:val="32"/>
          <w:highlight w:val="none"/>
          <w:lang w:val="en-US" w:eastAsia="zh-CN"/>
        </w:rPr>
        <w:t>第一节 推动传统产业</w:t>
      </w:r>
      <w:bookmarkEnd w:id="66"/>
      <w:bookmarkEnd w:id="67"/>
      <w:bookmarkEnd w:id="68"/>
      <w:bookmarkEnd w:id="69"/>
      <w:bookmarkEnd w:id="70"/>
      <w:bookmarkEnd w:id="71"/>
      <w:bookmarkEnd w:id="72"/>
      <w:bookmarkEnd w:id="73"/>
      <w:bookmarkEnd w:id="74"/>
      <w:r>
        <w:rPr>
          <w:rFonts w:hint="default" w:ascii="Times New Roman" w:hAnsi="Times New Roman" w:cs="Times New Roman"/>
          <w:snapToGrid w:val="0"/>
          <w:color w:val="auto"/>
          <w:sz w:val="32"/>
          <w:highlight w:val="none"/>
          <w:lang w:val="en-US" w:eastAsia="zh-CN"/>
        </w:rPr>
        <w:t>扩量提质</w:t>
      </w:r>
    </w:p>
    <w:p>
      <w:pPr>
        <w:keepNext w:val="0"/>
        <w:keepLines w:val="0"/>
        <w:pageBreakBefore w:val="0"/>
        <w:widowControl w:val="0"/>
        <w:kinsoku/>
        <w:wordWrap/>
        <w:overflowPunct/>
        <w:topLinePunct w:val="0"/>
        <w:autoSpaceDE/>
        <w:autoSpaceDN/>
        <w:bidi w:val="0"/>
        <w:adjustRightInd/>
        <w:snapToGrid/>
        <w:spacing w:after="0" w:afterLines="-2147483648" w:line="58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实施传统产业提质焕新工程，做好重点区域产业转移承接，统筹推进汽车零部件和整车制造、金属冶炼及新材料、食品精深加工、纺织服装等传统优势产业高端提质、数智赋能、绿色转型，巩固提升优势地位和竞争力，培育国家级、省级重点产业集群。</w:t>
      </w:r>
    </w:p>
    <w:p>
      <w:pPr>
        <w:keepNext w:val="0"/>
        <w:keepLines w:val="0"/>
        <w:pageBreakBefore w:val="0"/>
        <w:widowControl w:val="0"/>
        <w:kinsoku/>
        <w:wordWrap/>
        <w:overflowPunct/>
        <w:topLinePunct w:val="0"/>
        <w:autoSpaceDE/>
        <w:autoSpaceDN/>
        <w:bidi w:val="0"/>
        <w:adjustRightInd/>
        <w:snapToGrid/>
        <w:spacing w:after="157" w:afterLines="50" w:line="580" w:lineRule="exact"/>
        <w:ind w:firstLine="640" w:firstLineChars="200"/>
        <w:textAlignment w:val="auto"/>
        <w:rPr>
          <w:rFonts w:hint="default" w:ascii="Times New Roman" w:hAnsi="Times New Roman" w:eastAsia="仿宋_GB2312" w:cs="Times New Roman"/>
          <w:i w:val="0"/>
          <w:iCs w:val="0"/>
          <w:caps w:val="0"/>
          <w:color w:val="auto"/>
          <w:spacing w:val="0"/>
          <w:sz w:val="32"/>
          <w:szCs w:val="32"/>
          <w:highlight w:val="none"/>
          <w:shd w:val="clear"/>
          <w:lang w:val="en-US" w:eastAsia="zh-CN"/>
        </w:rPr>
      </w:pPr>
      <w:r>
        <w:rPr>
          <w:rFonts w:hint="default" w:ascii="Times New Roman" w:hAnsi="Times New Roman" w:eastAsia="楷体_GB2312" w:cs="Times New Roman"/>
          <w:b w:val="0"/>
          <w:bCs w:val="0"/>
          <w:color w:val="auto"/>
          <w:sz w:val="32"/>
          <w:szCs w:val="32"/>
          <w:highlight w:val="none"/>
          <w:lang w:val="en-US" w:eastAsia="zh-CN"/>
        </w:rPr>
        <w:t>汽车零部件和整车制造产业。</w:t>
      </w:r>
      <w:r>
        <w:rPr>
          <w:rFonts w:hint="default" w:ascii="Times New Roman" w:hAnsi="Times New Roman" w:eastAsia="仿宋_GB2312" w:cs="Times New Roman"/>
          <w:b w:val="0"/>
          <w:bCs w:val="0"/>
          <w:color w:val="auto"/>
          <w:sz w:val="32"/>
          <w:szCs w:val="32"/>
          <w:highlight w:val="none"/>
          <w:lang w:val="en-US" w:eastAsia="zh-CN"/>
        </w:rPr>
        <w:t>按照“招大培强、链式布局、园区集聚”发展思路，充分发挥产业基础和规模优势，着力提升汽车零部件产业园承载能力，加速布局专用车辆产业园，全力打造省级转向系统及汽车零部件特色产业集群。重点聚焦汽车零部件、特种车辆两大方向，推动转向、制动等零部件制造向系统总成方向延伸，加大新能源汽车关键零部件研发生产，拓展大型挖掘机、矿用卡车、冷链运输车、特种改装车等专用车辆制造新赛道。鼓励支持龙头企业产能升级、技术升级、产品升级，推动产业链纵向联接、供应链横向耦合。</w:t>
      </w:r>
      <w:r>
        <w:rPr>
          <w:rFonts w:hint="default" w:ascii="Times New Roman" w:hAnsi="Times New Roman" w:eastAsia="仿宋_GB2312" w:cs="Times New Roman"/>
          <w:i w:val="0"/>
          <w:iCs w:val="0"/>
          <w:caps w:val="0"/>
          <w:color w:val="auto"/>
          <w:spacing w:val="0"/>
          <w:sz w:val="32"/>
          <w:szCs w:val="32"/>
          <w:highlight w:val="none"/>
          <w:shd w:val="clear"/>
          <w:lang w:val="en-US" w:eastAsia="zh-CN"/>
        </w:rPr>
        <w:t>力争到2030年，汽车零部件和整车制造产业总产值突破100亿元。</w:t>
      </w:r>
    </w:p>
    <w:p>
      <w:pPr>
        <w:keepNext w:val="0"/>
        <w:keepLines w:val="0"/>
        <w:pageBreakBefore w:val="0"/>
        <w:widowControl w:val="0"/>
        <w:kinsoku/>
        <w:wordWrap/>
        <w:overflowPunct/>
        <w:topLinePunct w:val="0"/>
        <w:autoSpaceDE/>
        <w:autoSpaceDN/>
        <w:bidi w:val="0"/>
        <w:adjustRightInd/>
        <w:snapToGrid/>
        <w:spacing w:after="157" w:afterLines="50" w:line="570" w:lineRule="exact"/>
        <w:ind w:firstLine="640" w:firstLineChars="200"/>
        <w:textAlignment w:val="auto"/>
        <w:rPr>
          <w:rFonts w:hint="default" w:ascii="Times New Roman" w:hAnsi="Times New Roman" w:eastAsia="仿宋_GB2312" w:cs="Times New Roman"/>
          <w:i w:val="0"/>
          <w:iCs w:val="0"/>
          <w:caps w:val="0"/>
          <w:color w:val="auto"/>
          <w:spacing w:val="0"/>
          <w:sz w:val="32"/>
          <w:szCs w:val="32"/>
          <w:highlight w:val="none"/>
          <w:shd w:val="clear"/>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570" w:lineRule="exact"/>
        <w:ind w:firstLine="640" w:firstLineChars="200"/>
        <w:textAlignment w:val="auto"/>
        <w:rPr>
          <w:rFonts w:hint="default" w:ascii="Times New Roman" w:hAnsi="Times New Roman" w:eastAsia="仿宋_GB2312" w:cs="Times New Roman"/>
          <w:i w:val="0"/>
          <w:iCs w:val="0"/>
          <w:caps w:val="0"/>
          <w:color w:val="auto"/>
          <w:spacing w:val="0"/>
          <w:sz w:val="32"/>
          <w:szCs w:val="32"/>
          <w:highlight w:val="none"/>
          <w:shd w:val="clear"/>
          <w:lang w:val="en-US" w:eastAsia="zh-CN"/>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9060" w:type="dxa"/>
          </w:tcPr>
          <w:p>
            <w:pPr>
              <w:keepNext w:val="0"/>
              <w:keepLines w:val="0"/>
              <w:pageBreakBefore w:val="0"/>
              <w:kinsoku/>
              <w:wordWrap/>
              <w:overflowPunct/>
              <w:topLinePunct w:val="0"/>
              <w:autoSpaceDE/>
              <w:autoSpaceDN/>
              <w:bidi w:val="0"/>
              <w:spacing w:line="600" w:lineRule="exact"/>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专栏1：汽车零部件和整车制造业发展方向及重点项目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90" w:hRule="atLeast"/>
        </w:trPr>
        <w:tc>
          <w:tcPr>
            <w:tcW w:w="906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cs="Times New Roman"/>
                <w:b w:val="0"/>
                <w:bCs w:val="0"/>
                <w:color w:val="auto"/>
                <w:sz w:val="28"/>
                <w:szCs w:val="28"/>
                <w:highlight w:val="none"/>
                <w:lang w:val="en-US" w:eastAsia="zh-CN"/>
              </w:rPr>
            </w:pPr>
            <w:bookmarkStart w:id="75" w:name="_Toc16253"/>
            <w:r>
              <w:rPr>
                <w:rFonts w:hint="default" w:ascii="Times New Roman" w:hAnsi="Times New Roman" w:eastAsia="黑体" w:cs="Times New Roman"/>
                <w:b w:val="0"/>
                <w:bCs w:val="0"/>
                <w:color w:val="auto"/>
                <w:sz w:val="28"/>
                <w:szCs w:val="28"/>
                <w:highlight w:val="none"/>
                <w:lang w:val="en-US" w:eastAsia="zh-CN"/>
              </w:rPr>
              <w:t>1.汽车零部件：</w:t>
            </w:r>
            <w:bookmarkEnd w:id="75"/>
            <w:r>
              <w:rPr>
                <w:rFonts w:hint="default" w:ascii="Times New Roman" w:hAnsi="Times New Roman" w:eastAsia="仿宋_GB2312" w:cs="Times New Roman"/>
                <w:b w:val="0"/>
                <w:bCs w:val="0"/>
                <w:color w:val="auto"/>
                <w:sz w:val="28"/>
                <w:szCs w:val="28"/>
                <w:highlight w:val="none"/>
                <w:lang w:val="en-US" w:eastAsia="zh-CN"/>
              </w:rPr>
              <w:t>依托伯特利汽车、双连制动、安斯泰莫等骨干企业，加大转向齿、转向轴、转向管柱、制动鼓、制动分泵、刹车钳、制动盘等企业招引力度，积极培育转向总成、制动器总成生产企业。加快汽车零部件产业与新技术、新材料深度融合，大力发展汽车三电、自动变速器、动力电池、智能网联，打造省级转向系统及汽车零部件特色产业集群。</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76" w:name="_Toc23043"/>
            <w:r>
              <w:rPr>
                <w:rFonts w:hint="default" w:ascii="Times New Roman" w:hAnsi="Times New Roman" w:eastAsia="黑体" w:cs="Times New Roman"/>
                <w:b w:val="0"/>
                <w:bCs w:val="0"/>
                <w:color w:val="auto"/>
                <w:sz w:val="28"/>
                <w:szCs w:val="28"/>
                <w:highlight w:val="none"/>
                <w:lang w:val="en-US" w:eastAsia="zh-CN"/>
              </w:rPr>
              <w:t>2.整车制造：</w:t>
            </w:r>
            <w:r>
              <w:rPr>
                <w:rFonts w:hint="default" w:ascii="Times New Roman" w:hAnsi="Times New Roman" w:eastAsia="仿宋_GB2312" w:cs="Times New Roman"/>
                <w:b w:val="0"/>
                <w:bCs w:val="0"/>
                <w:color w:val="auto"/>
                <w:sz w:val="28"/>
                <w:szCs w:val="28"/>
                <w:highlight w:val="none"/>
                <w:lang w:val="en-US" w:eastAsia="zh-CN"/>
              </w:rPr>
              <w:t>依托汽车零部件制造优势，支持鹏程麦克斯等整车制造企业膨胀扩规，加大特种车辆、改装车等整车制造企业招引力度，同时积极招引柴油发动机、变速箱、驱动桥、履带等关键核心部件生产企业，串联产业链条</w:t>
            </w:r>
            <w:bookmarkEnd w:id="76"/>
            <w:r>
              <w:rPr>
                <w:rFonts w:hint="default" w:ascii="Times New Roman" w:hAnsi="Times New Roman" w:eastAsia="仿宋_GB2312" w:cs="Times New Roman"/>
                <w:b w:val="0"/>
                <w:bCs w:val="0"/>
                <w:color w:val="auto"/>
                <w:sz w:val="28"/>
                <w:szCs w:val="28"/>
                <w:highlight w:val="none"/>
                <w:lang w:val="en-US" w:eastAsia="zh-CN"/>
              </w:rPr>
              <w:t>，全力打造专用车辆产业园。</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cs="Times New Roman"/>
                <w:color w:val="auto"/>
                <w:sz w:val="28"/>
                <w:szCs w:val="28"/>
                <w:highlight w:val="none"/>
                <w:lang w:val="en-US" w:eastAsia="zh-CN"/>
              </w:rPr>
            </w:pPr>
            <w:bookmarkStart w:id="77" w:name="_Toc3364"/>
            <w:r>
              <w:rPr>
                <w:rFonts w:hint="default" w:ascii="Times New Roman" w:hAnsi="Times New Roman" w:eastAsia="黑体" w:cs="Times New Roman"/>
                <w:b w:val="0"/>
                <w:bCs w:val="0"/>
                <w:color w:val="auto"/>
                <w:sz w:val="28"/>
                <w:szCs w:val="28"/>
                <w:highlight w:val="none"/>
                <w:lang w:val="en-US" w:eastAsia="zh-CN"/>
              </w:rPr>
              <w:t>3.重点项目：</w:t>
            </w:r>
            <w:bookmarkEnd w:id="77"/>
            <w:r>
              <w:rPr>
                <w:rFonts w:hint="default" w:ascii="Times New Roman" w:hAnsi="Times New Roman" w:eastAsia="仿宋_GB2312" w:cs="Times New Roman"/>
                <w:b w:val="0"/>
                <w:bCs w:val="0"/>
                <w:color w:val="auto"/>
                <w:sz w:val="28"/>
                <w:szCs w:val="28"/>
                <w:highlight w:val="none"/>
                <w:lang w:val="en-US" w:eastAsia="zh-CN"/>
              </w:rPr>
              <w:t>山东宁威智能制造有限公司专用车辆制造项目，山东鹏程麦克斯工程机械有限公司工程机械整车制造项目，威海伯特利汽车安全系统有限公司乳山分公司底盘系统部件制造项目，山东盖洛普新材料科技有限公司年产7万吨高端铸件及精加工项目，山东双连制动材料股份有限公司汽车刹车片生产线智能化技术改造项目，安斯泰莫新工厂、摩托车底盘研发中心项目，威海华诺轻合金制造有限公司高端铸造项目，山东力久特种电机股份有限公司特种电机智能制造及系统升级改造项目等。</w:t>
            </w:r>
          </w:p>
        </w:tc>
      </w:tr>
    </w:tbl>
    <w:p>
      <w:pPr>
        <w:keepNext w:val="0"/>
        <w:keepLines w:val="0"/>
        <w:pageBreakBefore w:val="0"/>
        <w:widowControl/>
        <w:kinsoku/>
        <w:wordWrap/>
        <w:overflowPunct/>
        <w:topLinePunct w:val="0"/>
        <w:autoSpaceDE/>
        <w:autoSpaceDN/>
        <w:bidi w:val="0"/>
        <w:adjustRightInd/>
        <w:snapToGrid/>
        <w:spacing w:after="157" w:afterLines="50"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金属冶炼及新材料产业。</w:t>
      </w:r>
      <w:r>
        <w:rPr>
          <w:rFonts w:hint="default" w:ascii="Times New Roman" w:hAnsi="Times New Roman" w:eastAsia="仿宋_GB2312" w:cs="Times New Roman"/>
          <w:b w:val="0"/>
          <w:bCs w:val="0"/>
          <w:color w:val="auto"/>
          <w:sz w:val="32"/>
          <w:szCs w:val="32"/>
          <w:highlight w:val="none"/>
          <w:lang w:val="en-US" w:eastAsia="zh-CN"/>
        </w:rPr>
        <w:t>按照“链主引领、创新驱动、绿色循环”发展思路，以构建“绿色智能生产—高附加值加工—尖端材料研发—终端场景应用”全链条为发展方向，支持引导黑色金属精炼及深加工、有色金属精炼及深加工、硅胶制品、高性能材料等重点行业，加大高附加值专用配重和精密铸件产品研发，延伸高纯金属、高性能合金、电子材料等高附加值产品链，拓展特种硅胶、生物医用材料、高性能复合材料等高端产品，持续提升产业链竞争力。推动企业开展产线智能化升级与产品结构优化，加快产业数字化流程再造，加强新产品研发，加速完善余热梯次利用、工业固体废弃物资源化利用体系，打造全省绿色金属冶炼及新材料特色产业集群。力争到2030年，</w:t>
      </w:r>
      <w:r>
        <w:rPr>
          <w:rFonts w:hint="default" w:ascii="Times New Roman" w:hAnsi="Times New Roman" w:eastAsia="仿宋_GB2312" w:cs="Times New Roman"/>
          <w:color w:val="auto"/>
          <w:sz w:val="32"/>
          <w:szCs w:val="32"/>
          <w:highlight w:val="none"/>
          <w:lang w:val="en-US" w:eastAsia="zh-CN"/>
        </w:rPr>
        <w:t>金属冶炼及新材料产业产值达到300亿元。</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60" w:type="dxa"/>
          </w:tcPr>
          <w:p>
            <w:pPr>
              <w:keepNext w:val="0"/>
              <w:keepLines w:val="0"/>
              <w:pageBreakBefore w:val="0"/>
              <w:kinsoku/>
              <w:wordWrap/>
              <w:overflowPunct/>
              <w:topLinePunct w:val="0"/>
              <w:autoSpaceDE/>
              <w:autoSpaceDN/>
              <w:bidi w:val="0"/>
              <w:spacing w:line="600" w:lineRule="exact"/>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专栏2：金属冶炼及新材料产业发展方向及重点项目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78" w:name="_Toc32659"/>
            <w:r>
              <w:rPr>
                <w:rFonts w:hint="default" w:ascii="Times New Roman" w:hAnsi="Times New Roman" w:eastAsia="黑体" w:cs="Times New Roman"/>
                <w:b w:val="0"/>
                <w:bCs w:val="0"/>
                <w:color w:val="auto"/>
                <w:sz w:val="28"/>
                <w:szCs w:val="28"/>
                <w:highlight w:val="none"/>
                <w:lang w:val="en-US" w:eastAsia="zh-CN"/>
              </w:rPr>
              <w:t>1.黑色金属精炼及深加工：</w:t>
            </w:r>
            <w:r>
              <w:rPr>
                <w:rFonts w:hint="default" w:ascii="Times New Roman" w:hAnsi="Times New Roman" w:eastAsia="仿宋_GB2312" w:cs="Times New Roman"/>
                <w:b w:val="0"/>
                <w:bCs w:val="0"/>
                <w:color w:val="auto"/>
                <w:sz w:val="28"/>
                <w:szCs w:val="28"/>
                <w:highlight w:val="none"/>
                <w:lang w:val="en-US" w:eastAsia="zh-CN"/>
              </w:rPr>
              <w:t>支持以玫德集团为核心，重点围绕基础原材料、高端工程机械平衡重系列产品、高端装备零部件等领域，持续在铸造一体化、流体输送、成型涂装、计量检测、物流仓储等领域加快数智技改，打造MOM系统+数字孪生智能生产体系，进一步降低材料损耗和物流成本，提高生产效率和加工精度，带动产业数字化转型升级。强化与汽车零部件、风电装备、工程机械等产业纵向联动，加大高附加值专用配重和精密铸件产品研发，共建“高端铸件－精密加工－装备制造”产业链条。</w:t>
            </w:r>
            <w:bookmarkEnd w:id="78"/>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79" w:name="_Toc2300"/>
            <w:r>
              <w:rPr>
                <w:rFonts w:hint="default" w:ascii="Times New Roman" w:hAnsi="Times New Roman" w:eastAsia="黑体" w:cs="Times New Roman"/>
                <w:b w:val="0"/>
                <w:bCs w:val="0"/>
                <w:color w:val="auto"/>
                <w:sz w:val="28"/>
                <w:szCs w:val="28"/>
                <w:highlight w:val="none"/>
                <w:lang w:val="en-US" w:eastAsia="zh-CN"/>
              </w:rPr>
              <w:t>2.有色金属精炼及深加工：</w:t>
            </w:r>
            <w:r>
              <w:rPr>
                <w:rFonts w:hint="default" w:ascii="Times New Roman" w:hAnsi="Times New Roman" w:eastAsia="仿宋_GB2312" w:cs="Times New Roman"/>
                <w:b w:val="0"/>
                <w:bCs w:val="0"/>
                <w:color w:val="auto"/>
                <w:sz w:val="28"/>
                <w:szCs w:val="28"/>
                <w:highlight w:val="none"/>
                <w:lang w:val="en-US" w:eastAsia="zh-CN"/>
              </w:rPr>
              <w:t>以威海恒邦为龙头，加强与西涝口金矿、金青顶金矿等矿产资源协同，增强供应链韧性；支持开展贵重金属“光盘行动”，健全“全要素回收、零废物排放”多金属综合回收利用体系，完善磷肥、石膏粉、硫酸“冶炼+化工”循环经济产业链条；鼓励企业加速下游高纯度金属、高性能合金领域产品研发，积极进军电子信息、航空航天等高端应用市场，逐步打造“有色金属冶炼－多元素综合利用－新材料制造”产业集群。</w:t>
            </w:r>
            <w:bookmarkEnd w:id="79"/>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80" w:name="_Toc32272"/>
            <w:r>
              <w:rPr>
                <w:rFonts w:hint="default" w:ascii="Times New Roman" w:hAnsi="Times New Roman" w:eastAsia="黑体" w:cs="Times New Roman"/>
                <w:b w:val="0"/>
                <w:bCs w:val="0"/>
                <w:color w:val="auto"/>
                <w:sz w:val="28"/>
                <w:szCs w:val="28"/>
                <w:highlight w:val="none"/>
                <w:lang w:val="en-US" w:eastAsia="zh-CN"/>
              </w:rPr>
              <w:t>3.硅胶制品：</w:t>
            </w:r>
            <w:r>
              <w:rPr>
                <w:rFonts w:hint="default" w:ascii="Times New Roman" w:hAnsi="Times New Roman" w:eastAsia="仿宋_GB2312" w:cs="Times New Roman"/>
                <w:b w:val="0"/>
                <w:bCs w:val="0"/>
                <w:color w:val="auto"/>
                <w:sz w:val="28"/>
                <w:szCs w:val="28"/>
                <w:highlight w:val="none"/>
                <w:lang w:val="en-US" w:eastAsia="zh-CN"/>
              </w:rPr>
              <w:t>推动企业开展产线智能化升级与产品结构优化，加强与高校、科研院所合作，共建研发平台，重点开发特种硅胶、生物医用材料、高性能复合材料等高端产品，提升技术含量和单品附加值。</w:t>
            </w:r>
            <w:bookmarkEnd w:id="80"/>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黑体" w:cs="Times New Roman"/>
                <w:b w:val="0"/>
                <w:bCs w:val="0"/>
                <w:color w:val="auto"/>
                <w:sz w:val="24"/>
                <w:szCs w:val="24"/>
                <w:highlight w:val="none"/>
                <w:lang w:val="en-US" w:eastAsia="zh-CN"/>
              </w:rPr>
            </w:pPr>
            <w:bookmarkStart w:id="81" w:name="_Toc4252"/>
            <w:r>
              <w:rPr>
                <w:rFonts w:hint="default" w:ascii="Times New Roman" w:hAnsi="Times New Roman" w:eastAsia="黑体" w:cs="Times New Roman"/>
                <w:b w:val="0"/>
                <w:bCs w:val="0"/>
                <w:color w:val="auto"/>
                <w:sz w:val="28"/>
                <w:szCs w:val="28"/>
                <w:highlight w:val="none"/>
                <w:lang w:val="en-US" w:eastAsia="zh-CN"/>
              </w:rPr>
              <w:t>4.重点项目：</w:t>
            </w:r>
            <w:r>
              <w:rPr>
                <w:rFonts w:hint="default" w:ascii="Times New Roman" w:hAnsi="Times New Roman" w:eastAsia="仿宋_GB2312" w:cs="Times New Roman"/>
                <w:b w:val="0"/>
                <w:bCs w:val="0"/>
                <w:color w:val="auto"/>
                <w:sz w:val="28"/>
                <w:szCs w:val="28"/>
                <w:highlight w:val="none"/>
                <w:lang w:val="en-US" w:eastAsia="zh-CN"/>
              </w:rPr>
              <w:t>威海通富德新材料制造项目，威海钰德环保电镀产业园项目，山东宏鑫黄金矿业西涝口金矿采选工程，金洲集团金青顶矿区采矿600吨/日扩建项目，威海恒邦矿冶贵金属综合回收项目，烟台昆仑能源年产6000—8000吨环保吸附新材料项目，威海龙彩新材料年产40万吨粉末涂料用聚酯树脂生产线设备技术自动化改造项目，凯龙石墨新材料生产项目，玫德公司铸造短流程智能制造产业基地项目等。</w:t>
            </w:r>
            <w:bookmarkEnd w:id="81"/>
          </w:p>
        </w:tc>
      </w:tr>
    </w:tbl>
    <w:p>
      <w:pPr>
        <w:pStyle w:val="27"/>
        <w:keepNext w:val="0"/>
        <w:keepLines w:val="0"/>
        <w:pageBreakBefore w:val="0"/>
        <w:widowControl/>
        <w:kinsoku/>
        <w:wordWrap/>
        <w:overflowPunct/>
        <w:topLinePunct w:val="0"/>
        <w:autoSpaceDE/>
        <w:autoSpaceDN/>
        <w:bidi w:val="0"/>
        <w:adjustRightInd/>
        <w:snapToGrid/>
        <w:spacing w:after="157" w:afterLines="50" w:line="56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食品精深加工产业。</w:t>
      </w:r>
      <w:r>
        <w:rPr>
          <w:rFonts w:hint="default" w:ascii="Times New Roman" w:hAnsi="Times New Roman" w:eastAsia="仿宋_GB2312" w:cs="Times New Roman"/>
          <w:b w:val="0"/>
          <w:bCs w:val="0"/>
          <w:color w:val="auto"/>
          <w:kern w:val="2"/>
          <w:sz w:val="32"/>
          <w:szCs w:val="32"/>
          <w:highlight w:val="none"/>
          <w:lang w:val="en-US" w:eastAsia="zh-CN"/>
        </w:rPr>
        <w:t>按照“细分领域、价值高端、产品多元”发展思路，以经济开发区现代食品产业园和徐家镇食品与生物科技产业园为依托，推动海洋食品、花生制品、果蔬产品等行业，膨胀产业规模、增加产品价值、提升市场竞争力。聚焦牡蛎、肉鸡、花生、苹果等优势产业，引导上游企业推广应用新品种，鼓励开展标准化种养、机械化收获、智能化初加工及仓储，确保原料安全稳定供应。支持下游企业向海洋水产品和农副产品精深加工方面延伸，加大适用不同消费场景和满足不同群体需求的预制食品、休闲食品、健康食品、功能性食品、饮品饮料、调味品等研发生产能力，逐步丰富产品谱系，打造有影响力的现代化食品名市和高端食品加工基地。力争到2030年，食品精深加工产业总产值突破100亿元。</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9060" w:type="dxa"/>
          </w:tcPr>
          <w:p>
            <w:pPr>
              <w:keepNext w:val="0"/>
              <w:keepLines w:val="0"/>
              <w:pageBreakBefore w:val="0"/>
              <w:kinsoku/>
              <w:wordWrap/>
              <w:overflowPunct/>
              <w:topLinePunct w:val="0"/>
              <w:autoSpaceDE/>
              <w:autoSpaceDN/>
              <w:bidi w:val="0"/>
              <w:spacing w:line="600" w:lineRule="exact"/>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专栏3：食品精深加工产业发展方向及重点项目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cs="Times New Roman"/>
                <w:b w:val="0"/>
                <w:bCs w:val="0"/>
                <w:color w:val="auto"/>
                <w:sz w:val="24"/>
                <w:szCs w:val="24"/>
                <w:highlight w:val="none"/>
                <w:lang w:val="en-US" w:eastAsia="zh-CN"/>
              </w:rPr>
            </w:pPr>
            <w:bookmarkStart w:id="82" w:name="_Toc21137"/>
            <w:r>
              <w:rPr>
                <w:rFonts w:hint="default" w:ascii="Times New Roman" w:hAnsi="Times New Roman" w:eastAsia="黑体" w:cs="Times New Roman"/>
                <w:b w:val="0"/>
                <w:bCs w:val="0"/>
                <w:color w:val="auto"/>
                <w:sz w:val="28"/>
                <w:szCs w:val="28"/>
                <w:highlight w:val="none"/>
                <w:lang w:val="en-US" w:eastAsia="zh-CN"/>
              </w:rPr>
              <w:t>1.海洋食品：</w:t>
            </w:r>
            <w:r>
              <w:rPr>
                <w:rFonts w:hint="default" w:ascii="Times New Roman" w:hAnsi="Times New Roman" w:eastAsia="仿宋_GB2312" w:cs="Times New Roman"/>
                <w:b w:val="0"/>
                <w:bCs w:val="0"/>
                <w:color w:val="auto"/>
                <w:sz w:val="28"/>
                <w:szCs w:val="28"/>
                <w:highlight w:val="none"/>
                <w:lang w:val="en-US" w:eastAsia="zh-CN"/>
              </w:rPr>
              <w:t>依托华信食品、蝾螈海产品等龙头企业，扩大牡蛎、大黄鱼、扇贝等加工规模，发展即食即烹即调等海洋预制食品，加快海洋保健食品、宠物水产零食等研发生产能力。</w:t>
            </w:r>
            <w:bookmarkEnd w:id="82"/>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83" w:name="_Toc29457"/>
            <w:r>
              <w:rPr>
                <w:rFonts w:hint="default" w:ascii="Times New Roman" w:hAnsi="Times New Roman" w:eastAsia="黑体" w:cs="Times New Roman"/>
                <w:b w:val="0"/>
                <w:bCs w:val="0"/>
                <w:color w:val="auto"/>
                <w:sz w:val="28"/>
                <w:szCs w:val="28"/>
                <w:highlight w:val="none"/>
                <w:lang w:val="en-US" w:eastAsia="zh-CN"/>
              </w:rPr>
              <w:t>2.花生制品：</w:t>
            </w:r>
            <w:r>
              <w:rPr>
                <w:rFonts w:hint="default" w:ascii="Times New Roman" w:hAnsi="Times New Roman" w:eastAsia="仿宋_GB2312" w:cs="Times New Roman"/>
                <w:b w:val="0"/>
                <w:bCs w:val="0"/>
                <w:color w:val="auto"/>
                <w:sz w:val="28"/>
                <w:szCs w:val="28"/>
                <w:highlight w:val="none"/>
                <w:lang w:val="en-US" w:eastAsia="zh-CN"/>
              </w:rPr>
              <w:t>支持金果食品、振华海洋、华隆食品等稳定现有产品市场份额，瞄准Z世代、新中产、健身人群、老年群体、特殊需求客户等细分市场，加大裹衣花生、花生蛋白粉、功能性花生油、低GI制品等休闲零食、母婴健康、代餐轻食、养生保健类新型终端产品开发力度。</w:t>
            </w:r>
            <w:bookmarkEnd w:id="83"/>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84" w:name="_Toc9445"/>
            <w:r>
              <w:rPr>
                <w:rFonts w:hint="default" w:ascii="Times New Roman" w:hAnsi="Times New Roman" w:eastAsia="黑体" w:cs="Times New Roman"/>
                <w:b w:val="0"/>
                <w:bCs w:val="0"/>
                <w:color w:val="auto"/>
                <w:sz w:val="28"/>
                <w:szCs w:val="28"/>
                <w:highlight w:val="none"/>
                <w:lang w:val="en-US" w:eastAsia="zh-CN"/>
              </w:rPr>
              <w:t>3.果蔬食品：</w:t>
            </w:r>
            <w:r>
              <w:rPr>
                <w:rFonts w:hint="default" w:ascii="Times New Roman" w:hAnsi="Times New Roman" w:eastAsia="仿宋_GB2312" w:cs="Times New Roman"/>
                <w:b w:val="0"/>
                <w:bCs w:val="0"/>
                <w:color w:val="auto"/>
                <w:sz w:val="28"/>
                <w:szCs w:val="28"/>
                <w:highlight w:val="none"/>
                <w:lang w:val="en-US" w:eastAsia="zh-CN"/>
              </w:rPr>
              <w:t>依托润兴康鸿、鲁菱果汁、恒泰食品等企业，扩大NFC+HPP果汁产能，开发生肖定制食品、果咖饮品、大姜饮品、蒜蓉大姜、地域特色果干冻干产品等；支持以华信食品为龙头，构建菌棒加工、菌种培育、食用菌种植、食品制造链式发展格局，重点发展菌菇调味品、休闲食品等。</w:t>
            </w:r>
            <w:bookmarkEnd w:id="84"/>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kern w:val="2"/>
                <w:sz w:val="28"/>
                <w:szCs w:val="28"/>
                <w:highlight w:val="none"/>
                <w:lang w:val="en-US" w:eastAsia="zh-CN"/>
              </w:rPr>
            </w:pPr>
            <w:bookmarkStart w:id="85" w:name="_Toc16928"/>
            <w:r>
              <w:rPr>
                <w:rFonts w:hint="default" w:ascii="Times New Roman" w:hAnsi="Times New Roman" w:eastAsia="黑体" w:cs="Times New Roman"/>
                <w:b w:val="0"/>
                <w:bCs w:val="0"/>
                <w:color w:val="auto"/>
                <w:sz w:val="28"/>
                <w:szCs w:val="28"/>
                <w:highlight w:val="none"/>
                <w:lang w:val="en-US" w:eastAsia="zh-CN"/>
              </w:rPr>
              <w:t>4.</w:t>
            </w:r>
            <w:bookmarkEnd w:id="85"/>
            <w:bookmarkStart w:id="86" w:name="_Toc19516"/>
            <w:r>
              <w:rPr>
                <w:rFonts w:hint="default" w:ascii="Times New Roman" w:hAnsi="Times New Roman" w:eastAsia="黑体" w:cs="Times New Roman"/>
                <w:b w:val="0"/>
                <w:bCs w:val="0"/>
                <w:color w:val="auto"/>
                <w:sz w:val="28"/>
                <w:szCs w:val="28"/>
                <w:highlight w:val="none"/>
                <w:lang w:val="en-US" w:eastAsia="zh-CN"/>
              </w:rPr>
              <w:t>重点项目：</w:t>
            </w:r>
            <w:r>
              <w:rPr>
                <w:rFonts w:hint="default" w:ascii="Times New Roman" w:hAnsi="Times New Roman" w:eastAsia="仿宋_GB2312" w:cs="Times New Roman"/>
                <w:b w:val="0"/>
                <w:bCs w:val="0"/>
                <w:color w:val="auto"/>
                <w:sz w:val="28"/>
                <w:szCs w:val="28"/>
                <w:highlight w:val="none"/>
                <w:lang w:val="en-US" w:eastAsia="zh-CN"/>
              </w:rPr>
              <w:t>鲁赫宠物及健康食品生产加工项目，桦宜食品农产品加工项目，超高压牡蛎加工产业示范基地项目，威豪田园综合体粉条加工项目，乳山市食用菌全产业链项目，参利威高端蚝油加工项目，中泉生态豆腐加工项目，乳山市牡蛎产业融合发展示范区项目，</w:t>
            </w:r>
            <w:bookmarkEnd w:id="86"/>
            <w:r>
              <w:rPr>
                <w:rFonts w:hint="default" w:ascii="Times New Roman" w:hAnsi="Times New Roman" w:eastAsia="仿宋_GB2312" w:cs="Times New Roman"/>
                <w:b w:val="0"/>
                <w:bCs w:val="0"/>
                <w:color w:val="auto"/>
                <w:sz w:val="28"/>
                <w:szCs w:val="28"/>
                <w:highlight w:val="none"/>
                <w:lang w:val="en-US" w:eastAsia="zh-CN"/>
              </w:rPr>
              <w:t>蝾螈牡蛎精深加工项目等。</w:t>
            </w:r>
          </w:p>
        </w:tc>
      </w:tr>
    </w:tbl>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纺织服装产业。</w:t>
      </w:r>
      <w:r>
        <w:rPr>
          <w:rFonts w:hint="default" w:ascii="Times New Roman" w:hAnsi="Times New Roman" w:eastAsia="仿宋_GB2312" w:cs="Times New Roman"/>
          <w:b w:val="0"/>
          <w:bCs w:val="0"/>
          <w:color w:val="auto"/>
          <w:sz w:val="32"/>
          <w:szCs w:val="32"/>
          <w:highlight w:val="none"/>
          <w:lang w:val="en-US" w:eastAsia="zh-CN"/>
        </w:rPr>
        <w:t>按照“品质升级、品类创新、品牌赋能”发展思路，以威海纺织染整产业园为载体，重点聚焦新型麻纺织、家纺服装、产业用纺织品三条纺织服装产业细链，引导企业向“纺织－印染－成品”全链条集聚，向功能性面料、健康监测服装、绿色生态印染等方向延伸。完善纤维纺线、面料辅料、终端产品、设计开发等多种业态，形成OEM/ODM代工与自主品牌相结合的生产体系。支持</w:t>
      </w:r>
      <w:r>
        <w:rPr>
          <w:rFonts w:hint="default" w:ascii="Times New Roman" w:hAnsi="Times New Roman" w:eastAsia="仿宋_GB2312" w:cs="Times New Roman"/>
          <w:color w:val="auto"/>
          <w:sz w:val="32"/>
          <w:szCs w:val="32"/>
          <w:highlight w:val="none"/>
          <w:lang w:val="en-US" w:eastAsia="zh-CN"/>
        </w:rPr>
        <w:t>企业建设智能工厂、数字车间，融合大数据、智能制造、3D试衣等软硬件技术，</w:t>
      </w:r>
      <w:r>
        <w:rPr>
          <w:rFonts w:hint="default" w:ascii="Times New Roman" w:hAnsi="Times New Roman" w:eastAsia="仿宋_GB2312" w:cs="Times New Roman"/>
          <w:color w:val="auto"/>
          <w:sz w:val="32"/>
          <w:szCs w:val="32"/>
          <w:highlight w:val="none"/>
        </w:rPr>
        <w:t>开展个性化定制、柔性化生产</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打造胶东半岛特色纺织产业高地。力争到2030年，纺织服装产业总产值达到50亿元。</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9060" w:type="dxa"/>
          </w:tcPr>
          <w:p>
            <w:pPr>
              <w:keepNext w:val="0"/>
              <w:keepLines w:val="0"/>
              <w:pageBreakBefore w:val="0"/>
              <w:kinsoku/>
              <w:wordWrap/>
              <w:overflowPunct/>
              <w:topLinePunct w:val="0"/>
              <w:autoSpaceDE/>
              <w:autoSpaceDN/>
              <w:bidi w:val="0"/>
              <w:spacing w:line="600" w:lineRule="exact"/>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专栏4：纺织服装产业发展方向及重点项目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0"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87" w:name="_Toc23212"/>
            <w:r>
              <w:rPr>
                <w:rFonts w:hint="default" w:ascii="Times New Roman" w:hAnsi="Times New Roman" w:eastAsia="仿宋_GB2312" w:cs="Times New Roman"/>
                <w:b w:val="0"/>
                <w:bCs w:val="0"/>
                <w:color w:val="auto"/>
                <w:sz w:val="28"/>
                <w:szCs w:val="28"/>
                <w:highlight w:val="none"/>
                <w:lang w:val="en-US" w:eastAsia="zh-CN"/>
              </w:rPr>
              <w:t>1</w:t>
            </w:r>
            <w:r>
              <w:rPr>
                <w:rFonts w:hint="default" w:ascii="Times New Roman" w:hAnsi="Times New Roman" w:eastAsia="黑体" w:cs="Times New Roman"/>
                <w:b w:val="0"/>
                <w:bCs w:val="0"/>
                <w:color w:val="auto"/>
                <w:sz w:val="28"/>
                <w:szCs w:val="28"/>
                <w:highlight w:val="none"/>
                <w:lang w:val="en-US" w:eastAsia="zh-CN"/>
              </w:rPr>
              <w:t>.新型麻纺织：</w:t>
            </w:r>
            <w:r>
              <w:rPr>
                <w:rFonts w:hint="default" w:ascii="Times New Roman" w:hAnsi="Times New Roman" w:eastAsia="仿宋_GB2312" w:cs="Times New Roman"/>
                <w:b w:val="0"/>
                <w:bCs w:val="0"/>
                <w:color w:val="auto"/>
                <w:sz w:val="28"/>
                <w:szCs w:val="28"/>
                <w:highlight w:val="none"/>
                <w:lang w:val="en-US" w:eastAsia="zh-CN"/>
              </w:rPr>
              <w:t>以威海汉泰为龙头，以纳川印染、祺康纤维、佑成纤维等为骨干，加快推动数字化升级和供应链联动，持续完善种植、脱胶、打麻、纺纱、织布全链条麻产业体系。加快要素驱动向创新驱动转型，加大多组分纤维复合混纺技术和新结构纱线加工技术研发，发展高性能麻基复合材料、功能化改性麻纤维材料、生物基麻纤维混合材料等麻纤维、麻纺线、麻面料中端产品，前瞻布局差异化、特色化发展路径。</w:t>
            </w:r>
            <w:bookmarkEnd w:id="87"/>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88" w:name="_Toc29313"/>
            <w:r>
              <w:rPr>
                <w:rFonts w:hint="default" w:ascii="Times New Roman" w:hAnsi="Times New Roman" w:eastAsia="仿宋_GB2312" w:cs="Times New Roman"/>
                <w:b w:val="0"/>
                <w:bCs w:val="0"/>
                <w:color w:val="auto"/>
                <w:sz w:val="28"/>
                <w:szCs w:val="28"/>
                <w:highlight w:val="none"/>
                <w:lang w:val="en-US" w:eastAsia="zh-CN"/>
              </w:rPr>
              <w:t>2.</w:t>
            </w:r>
            <w:r>
              <w:rPr>
                <w:rFonts w:hint="default" w:ascii="Times New Roman" w:hAnsi="Times New Roman" w:eastAsia="黑体" w:cs="Times New Roman"/>
                <w:b w:val="0"/>
                <w:bCs w:val="0"/>
                <w:color w:val="auto"/>
                <w:sz w:val="28"/>
                <w:szCs w:val="28"/>
                <w:highlight w:val="none"/>
                <w:lang w:val="en-US" w:eastAsia="zh-CN"/>
              </w:rPr>
              <w:t>家纺服装：</w:t>
            </w:r>
            <w:r>
              <w:rPr>
                <w:rFonts w:hint="default" w:ascii="Times New Roman" w:hAnsi="Times New Roman" w:eastAsia="仿宋_GB2312" w:cs="Times New Roman"/>
                <w:b w:val="0"/>
                <w:bCs w:val="0"/>
                <w:color w:val="auto"/>
                <w:sz w:val="28"/>
                <w:szCs w:val="28"/>
                <w:highlight w:val="none"/>
                <w:lang w:val="en-US" w:eastAsia="zh-CN"/>
              </w:rPr>
              <w:t>引导有条件的企业向家纺服装领域延伸，开发床上用品、家居装饰品、餐厨用品等家纺特色产品，鼓励开发智能仿生、抗菌除螨、保温快干、健康养生等功能性纺织服装。加快完善规模化生产与个性化定制相结合产业模式，同步推动自有品牌培育和知名品牌招引，加快提升品牌知名度，打造特色功能性家纺服装集聚区。</w:t>
            </w:r>
            <w:bookmarkEnd w:id="88"/>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89" w:name="_Toc17732"/>
            <w:r>
              <w:rPr>
                <w:rFonts w:hint="default" w:ascii="Times New Roman" w:hAnsi="Times New Roman" w:eastAsia="仿宋_GB2312" w:cs="Times New Roman"/>
                <w:b w:val="0"/>
                <w:bCs w:val="0"/>
                <w:color w:val="auto"/>
                <w:sz w:val="28"/>
                <w:szCs w:val="28"/>
                <w:highlight w:val="none"/>
                <w:lang w:val="en-US" w:eastAsia="zh-CN"/>
              </w:rPr>
              <w:t>3.</w:t>
            </w:r>
            <w:r>
              <w:rPr>
                <w:rFonts w:hint="default" w:ascii="Times New Roman" w:hAnsi="Times New Roman" w:eastAsia="黑体" w:cs="Times New Roman"/>
                <w:b w:val="0"/>
                <w:bCs w:val="0"/>
                <w:color w:val="auto"/>
                <w:sz w:val="28"/>
                <w:szCs w:val="28"/>
                <w:highlight w:val="none"/>
                <w:lang w:val="en-US" w:eastAsia="zh-CN"/>
              </w:rPr>
              <w:t>产业用纺织品：</w:t>
            </w:r>
            <w:r>
              <w:rPr>
                <w:rFonts w:hint="default" w:ascii="Times New Roman" w:hAnsi="Times New Roman" w:eastAsia="仿宋_GB2312" w:cs="Times New Roman"/>
                <w:b w:val="0"/>
                <w:bCs w:val="0"/>
                <w:color w:val="auto"/>
                <w:sz w:val="28"/>
                <w:szCs w:val="28"/>
                <w:highlight w:val="none"/>
                <w:lang w:val="en-US" w:eastAsia="zh-CN"/>
              </w:rPr>
              <w:t>因地制宜丰富麻纺织产品谱系，聚焦新兴终端市场，突出场景化需求，逐步向医疗防护、户外运动、土工材料、汽车内饰等产业用纺织品领域拓展延伸。</w:t>
            </w:r>
            <w:bookmarkEnd w:id="89"/>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cs="Times New Roman"/>
                <w:color w:val="auto"/>
                <w:highlight w:val="none"/>
                <w:lang w:val="en-US" w:eastAsia="zh-CN"/>
              </w:rPr>
            </w:pPr>
            <w:bookmarkStart w:id="90" w:name="_Toc4904"/>
            <w:r>
              <w:rPr>
                <w:rFonts w:hint="default" w:ascii="Times New Roman" w:hAnsi="Times New Roman" w:eastAsia="仿宋_GB2312" w:cs="Times New Roman"/>
                <w:b w:val="0"/>
                <w:bCs w:val="0"/>
                <w:color w:val="auto"/>
                <w:sz w:val="28"/>
                <w:szCs w:val="28"/>
                <w:highlight w:val="none"/>
                <w:lang w:val="en-US" w:eastAsia="zh-CN"/>
              </w:rPr>
              <w:t>4.</w:t>
            </w:r>
            <w:r>
              <w:rPr>
                <w:rFonts w:hint="default" w:ascii="Times New Roman" w:hAnsi="Times New Roman" w:eastAsia="黑体" w:cs="Times New Roman"/>
                <w:b w:val="0"/>
                <w:bCs w:val="0"/>
                <w:color w:val="auto"/>
                <w:sz w:val="28"/>
                <w:szCs w:val="28"/>
                <w:highlight w:val="none"/>
                <w:lang w:val="en-US" w:eastAsia="zh-CN"/>
              </w:rPr>
              <w:t>重点项目：</w:t>
            </w:r>
            <w:r>
              <w:rPr>
                <w:rFonts w:hint="default" w:ascii="Times New Roman" w:hAnsi="Times New Roman" w:eastAsia="仿宋_GB2312" w:cs="Times New Roman"/>
                <w:b w:val="0"/>
                <w:bCs w:val="0"/>
                <w:color w:val="auto"/>
                <w:sz w:val="28"/>
                <w:szCs w:val="28"/>
                <w:highlight w:val="none"/>
                <w:lang w:val="en-US" w:eastAsia="zh-CN"/>
              </w:rPr>
              <w:t>山东三阳服装科技有限公司高端印染项目，威海魏桥纺织有限公司纺织服装项目，威海来利尔毛衫有限公司年产300万件毛衫、服装、针织产品加工生产项目，汉麻生物技术（山东）有限公司大麻脱胶项目，祺康高端染纱织造印花染色服装加工水洗项目，恒洋纤纺项目，爱可比蚝壳粉纺织新材料项目，山东艾文生物科技有限公司规模化海藻纤维纺丝液高效溶解脱泡关键技术设备研发项目，威海汉泰大麻纤维科技有限公司汉麻制备纺纱染整技术研发项目等。</w:t>
            </w:r>
            <w:bookmarkEnd w:id="90"/>
          </w:p>
        </w:tc>
      </w:tr>
    </w:tbl>
    <w:p>
      <w:pPr>
        <w:pStyle w:val="3"/>
        <w:keepNext w:val="0"/>
        <w:keepLines w:val="0"/>
        <w:pageBreakBefore w:val="0"/>
        <w:kinsoku/>
        <w:wordWrap/>
        <w:overflowPunct/>
        <w:topLinePunct w:val="0"/>
        <w:autoSpaceDE/>
        <w:autoSpaceDN/>
        <w:bidi w:val="0"/>
        <w:spacing w:before="50" w:beforeLines="50" w:beforeAutospacing="0" w:after="50" w:afterLines="50" w:afterAutospacing="0" w:line="56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91" w:name="_Toc15957"/>
      <w:bookmarkStart w:id="92" w:name="_Toc22562"/>
      <w:bookmarkStart w:id="93" w:name="_Toc6727"/>
      <w:bookmarkStart w:id="94" w:name="_Toc8205"/>
      <w:bookmarkStart w:id="95" w:name="_Toc11446"/>
      <w:bookmarkStart w:id="96" w:name="_Toc14361"/>
      <w:bookmarkStart w:id="97" w:name="_Toc9818"/>
      <w:bookmarkStart w:id="98" w:name="_Toc27088"/>
      <w:bookmarkStart w:id="99" w:name="_Toc11180"/>
      <w:r>
        <w:rPr>
          <w:rFonts w:hint="default" w:ascii="Times New Roman" w:hAnsi="Times New Roman" w:cs="Times New Roman"/>
          <w:snapToGrid w:val="0"/>
          <w:color w:val="auto"/>
          <w:sz w:val="32"/>
          <w:highlight w:val="none"/>
          <w:lang w:val="en-US" w:eastAsia="zh-CN"/>
        </w:rPr>
        <w:t>第二节 加快新兴产业膨胀升级</w:t>
      </w:r>
      <w:bookmarkEnd w:id="91"/>
      <w:bookmarkEnd w:id="92"/>
      <w:bookmarkEnd w:id="93"/>
      <w:bookmarkEnd w:id="94"/>
      <w:bookmarkEnd w:id="95"/>
      <w:bookmarkEnd w:id="96"/>
      <w:bookmarkEnd w:id="97"/>
      <w:bookmarkEnd w:id="98"/>
      <w:bookmarkEnd w:id="99"/>
    </w:p>
    <w:p>
      <w:pPr>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以打造新能源产业高质量发展先行区为引领，聚焦发展新产业、拓展新模式、探索新业态、打造新动能，加快发展新兴支柱产业，推动新能源、海工装备、低空经济等产业集群发展，筑强经济高质量发展新增长极。</w:t>
      </w:r>
    </w:p>
    <w:p>
      <w:pPr>
        <w:keepNext w:val="0"/>
        <w:keepLines w:val="0"/>
        <w:pageBreakBefore w:val="0"/>
        <w:widowControl w:val="0"/>
        <w:kinsoku/>
        <w:wordWrap/>
        <w:overflowPunct/>
        <w:topLinePunct w:val="0"/>
        <w:autoSpaceDE/>
        <w:autoSpaceDN/>
        <w:bidi w:val="0"/>
        <w:adjustRightInd/>
        <w:snapToGrid/>
        <w:spacing w:after="157" w:afterLines="50" w:line="560" w:lineRule="exact"/>
        <w:ind w:firstLine="641" w:firstLineChars="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新能源高端装备制造</w:t>
      </w:r>
      <w:r>
        <w:rPr>
          <w:rFonts w:hint="default" w:ascii="Times New Roman" w:hAnsi="Times New Roman" w:eastAsia="仿宋_GB2312" w:cs="Times New Roman"/>
          <w:b w:val="0"/>
          <w:bCs w:val="0"/>
          <w:color w:val="auto"/>
          <w:sz w:val="32"/>
          <w:szCs w:val="32"/>
          <w:highlight w:val="none"/>
          <w:lang w:val="en-US" w:eastAsia="zh-CN"/>
        </w:rPr>
        <w:t>。按照“多业态并进、集群化支撑、链群一体化”发展思路，依托海上风电装备制造产业基地，聚焦海上风电全产业链、核电装备核心零部件、新型储能高端装备等重点领域，辐射拓宽新能源装备制造全产业，优化产业集群发展生态，强化产业链关键环节布局，</w:t>
      </w:r>
      <w:r>
        <w:rPr>
          <w:rFonts w:hint="default" w:ascii="Times New Roman" w:hAnsi="Times New Roman" w:eastAsia="仿宋_GB2312" w:cs="Times New Roman"/>
          <w:color w:val="auto"/>
          <w:kern w:val="2"/>
          <w:sz w:val="32"/>
          <w:szCs w:val="32"/>
          <w:highlight w:val="none"/>
          <w:lang w:val="en-US" w:eastAsia="zh-CN"/>
        </w:rPr>
        <w:t>推动产业协同创新和资源共享，</w:t>
      </w:r>
      <w:r>
        <w:rPr>
          <w:rFonts w:hint="default" w:ascii="Times New Roman" w:hAnsi="Times New Roman" w:eastAsia="仿宋_GB2312" w:cs="Times New Roman"/>
          <w:b w:val="0"/>
          <w:bCs w:val="0"/>
          <w:color w:val="auto"/>
          <w:sz w:val="32"/>
          <w:szCs w:val="32"/>
          <w:highlight w:val="none"/>
          <w:lang w:val="en-US" w:eastAsia="zh-CN"/>
        </w:rPr>
        <w:t>打造集研发设计、装备制造、检验检测、运维服务于一体的新能源高端装备制造产业体系。力争到2030年，新能源高端装备制造产业总产值突破200亿元。</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60" w:type="dxa"/>
            <w:vAlign w:val="bottom"/>
          </w:tcPr>
          <w:p>
            <w:pPr>
              <w:keepNext w:val="0"/>
              <w:keepLines w:val="0"/>
              <w:pageBreakBefore w:val="0"/>
              <w:kinsoku/>
              <w:wordWrap/>
              <w:overflowPunct/>
              <w:topLinePunct w:val="0"/>
              <w:autoSpaceDE/>
              <w:autoSpaceDN/>
              <w:bidi w:val="0"/>
              <w:spacing w:line="360" w:lineRule="auto"/>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专栏5：新能源产业发展方向及重点项目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r>
              <w:rPr>
                <w:rFonts w:hint="default" w:ascii="Times New Roman" w:hAnsi="Times New Roman" w:eastAsia="黑体" w:cs="Times New Roman"/>
                <w:b w:val="0"/>
                <w:bCs w:val="0"/>
                <w:color w:val="auto"/>
                <w:sz w:val="28"/>
                <w:szCs w:val="28"/>
                <w:highlight w:val="none"/>
                <w:lang w:val="en-US" w:eastAsia="zh-CN"/>
              </w:rPr>
              <w:t>1.海上风电装备：</w:t>
            </w:r>
            <w:r>
              <w:rPr>
                <w:rFonts w:hint="default" w:ascii="Times New Roman" w:hAnsi="Times New Roman" w:eastAsia="仿宋_GB2312" w:cs="Times New Roman"/>
                <w:b w:val="0"/>
                <w:bCs w:val="0"/>
                <w:color w:val="auto"/>
                <w:sz w:val="28"/>
                <w:szCs w:val="28"/>
                <w:highlight w:val="none"/>
                <w:lang w:val="en-US" w:eastAsia="zh-CN"/>
              </w:rPr>
              <w:t>充分发挥生产线至乳山港无缝衔接资源优势，依托明阳智能、远景能源、海力科技等龙头企业，围绕高强度、抗冲击等核心指标以及耐盐雾、耐腐蚀等特殊要求，持续在海上风电整机制造、支撑结构、风机塔筒、海上吊装设备、海底光电复合缆等产品领域发力，加大发电机、轴承、法兰等空白领域精准招商，夯实千吨级单桩基础、超高压海缆等产品优势，重点支持明阳、远景、海力、中天等落地企业膨胀扩规，加快推进中国资环风电主机和光伏组件回收改造、陆上风电混塔、特变电工海上风电变压器、海力二期套笼架和三期海上升压站、远景高端偏航齿轮箱、中天二期中高压海缆、风电运维服务中心、能源数据中心、国际海上风电创新测试实验室等项目落地建设，进一步壮大海上风电装备制造基地规模。</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b w:val="0"/>
                <w:bCs w:val="0"/>
                <w:color w:val="auto"/>
                <w:kern w:val="44"/>
                <w:sz w:val="28"/>
                <w:szCs w:val="28"/>
                <w:highlight w:val="none"/>
                <w:lang w:val="en-US" w:eastAsia="zh-CN" w:bidi="ar-SA"/>
              </w:rPr>
            </w:pPr>
            <w:r>
              <w:rPr>
                <w:rFonts w:hint="default" w:ascii="Times New Roman" w:hAnsi="Times New Roman" w:eastAsia="黑体" w:cs="Times New Roman"/>
                <w:b w:val="0"/>
                <w:bCs w:val="0"/>
                <w:color w:val="auto"/>
                <w:kern w:val="44"/>
                <w:sz w:val="28"/>
                <w:szCs w:val="28"/>
                <w:highlight w:val="none"/>
                <w:lang w:val="en-US" w:eastAsia="zh-CN" w:bidi="ar-SA"/>
              </w:rPr>
              <w:t>2.核电装备：</w:t>
            </w:r>
            <w:r>
              <w:rPr>
                <w:rFonts w:hint="default" w:ascii="Times New Roman" w:hAnsi="Times New Roman" w:eastAsia="仿宋_GB2312" w:cs="Times New Roman"/>
                <w:b w:val="0"/>
                <w:bCs w:val="0"/>
                <w:color w:val="auto"/>
                <w:kern w:val="44"/>
                <w:sz w:val="28"/>
                <w:szCs w:val="28"/>
                <w:highlight w:val="none"/>
                <w:lang w:val="en-US" w:eastAsia="zh-CN" w:bidi="ar-SA"/>
              </w:rPr>
              <w:t>抢抓山东省全面打造胶东半岛千万千瓦级核电基地重大机遇，充分发挥地处烟威核心区域优势，依托中核、国家电投、华能、中广核等四大核电央企龙头地位，加强压力容器、核电锻件等核电重型装备以及核聚变能等高端产业项目招引，建设核电装备战略性新兴产业集群。重点推进东方电气核电凝汽器、东方电气低温加热器和汽轮机低压模块等项目。</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eastAsia="黑体" w:cs="Times New Roman"/>
                <w:b w:val="0"/>
                <w:bCs w:val="0"/>
                <w:color w:val="auto"/>
                <w:sz w:val="28"/>
                <w:szCs w:val="28"/>
                <w:highlight w:val="none"/>
                <w:lang w:val="en-US" w:eastAsia="zh-CN"/>
              </w:rPr>
              <w:t>3.新型储能装备：</w:t>
            </w:r>
            <w:r>
              <w:rPr>
                <w:rFonts w:hint="default" w:ascii="Times New Roman" w:hAnsi="Times New Roman" w:eastAsia="仿宋_GB2312" w:cs="Times New Roman"/>
                <w:b w:val="0"/>
                <w:bCs w:val="0"/>
                <w:color w:val="auto"/>
                <w:sz w:val="28"/>
                <w:szCs w:val="28"/>
                <w:highlight w:val="none"/>
                <w:lang w:val="en-US" w:eastAsia="zh-CN"/>
              </w:rPr>
              <w:t>用好国家、省压缩空气储能、飞轮储能、重力储能等物理储能支持政策，前瞻谋划抽水蓄能、高速飞轮、气泵等核心零部件生产，因地制宜聚焦液流电池、固态（半固体）锂电池、钠电池等新一代储能技术，加强本地企业孵化，招引头部企业设立分支机构、生产基地。重点推进海雅科技氢燃料电池和储氢罐、氢能无人机及燃料电池制造、新能源锌镍电池等。</w:t>
            </w:r>
          </w:p>
        </w:tc>
      </w:tr>
    </w:tbl>
    <w:p>
      <w:pPr>
        <w:keepNext w:val="0"/>
        <w:keepLines w:val="0"/>
        <w:pageBreakBefore w:val="0"/>
        <w:widowControl w:val="0"/>
        <w:kinsoku/>
        <w:wordWrap/>
        <w:overflowPunct/>
        <w:topLinePunct w:val="0"/>
        <w:autoSpaceDE/>
        <w:autoSpaceDN/>
        <w:bidi w:val="0"/>
        <w:adjustRightInd/>
        <w:snapToGrid/>
        <w:spacing w:line="570" w:lineRule="exact"/>
        <w:ind w:firstLine="641"/>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海工重型装备。</w:t>
      </w:r>
      <w:r>
        <w:rPr>
          <w:rFonts w:hint="default" w:ascii="Times New Roman" w:hAnsi="Times New Roman" w:eastAsia="仿宋_GB2312" w:cs="Times New Roman"/>
          <w:b w:val="0"/>
          <w:bCs w:val="0"/>
          <w:color w:val="auto"/>
          <w:sz w:val="32"/>
          <w:szCs w:val="32"/>
          <w:highlight w:val="none"/>
          <w:lang w:val="en-US" w:eastAsia="zh-CN"/>
        </w:rPr>
        <w:t>按照“一体布局、差异发展、陆海联动”发展思路，积极融入青烟威海工装备和高技术船舶国家先进制造业集群生态圈，重点聚焦海洋石油勘探装备、大型机械设备两大板块，推动LNG/甲醇/氨燃料动力系统、3000米级深水油气开发装备等关键技术研发，</w:t>
      </w:r>
      <w:r>
        <w:rPr>
          <w:rFonts w:hint="default" w:ascii="Times New Roman" w:hAnsi="Times New Roman" w:eastAsia="仿宋_GB2312" w:cs="Times New Roman"/>
          <w:color w:val="auto"/>
          <w:sz w:val="32"/>
          <w:szCs w:val="32"/>
          <w:highlight w:val="none"/>
          <w:lang w:val="en-US" w:eastAsia="zh-CN"/>
        </w:rPr>
        <w:t>加快油气处理模块、FPSO、采油平台、特材管路等深海油气开采核心装备研发生产，</w:t>
      </w:r>
      <w:r>
        <w:rPr>
          <w:rFonts w:hint="default" w:ascii="Times New Roman" w:hAnsi="Times New Roman" w:eastAsia="仿宋_GB2312" w:cs="Times New Roman"/>
          <w:bCs w:val="0"/>
          <w:color w:val="auto"/>
          <w:sz w:val="32"/>
          <w:szCs w:val="32"/>
          <w:highlight w:val="none"/>
          <w:lang w:val="en-US" w:eastAsia="zh-CN"/>
        </w:rPr>
        <w:t>着力突破</w:t>
      </w:r>
      <w:r>
        <w:rPr>
          <w:rFonts w:hint="default" w:ascii="Times New Roman" w:hAnsi="Times New Roman" w:eastAsia="仿宋_GB2312" w:cs="Times New Roman"/>
          <w:b w:val="0"/>
          <w:bCs w:val="0"/>
          <w:color w:val="auto"/>
          <w:sz w:val="32"/>
          <w:szCs w:val="32"/>
          <w:highlight w:val="none"/>
          <w:lang w:val="en-US" w:eastAsia="zh-CN"/>
        </w:rPr>
        <w:t>大型挖掘设备、</w:t>
      </w:r>
      <w:r>
        <w:rPr>
          <w:rFonts w:hint="default" w:ascii="Times New Roman" w:hAnsi="Times New Roman" w:eastAsia="仿宋_GB2312" w:cs="Times New Roman"/>
          <w:color w:val="auto"/>
          <w:sz w:val="32"/>
          <w:szCs w:val="32"/>
          <w:highlight w:val="none"/>
          <w:lang w:val="en-US" w:eastAsia="zh-CN"/>
        </w:rPr>
        <w:t>矿山</w:t>
      </w:r>
      <w:r>
        <w:rPr>
          <w:rFonts w:hint="default" w:ascii="Times New Roman" w:hAnsi="Times New Roman" w:eastAsia="仿宋_GB2312" w:cs="Times New Roman"/>
          <w:b w:val="0"/>
          <w:bCs w:val="0"/>
          <w:color w:val="auto"/>
          <w:sz w:val="32"/>
          <w:szCs w:val="32"/>
          <w:highlight w:val="none"/>
          <w:lang w:val="en-US" w:eastAsia="zh-CN"/>
        </w:rPr>
        <w:t>安全监测</w:t>
      </w:r>
      <w:r>
        <w:rPr>
          <w:rFonts w:hint="default" w:ascii="Times New Roman" w:hAnsi="Times New Roman" w:eastAsia="仿宋_GB2312" w:cs="Times New Roman"/>
          <w:color w:val="auto"/>
          <w:sz w:val="32"/>
          <w:szCs w:val="32"/>
          <w:highlight w:val="none"/>
          <w:lang w:val="en-US" w:eastAsia="zh-CN"/>
        </w:rPr>
        <w:t>设备等大型机械制造，</w:t>
      </w:r>
      <w:r>
        <w:rPr>
          <w:rFonts w:hint="default" w:ascii="Times New Roman" w:hAnsi="Times New Roman" w:eastAsia="仿宋_GB2312" w:cs="Times New Roman"/>
          <w:b w:val="0"/>
          <w:bCs w:val="0"/>
          <w:color w:val="auto"/>
          <w:sz w:val="32"/>
          <w:szCs w:val="32"/>
          <w:highlight w:val="none"/>
          <w:lang w:val="en-US" w:eastAsia="zh-CN"/>
        </w:rPr>
        <w:t>持续促进海工装备产业向高端化、智能化、集成化领域突破发力</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力争到2030年，海工重型装备产业总产值突破100亿元。</w:t>
      </w:r>
    </w:p>
    <w:tbl>
      <w:tblPr>
        <w:tblStyle w:val="19"/>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8835"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专栏6：海工重型装备发展方向及重点项目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35"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Times New Roman" w:hAnsi="Times New Roman" w:eastAsia="黑体" w:cs="Times New Roman"/>
                <w:b w:val="0"/>
                <w:bCs w:val="0"/>
                <w:color w:val="auto"/>
                <w:sz w:val="28"/>
                <w:szCs w:val="28"/>
                <w:highlight w:val="none"/>
                <w:lang w:val="en-US" w:eastAsia="zh-CN"/>
              </w:rPr>
              <w:t>1.海洋石油勘探装备：</w:t>
            </w:r>
            <w:r>
              <w:rPr>
                <w:rFonts w:hint="eastAsia" w:ascii="仿宋_GB2312" w:hAnsi="仿宋_GB2312" w:eastAsia="仿宋_GB2312" w:cs="仿宋_GB2312"/>
                <w:b w:val="0"/>
                <w:bCs w:val="0"/>
                <w:color w:val="auto"/>
                <w:sz w:val="28"/>
                <w:szCs w:val="28"/>
                <w:highlight w:val="none"/>
                <w:lang w:val="en-US" w:eastAsia="zh-CN"/>
              </w:rPr>
              <w:t>以山东豪迈（乳山）为龙头，以昊钧海工等为支撑，围绕海上油气勘探、海上油气生产、油气处理、储运系统、输电系统、通信系统等领域，重点发展油气处理模块、FPSO、压力容器、采油平台、特材管路等，加快形成从油气处理到专用设备关键环节产品谱系。</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Times New Roman" w:hAnsi="Times New Roman" w:eastAsia="黑体" w:cs="Times New Roman"/>
                <w:b w:val="0"/>
                <w:bCs w:val="0"/>
                <w:color w:val="auto"/>
                <w:sz w:val="28"/>
                <w:szCs w:val="28"/>
                <w:highlight w:val="none"/>
                <w:lang w:val="en-US" w:eastAsia="zh-CN"/>
              </w:rPr>
              <w:t>2.大型机械设备：</w:t>
            </w:r>
            <w:r>
              <w:rPr>
                <w:rFonts w:hint="eastAsia" w:ascii="仿宋_GB2312" w:hAnsi="仿宋_GB2312" w:eastAsia="仿宋_GB2312" w:cs="仿宋_GB2312"/>
                <w:b w:val="0"/>
                <w:bCs w:val="0"/>
                <w:color w:val="auto"/>
                <w:sz w:val="28"/>
                <w:szCs w:val="28"/>
                <w:highlight w:val="none"/>
                <w:lang w:val="en-US" w:eastAsia="zh-CN"/>
              </w:rPr>
              <w:t>以威海埃姆提爱、澳瑞特矿用生产设备加工、瑞德矿山、日晟机械、山东鹏程等为核心，围绕露天采矿、地下开采、矿山运输等环节，持续推动爆破间隔器、矿用支护设备、专用运输载具、大型挖掘设备、安全监测设备等细分领域技术升级和产品迭代，打造“爆破+支护+运输+配件”特色产业集群。</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cs="Times New Roman"/>
                <w:color w:val="auto"/>
                <w:highlight w:val="none"/>
                <w:lang w:val="en-US" w:eastAsia="zh-CN"/>
              </w:rPr>
            </w:pPr>
            <w:r>
              <w:rPr>
                <w:rFonts w:hint="eastAsia" w:ascii="Times New Roman" w:hAnsi="Times New Roman" w:eastAsia="黑体" w:cs="Times New Roman"/>
                <w:b w:val="0"/>
                <w:bCs w:val="0"/>
                <w:color w:val="auto"/>
                <w:sz w:val="28"/>
                <w:szCs w:val="28"/>
                <w:highlight w:val="none"/>
                <w:lang w:val="en-US" w:eastAsia="zh-CN"/>
              </w:rPr>
              <w:t>3.重点项目：</w:t>
            </w:r>
            <w:r>
              <w:rPr>
                <w:rFonts w:hint="eastAsia" w:ascii="仿宋_GB2312" w:hAnsi="仿宋_GB2312" w:eastAsia="仿宋_GB2312" w:cs="仿宋_GB2312"/>
                <w:b w:val="0"/>
                <w:bCs w:val="0"/>
                <w:color w:val="auto"/>
                <w:sz w:val="28"/>
                <w:szCs w:val="28"/>
                <w:highlight w:val="none"/>
                <w:lang w:val="en-US" w:eastAsia="zh-CN"/>
              </w:rPr>
              <w:t>豪迈重型装备（四期），山东豪迈重型装备有限公司超高压闪蒸工艺系统等系列研发项目，威海鑫东尔智能装备有限公司大型双砂箱造型线研发及产业化项目，招商局集团船段生产项目，润博科技商业航天结构系统集成制造基地项目，烟台中集来福士海工重型装备制造项目等。</w:t>
            </w:r>
          </w:p>
        </w:tc>
      </w:tr>
    </w:tbl>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低空经济</w:t>
      </w:r>
      <w:r>
        <w:rPr>
          <w:rFonts w:hint="default" w:ascii="Times New Roman" w:hAnsi="Times New Roman" w:eastAsia="仿宋_GB2312" w:cs="Times New Roman"/>
          <w:b w:val="0"/>
          <w:bCs w:val="0"/>
          <w:color w:val="auto"/>
          <w:kern w:val="2"/>
          <w:sz w:val="32"/>
          <w:szCs w:val="32"/>
          <w:highlight w:val="none"/>
          <w:lang w:val="en-US" w:eastAsia="zh-CN"/>
        </w:rPr>
        <w:t>。立足“差异化定位、特色化发展”原则，以“零碳产业发展服务中心”为引领、“中基致佳智能无人机”为龙头、“山东外事职业大学”为支撑、“低空产教融合基地”为承接，按照“研发－生产－运营－运用”发展路径，推动低空经济产业多元化、全要素链式发展，全力打造低空经济产教融合基地。强化硬件设施、空域资源和人才技术支撑，稳步打造一批综合性、智能化、集成型的无人机起降场所和服务基地，全域布局政务与市场化应用场景，加大基础材料、电池、电机、中大型工业级无人机、eVTOL电动垂直起降无人机、直升机、固定翼无人机等上下游重点项目招引培育，构建集聚集约发展格局。</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rPr>
      </w:pP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rPr>
      </w:pPr>
    </w:p>
    <w:tbl>
      <w:tblPr>
        <w:tblStyle w:val="19"/>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835" w:type="dxa"/>
            <w:vAlign w:val="top"/>
          </w:tcPr>
          <w:p>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专栏7：低空经济重点方向和项目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5"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560" w:firstLineChars="200"/>
              <w:jc w:val="both"/>
              <w:textAlignment w:val="auto"/>
              <w:rPr>
                <w:rFonts w:hint="default" w:ascii="Times New Roman" w:hAnsi="Times New Roman" w:eastAsia="仿宋_GB2312" w:cs="Times New Roman"/>
                <w:b w:val="0"/>
                <w:bCs w:val="0"/>
                <w:color w:val="auto"/>
                <w:kern w:val="44"/>
                <w:sz w:val="28"/>
                <w:szCs w:val="28"/>
                <w:highlight w:val="none"/>
                <w:lang w:val="en-US" w:eastAsia="zh-CN" w:bidi="ar-SA"/>
              </w:rPr>
            </w:pPr>
            <w:r>
              <w:rPr>
                <w:rFonts w:hint="default" w:ascii="Times New Roman" w:hAnsi="Times New Roman" w:eastAsia="黑体" w:cs="Times New Roman"/>
                <w:b w:val="0"/>
                <w:bCs w:val="0"/>
                <w:color w:val="auto"/>
                <w:kern w:val="44"/>
                <w:sz w:val="28"/>
                <w:szCs w:val="28"/>
                <w:highlight w:val="none"/>
                <w:lang w:val="en-US" w:eastAsia="zh-CN" w:bidi="ar-SA"/>
              </w:rPr>
              <w:t>1.基础保障：</w:t>
            </w:r>
            <w:r>
              <w:rPr>
                <w:rFonts w:hint="default" w:ascii="Times New Roman" w:hAnsi="Times New Roman" w:eastAsia="仿宋_GB2312" w:cs="Times New Roman"/>
                <w:b w:val="0"/>
                <w:bCs w:val="0"/>
                <w:color w:val="auto"/>
                <w:kern w:val="44"/>
                <w:sz w:val="28"/>
                <w:szCs w:val="28"/>
                <w:highlight w:val="none"/>
                <w:lang w:val="en-US" w:eastAsia="zh-CN" w:bidi="ar-SA"/>
              </w:rPr>
              <w:t>硬件设施方面，按照两统筹、两坚持的原则，一体规划我市低空基础设施，规划建设28处三级低空垂直起降场和1处二级低空垂直起降场。空域保障方面，进一步扩大全市适飞空域获批面积。人才支撑方面，依托外事职业大学低空经济研究院无人机机务维修、服务与管理等专业，加大低空人才、飞手培养，持续输送专业化、规范化的飞行和运维力量。</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560" w:firstLineChars="200"/>
              <w:jc w:val="both"/>
              <w:textAlignment w:val="auto"/>
              <w:rPr>
                <w:rFonts w:hint="default" w:ascii="Times New Roman" w:hAnsi="Times New Roman" w:eastAsia="仿宋_GB2312" w:cs="Times New Roman"/>
                <w:b w:val="0"/>
                <w:bCs w:val="0"/>
                <w:color w:val="auto"/>
                <w:kern w:val="44"/>
                <w:sz w:val="28"/>
                <w:szCs w:val="28"/>
                <w:highlight w:val="none"/>
                <w:lang w:val="en-US" w:eastAsia="zh-CN" w:bidi="ar-SA"/>
              </w:rPr>
            </w:pPr>
            <w:r>
              <w:rPr>
                <w:rFonts w:hint="default" w:ascii="Times New Roman" w:hAnsi="Times New Roman" w:eastAsia="黑体" w:cs="Times New Roman"/>
                <w:b w:val="0"/>
                <w:bCs w:val="0"/>
                <w:color w:val="auto"/>
                <w:kern w:val="44"/>
                <w:sz w:val="28"/>
                <w:szCs w:val="28"/>
                <w:highlight w:val="none"/>
                <w:lang w:val="en-US" w:eastAsia="zh-CN" w:bidi="ar-SA"/>
              </w:rPr>
              <w:t>2.应用场景：</w:t>
            </w:r>
            <w:r>
              <w:rPr>
                <w:rFonts w:hint="default" w:ascii="Times New Roman" w:hAnsi="Times New Roman" w:eastAsia="仿宋_GB2312" w:cs="Times New Roman"/>
                <w:b w:val="0"/>
                <w:bCs w:val="0"/>
                <w:color w:val="auto"/>
                <w:kern w:val="44"/>
                <w:sz w:val="28"/>
                <w:szCs w:val="28"/>
                <w:highlight w:val="none"/>
                <w:lang w:val="en-US" w:eastAsia="zh-CN" w:bidi="ar-SA"/>
              </w:rPr>
              <w:t>以布局政务场景与市场化场景为方向，做深疫木除治、低空警务、森林防火、应急救援、废弃矿井巡查等成熟场景，做宽风电巡检、农业植保、文旅观光、电力巡检、物流配送、环境监测、渔船管控、耕地保护等潜力场景，探索以国企为主体的低空应用场景统筹运营模式，整合分散的应用需求、飞行资产、飞手队伍，实行统一管理、统一调度、统一服务，推进低空应用场景规模化、常态化发展。</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560" w:firstLineChars="200"/>
              <w:jc w:val="both"/>
              <w:textAlignment w:val="auto"/>
              <w:rPr>
                <w:rFonts w:hint="default" w:ascii="Times New Roman" w:hAnsi="Times New Roman" w:eastAsia="楷体_GB2312" w:cs="Times New Roman"/>
                <w:b w:val="0"/>
                <w:bCs w:val="0"/>
                <w:color w:val="auto"/>
                <w:sz w:val="32"/>
                <w:szCs w:val="32"/>
                <w:highlight w:val="none"/>
                <w:vertAlign w:val="baseline"/>
                <w:lang w:val="en-US" w:eastAsia="zh-CN"/>
              </w:rPr>
            </w:pPr>
            <w:r>
              <w:rPr>
                <w:rFonts w:hint="default" w:ascii="Times New Roman" w:hAnsi="Times New Roman" w:eastAsia="黑体" w:cs="Times New Roman"/>
                <w:b w:val="0"/>
                <w:bCs w:val="0"/>
                <w:color w:val="auto"/>
                <w:kern w:val="44"/>
                <w:sz w:val="28"/>
                <w:szCs w:val="28"/>
                <w:highlight w:val="none"/>
                <w:lang w:val="en-US" w:eastAsia="zh-CN" w:bidi="ar-SA"/>
              </w:rPr>
              <w:t>3.产业生态：</w:t>
            </w:r>
            <w:r>
              <w:rPr>
                <w:rFonts w:hint="default" w:ascii="Times New Roman" w:hAnsi="Times New Roman" w:eastAsia="仿宋_GB2312" w:cs="Times New Roman"/>
                <w:b w:val="0"/>
                <w:bCs w:val="0"/>
                <w:color w:val="auto"/>
                <w:kern w:val="44"/>
                <w:sz w:val="28"/>
                <w:szCs w:val="28"/>
                <w:highlight w:val="none"/>
                <w:lang w:val="en-US" w:eastAsia="zh-CN" w:bidi="ar-SA"/>
              </w:rPr>
              <w:t>坚持“下游先行、逆向带动”，以做强龙头、补齐链条、完善生态为目标，统筹推进链上招引和本地配套，做大做强低空经济产业生态。重点推进乳山通用机场建设项目、山东中基致佳无人机项目、海创智空项目、小鹏汇天飞天汽车文旅合作项目、青岛航空综合服务项目、赛飞特低空经济产业基地项目等。</w:t>
            </w:r>
          </w:p>
        </w:tc>
      </w:tr>
    </w:tbl>
    <w:p>
      <w:pPr>
        <w:pStyle w:val="3"/>
        <w:keepNext w:val="0"/>
        <w:keepLines w:val="0"/>
        <w:pageBreakBefore w:val="0"/>
        <w:widowControl w:val="0"/>
        <w:kinsoku/>
        <w:wordWrap/>
        <w:overflowPunct/>
        <w:topLinePunct w:val="0"/>
        <w:autoSpaceDE/>
        <w:autoSpaceDN/>
        <w:bidi w:val="0"/>
        <w:adjustRightInd/>
        <w:snapToGrid/>
        <w:spacing w:before="50" w:beforeLines="50" w:beforeAutospacing="0" w:after="50" w:afterLines="50" w:afterAutospacing="0" w:line="24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100" w:name="_Toc31902"/>
      <w:bookmarkStart w:id="101" w:name="_Toc18275"/>
    </w:p>
    <w:p>
      <w:pPr>
        <w:pStyle w:val="3"/>
        <w:keepNext w:val="0"/>
        <w:keepLines w:val="0"/>
        <w:pageBreakBefore w:val="0"/>
        <w:widowControl w:val="0"/>
        <w:kinsoku/>
        <w:wordWrap/>
        <w:overflowPunct/>
        <w:topLinePunct w:val="0"/>
        <w:autoSpaceDE/>
        <w:autoSpaceDN/>
        <w:bidi w:val="0"/>
        <w:adjustRightInd/>
        <w:snapToGrid/>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r>
        <w:rPr>
          <w:rFonts w:hint="default" w:ascii="Times New Roman" w:hAnsi="Times New Roman" w:cs="Times New Roman"/>
          <w:snapToGrid w:val="0"/>
          <w:color w:val="auto"/>
          <w:sz w:val="32"/>
          <w:highlight w:val="none"/>
          <w:lang w:val="en-US" w:eastAsia="zh-CN"/>
        </w:rPr>
        <w:t>第三节 谋划未来产业发展布局</w:t>
      </w:r>
      <w:bookmarkEnd w:id="100"/>
      <w:bookmarkEnd w:id="101"/>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立足产业规模优势、配套优势和部分领域先发优势，围绕元宇宙、人工智能、氢能等先导性产业，探索多元技术路线、典型应用场景、可行商业模式，着力培育更多经济增长点。</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元宇宙</w:t>
      </w:r>
      <w:r>
        <w:rPr>
          <w:rFonts w:hint="default" w:ascii="Times New Roman" w:hAnsi="Times New Roman" w:eastAsia="仿宋_GB2312" w:cs="Times New Roman"/>
          <w:b w:val="0"/>
          <w:bCs w:val="0"/>
          <w:color w:val="auto"/>
          <w:kern w:val="2"/>
          <w:sz w:val="32"/>
          <w:szCs w:val="32"/>
          <w:highlight w:val="none"/>
          <w:lang w:val="en-US" w:eastAsia="zh-CN"/>
        </w:rPr>
        <w:t>。以“强制造、建内容、育人才、拓场景”为主线，探索打造特色鲜明、优势突出的“元宇宙+”产业发展格局。广泛部署物联感知终端，构建“云+网+端”的基础网络体系，引育一批虚拟主机、VR（虚拟现实）、AR（增强现实）、MR（混合现实）、脑机交互、智能传感器等设备生产企业。</w:t>
      </w:r>
      <w:r>
        <w:rPr>
          <w:rFonts w:hint="default" w:ascii="Times New Roman" w:hAnsi="Times New Roman" w:eastAsia="仿宋_GB2312" w:cs="Times New Roman"/>
          <w:color w:val="auto"/>
          <w:kern w:val="2"/>
          <w:sz w:val="32"/>
          <w:szCs w:val="32"/>
          <w:highlight w:val="none"/>
          <w:lang w:val="en-US" w:eastAsia="zh-CN"/>
        </w:rPr>
        <w:t>围绕社交、教育、医疗、文体娱乐、政务管理等领域开展元宇宙场景内容创新，打造一批高互动性、高沉浸感应用场景和服务产品，培育信息消费产业新增长点。</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人工智能。</w:t>
      </w:r>
      <w:r>
        <w:rPr>
          <w:rFonts w:hint="default" w:ascii="Times New Roman" w:hAnsi="Times New Roman" w:eastAsia="仿宋_GB2312" w:cs="Times New Roman"/>
          <w:b w:val="0"/>
          <w:bCs w:val="0"/>
          <w:color w:val="auto"/>
          <w:kern w:val="2"/>
          <w:sz w:val="32"/>
          <w:szCs w:val="32"/>
          <w:highlight w:val="none"/>
          <w:lang w:val="en-US" w:eastAsia="zh-CN"/>
        </w:rPr>
        <w:t>坚持“扬优势、找赛道、扶重点、创特色”，聚焦大模型、机器人、智能软硬件、智能服务等重点领域，加快形成人工智能产业新优势。加强通用大模型和行业大模型研发布局，谋划发展</w:t>
      </w:r>
      <w:r>
        <w:rPr>
          <w:rFonts w:hint="default" w:ascii="Times New Roman" w:hAnsi="Times New Roman" w:eastAsia="仿宋_GB2312" w:cs="Times New Roman"/>
          <w:color w:val="auto"/>
          <w:kern w:val="2"/>
          <w:sz w:val="32"/>
          <w:szCs w:val="32"/>
          <w:highlight w:val="none"/>
          <w:lang w:val="en-US" w:eastAsia="zh-CN"/>
        </w:rPr>
        <w:t>人形机器人、工业机器人产业，培育协作机器人和智能仓储物流机器人等新产品，</w:t>
      </w:r>
      <w:r>
        <w:rPr>
          <w:rFonts w:hint="default" w:ascii="Times New Roman" w:hAnsi="Times New Roman" w:eastAsia="仿宋_GB2312" w:cs="Times New Roman"/>
          <w:b w:val="0"/>
          <w:bCs w:val="0"/>
          <w:color w:val="auto"/>
          <w:kern w:val="2"/>
          <w:sz w:val="32"/>
          <w:szCs w:val="32"/>
          <w:highlight w:val="none"/>
          <w:lang w:val="en-US" w:eastAsia="zh-CN"/>
        </w:rPr>
        <w:t>开展“人工智能+”行动，推动高端数控机床、海洋工程装备等智能化改造，</w:t>
      </w:r>
      <w:r>
        <w:rPr>
          <w:rFonts w:hint="default" w:ascii="Times New Roman" w:hAnsi="Times New Roman" w:eastAsia="仿宋_GB2312" w:cs="Times New Roman"/>
          <w:color w:val="auto"/>
          <w:kern w:val="2"/>
          <w:sz w:val="32"/>
          <w:szCs w:val="32"/>
          <w:highlight w:val="none"/>
          <w:lang w:val="en-US" w:eastAsia="zh-CN"/>
        </w:rPr>
        <w:t>发展智能网联汽车、智能穿戴等新一代消费级智能终端。支持人工智能职业技能培训，</w:t>
      </w:r>
      <w:r>
        <w:rPr>
          <w:rFonts w:hint="default" w:ascii="Times New Roman" w:hAnsi="Times New Roman" w:eastAsia="仿宋_GB2312" w:cs="Times New Roman"/>
          <w:b w:val="0"/>
          <w:bCs w:val="0"/>
          <w:color w:val="auto"/>
          <w:kern w:val="2"/>
          <w:sz w:val="32"/>
          <w:szCs w:val="32"/>
          <w:highlight w:val="none"/>
          <w:lang w:val="en-US" w:eastAsia="zh-CN"/>
        </w:rPr>
        <w:t>围绕智能制造、智慧农业、智慧物流、智慧养老等重点领域开展人工智能场景创新行动，推动人工智能赋能经济社会高质量发展。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氢能</w:t>
      </w:r>
      <w:r>
        <w:rPr>
          <w:rFonts w:hint="default" w:ascii="Times New Roman" w:hAnsi="Times New Roman" w:eastAsia="仿宋_GB2312" w:cs="Times New Roman"/>
          <w:b w:val="0"/>
          <w:bCs w:val="0"/>
          <w:color w:val="auto"/>
          <w:kern w:val="2"/>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依托我市庞大的新能源规模优势，探索开展光伏发电制氢、风电制氢、海洋能制氢等低碳低成本氢源供给模式，利用海上风电、海上分布式光伏集群建设海水制氢工厂及氢氨醇一体化生产线，创新建设规模化绿色制氢基地。探索推进高压、多相态氢气储存运输能力，持续培育氢燃料电池汽车示范应用等新业态，推动氢能在交通运输、工业供热、储能等领域规模化应用，布局建设加氢（氨醇）站、氢氨醇一体化、能源岛等项目，全力打造“制储运加用”氢能产业链条。力争到2030年，“海上制氢—液氢船舶运输—临港产业消纳”一体化布局初步形成。</w:t>
      </w:r>
    </w:p>
    <w:tbl>
      <w:tblPr>
        <w:tblStyle w:val="19"/>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835" w:type="dxa"/>
            <w:vAlign w:val="top"/>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专栏8：未来产业谋划布局方向及重点项目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35" w:type="dxa"/>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480" w:lineRule="exact"/>
              <w:ind w:firstLine="560" w:firstLineChars="200"/>
              <w:textAlignment w:val="auto"/>
              <w:outlineLvl w:val="9"/>
              <w:rPr>
                <w:rFonts w:hint="default" w:ascii="Times New Roman" w:hAnsi="Times New Roman" w:eastAsia="仿宋_GB2312" w:cs="Times New Roman"/>
                <w:b w:val="0"/>
                <w:bCs w:val="0"/>
                <w:color w:val="auto"/>
                <w:kern w:val="44"/>
                <w:sz w:val="28"/>
                <w:szCs w:val="28"/>
                <w:highlight w:val="none"/>
                <w:lang w:val="en-US" w:eastAsia="zh-CN"/>
              </w:rPr>
            </w:pPr>
            <w:r>
              <w:rPr>
                <w:rFonts w:hint="default" w:ascii="Times New Roman" w:hAnsi="Times New Roman" w:eastAsia="黑体" w:cs="Times New Roman"/>
                <w:b w:val="0"/>
                <w:bCs w:val="0"/>
                <w:color w:val="auto"/>
                <w:kern w:val="44"/>
                <w:sz w:val="28"/>
                <w:szCs w:val="28"/>
                <w:highlight w:val="none"/>
                <w:lang w:val="en-US" w:eastAsia="zh-CN" w:bidi="ar-SA"/>
              </w:rPr>
              <w:t>1.人工智能：</w:t>
            </w:r>
            <w:r>
              <w:rPr>
                <w:rFonts w:hint="default" w:ascii="Times New Roman" w:hAnsi="Times New Roman" w:eastAsia="仿宋_GB2312" w:cs="Times New Roman"/>
                <w:b/>
                <w:bCs/>
                <w:color w:val="auto"/>
                <w:sz w:val="28"/>
                <w:szCs w:val="28"/>
                <w:highlight w:val="none"/>
                <w:lang w:val="en-US" w:eastAsia="zh-CN"/>
              </w:rPr>
              <w:t>大模型，</w:t>
            </w:r>
            <w:r>
              <w:rPr>
                <w:rFonts w:hint="default" w:ascii="Times New Roman" w:hAnsi="Times New Roman" w:eastAsia="仿宋_GB2312" w:cs="Times New Roman"/>
                <w:b w:val="0"/>
                <w:bCs w:val="0"/>
                <w:color w:val="auto"/>
                <w:sz w:val="28"/>
                <w:szCs w:val="28"/>
                <w:highlight w:val="none"/>
                <w:lang w:val="en-US" w:eastAsia="zh-CN"/>
              </w:rPr>
              <w:t>锚定人工智能发展供给需求，聚焦产业发展、社会治理、民生服务等领域开展“揭榜挂帅”，探索打造一批行业级大模型；面向智能问答、智能客服、精准营销、安全生产、质量检测、设备运维等特定场景，积极培育一批场景级大模型。</w:t>
            </w:r>
            <w:r>
              <w:rPr>
                <w:rFonts w:hint="default" w:ascii="Times New Roman" w:hAnsi="Times New Roman" w:eastAsia="仿宋_GB2312" w:cs="Times New Roman"/>
                <w:b/>
                <w:bCs/>
                <w:color w:val="auto"/>
                <w:sz w:val="28"/>
                <w:szCs w:val="28"/>
                <w:highlight w:val="none"/>
                <w:lang w:val="en-US" w:eastAsia="zh-CN"/>
              </w:rPr>
              <w:t>机器人，</w:t>
            </w:r>
            <w:r>
              <w:rPr>
                <w:rFonts w:hint="default" w:ascii="Times New Roman" w:hAnsi="Times New Roman" w:eastAsia="仿宋_GB2312" w:cs="Times New Roman"/>
                <w:b w:val="0"/>
                <w:bCs w:val="0"/>
                <w:color w:val="auto"/>
                <w:sz w:val="28"/>
                <w:szCs w:val="28"/>
                <w:highlight w:val="none"/>
                <w:lang w:val="en-US" w:eastAsia="zh-CN"/>
              </w:rPr>
              <w:t>面向复杂装配、特种作业等领域，加快布局以人形机器人、工业机器人、仿生机器人为代表的具身智能产品。围绕电商直播、文娱传媒、智能客服、养老陪伴等领域，加速发展服务型、功能型机器人。</w:t>
            </w:r>
            <w:r>
              <w:rPr>
                <w:rFonts w:hint="default" w:ascii="Times New Roman" w:hAnsi="Times New Roman" w:eastAsia="仿宋_GB2312" w:cs="Times New Roman"/>
                <w:b/>
                <w:bCs/>
                <w:color w:val="auto"/>
                <w:kern w:val="44"/>
                <w:sz w:val="28"/>
                <w:szCs w:val="28"/>
                <w:highlight w:val="none"/>
                <w:lang w:val="en-US" w:eastAsia="zh-CN"/>
              </w:rPr>
              <w:t>智能软硬件，</w:t>
            </w:r>
            <w:r>
              <w:rPr>
                <w:rFonts w:hint="default" w:ascii="Times New Roman" w:hAnsi="Times New Roman" w:eastAsia="仿宋_GB2312" w:cs="Times New Roman"/>
                <w:b w:val="0"/>
                <w:bCs w:val="0"/>
                <w:color w:val="auto"/>
                <w:kern w:val="44"/>
                <w:sz w:val="28"/>
                <w:szCs w:val="28"/>
                <w:highlight w:val="none"/>
                <w:lang w:val="en-US" w:eastAsia="zh-CN"/>
              </w:rPr>
              <w:t>围绕主导优势产业，大力发展AI+新兴平台软件、通用应用软件、行业应用软件和工业软件，拓展“产业大脑+未来工厂”模式，推动产业智能化改造。</w:t>
            </w:r>
            <w:r>
              <w:rPr>
                <w:rFonts w:hint="default" w:ascii="Times New Roman" w:hAnsi="Times New Roman" w:eastAsia="仿宋_GB2312" w:cs="Times New Roman"/>
                <w:b/>
                <w:bCs/>
                <w:color w:val="auto"/>
                <w:kern w:val="44"/>
                <w:sz w:val="28"/>
                <w:szCs w:val="28"/>
                <w:highlight w:val="none"/>
                <w:lang w:val="en-US" w:eastAsia="zh-CN"/>
              </w:rPr>
              <w:t>智能服务，</w:t>
            </w:r>
            <w:r>
              <w:rPr>
                <w:rFonts w:hint="default" w:ascii="Times New Roman" w:hAnsi="Times New Roman" w:eastAsia="仿宋_GB2312" w:cs="Times New Roman"/>
                <w:b w:val="0"/>
                <w:bCs w:val="0"/>
                <w:color w:val="auto"/>
                <w:kern w:val="44"/>
                <w:sz w:val="28"/>
                <w:szCs w:val="28"/>
                <w:highlight w:val="none"/>
                <w:lang w:val="en-US" w:eastAsia="zh-CN"/>
              </w:rPr>
              <w:t>推动人工智能在购物消费、医养健康、教育培训、文化旅游、集采集销、物流仓储等场景广泛应用，促进服务业向“一人一策”“一业一策”升级。</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480" w:lineRule="exact"/>
              <w:ind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r>
              <w:rPr>
                <w:rFonts w:hint="default" w:ascii="Times New Roman" w:hAnsi="Times New Roman" w:eastAsia="黑体" w:cs="Times New Roman"/>
                <w:b w:val="0"/>
                <w:bCs w:val="0"/>
                <w:color w:val="auto"/>
                <w:kern w:val="44"/>
                <w:sz w:val="28"/>
                <w:szCs w:val="28"/>
                <w:highlight w:val="none"/>
                <w:lang w:val="en-US" w:eastAsia="zh-CN" w:bidi="ar-SA"/>
              </w:rPr>
              <w:t>2.元宇宙：</w:t>
            </w:r>
            <w:r>
              <w:rPr>
                <w:rFonts w:hint="default" w:ascii="Times New Roman" w:hAnsi="Times New Roman" w:eastAsia="仿宋_GB2312" w:cs="Times New Roman"/>
                <w:b w:val="0"/>
                <w:bCs w:val="0"/>
                <w:color w:val="auto"/>
                <w:sz w:val="28"/>
                <w:szCs w:val="28"/>
                <w:highlight w:val="none"/>
                <w:lang w:val="en-US" w:eastAsia="zh-CN"/>
              </w:rPr>
              <w:t>依托山外大、兴元集团，建设一批校企合作基地、产业实训基地，培养元宇宙领域基础性专业人才和产业技能人才。紧跟消费群体需求和“元宇宙+”产业发展趋势，面向文博演艺、社交游戏、教育培训、电子商务等重点领域，培育新型消费场景，争取在全国范围内开设“元宇宙主题乐园”1000家。重点实施山东外事数字科技集团有限公司XR大空间娱乐系统研发等项目，打造集技术平台、内容创作与数据分析于一体的综合性XR体验解决方案。</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480" w:lineRule="exact"/>
              <w:ind w:firstLine="560" w:firstLineChars="200"/>
              <w:textAlignment w:val="auto"/>
              <w:outlineLvl w:val="9"/>
              <w:rPr>
                <w:rFonts w:hint="default" w:ascii="Times New Roman" w:hAnsi="Times New Roman" w:eastAsia="楷体_GB2312" w:cs="Times New Roman"/>
                <w:b w:val="0"/>
                <w:bCs w:val="0"/>
                <w:color w:val="auto"/>
                <w:sz w:val="32"/>
                <w:szCs w:val="32"/>
                <w:highlight w:val="none"/>
                <w:vertAlign w:val="baseline"/>
                <w:lang w:val="en-US" w:eastAsia="zh-CN"/>
              </w:rPr>
            </w:pPr>
            <w:r>
              <w:rPr>
                <w:rFonts w:hint="default" w:ascii="Times New Roman" w:hAnsi="Times New Roman" w:eastAsia="黑体" w:cs="Times New Roman"/>
                <w:b w:val="0"/>
                <w:bCs w:val="0"/>
                <w:color w:val="auto"/>
                <w:kern w:val="44"/>
                <w:sz w:val="28"/>
                <w:szCs w:val="28"/>
                <w:highlight w:val="none"/>
                <w:lang w:val="en-US" w:eastAsia="zh-CN" w:bidi="ar-SA"/>
              </w:rPr>
              <w:t>3.氢能产业：</w:t>
            </w:r>
            <w:r>
              <w:rPr>
                <w:rFonts w:hint="default" w:ascii="Times New Roman" w:hAnsi="Times New Roman" w:eastAsia="仿宋_GB2312" w:cs="Times New Roman"/>
                <w:b w:val="0"/>
                <w:bCs w:val="0"/>
                <w:color w:val="auto"/>
                <w:sz w:val="28"/>
                <w:szCs w:val="28"/>
                <w:highlight w:val="none"/>
                <w:lang w:val="en-US" w:eastAsia="zh-CN"/>
              </w:rPr>
              <w:t>加快与明阳智能、东方电气等企业合作实施制氢，逐步提升低压到高压、气态到多相态储存运输能力，加快开发交通运输、工业供热等领域氢能规模化应用场景，构建“制储运加用”全产业体系。重点实施绿氢制储用零碳交能融合示范项目，与东方电气集团合作布局“海水原位制氢”项目等，探索发展风光储绿色氢醇氨一体化新业态。</w:t>
            </w:r>
          </w:p>
        </w:tc>
      </w:tr>
    </w:tbl>
    <w:p>
      <w:pPr>
        <w:pStyle w:val="3"/>
        <w:keepNext w:val="0"/>
        <w:keepLines w:val="0"/>
        <w:pageBreakBefore w:val="0"/>
        <w:widowControl w:val="0"/>
        <w:kinsoku/>
        <w:wordWrap/>
        <w:overflowPunct/>
        <w:topLinePunct w:val="0"/>
        <w:autoSpaceDE/>
        <w:autoSpaceDN/>
        <w:bidi w:val="0"/>
        <w:adjustRightInd/>
        <w:snapToGrid/>
        <w:spacing w:before="50" w:beforeLines="50" w:beforeAutospacing="0" w:after="50" w:afterLines="50" w:afterAutospacing="0" w:line="24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102" w:name="_Toc6645"/>
      <w:bookmarkStart w:id="103" w:name="_Toc15416"/>
      <w:bookmarkStart w:id="104" w:name="_Toc28398"/>
      <w:bookmarkStart w:id="105" w:name="_Toc8820"/>
      <w:bookmarkStart w:id="106" w:name="_Toc28433"/>
      <w:bookmarkStart w:id="107" w:name="_Toc11917"/>
      <w:bookmarkStart w:id="108" w:name="_Toc26997"/>
      <w:bookmarkStart w:id="109" w:name="_Toc29589"/>
      <w:bookmarkStart w:id="110" w:name="_Toc5793"/>
      <w:bookmarkStart w:id="111" w:name="_Toc5209"/>
      <w:bookmarkStart w:id="112" w:name="_Toc15764"/>
      <w:bookmarkStart w:id="113" w:name="_Toc31784"/>
    </w:p>
    <w:p>
      <w:pPr>
        <w:pStyle w:val="3"/>
        <w:keepNext w:val="0"/>
        <w:keepLines w:val="0"/>
        <w:pageBreakBefore w:val="0"/>
        <w:kinsoku/>
        <w:wordWrap/>
        <w:overflowPunct/>
        <w:topLinePunct w:val="0"/>
        <w:autoSpaceDE/>
        <w:autoSpaceDN/>
        <w:bidi w:val="0"/>
        <w:spacing w:before="50" w:beforeLines="50" w:beforeAutospacing="0" w:after="50" w:afterLines="50" w:afterAutospacing="0" w:line="56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r>
        <w:rPr>
          <w:rFonts w:hint="default" w:ascii="Times New Roman" w:hAnsi="Times New Roman" w:cs="Times New Roman"/>
          <w:snapToGrid w:val="0"/>
          <w:color w:val="auto"/>
          <w:sz w:val="32"/>
          <w:highlight w:val="none"/>
          <w:lang w:val="en-US" w:eastAsia="zh-CN"/>
        </w:rPr>
        <w:t>第四节 现代服务业</w:t>
      </w:r>
      <w:bookmarkEnd w:id="102"/>
      <w:bookmarkEnd w:id="103"/>
      <w:bookmarkEnd w:id="104"/>
      <w:bookmarkEnd w:id="105"/>
      <w:r>
        <w:rPr>
          <w:rFonts w:hint="default" w:ascii="Times New Roman" w:hAnsi="Times New Roman" w:cs="Times New Roman"/>
          <w:snapToGrid w:val="0"/>
          <w:color w:val="auto"/>
          <w:sz w:val="32"/>
          <w:highlight w:val="none"/>
          <w:lang w:val="en-US" w:eastAsia="zh-CN"/>
        </w:rPr>
        <w:t>优质高效发展</w:t>
      </w:r>
      <w:bookmarkEnd w:id="106"/>
      <w:bookmarkEnd w:id="107"/>
      <w:bookmarkEnd w:id="108"/>
      <w:bookmarkEnd w:id="109"/>
      <w:bookmarkEnd w:id="110"/>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充分发挥生产性服务业和生活性服务业的重要支撑作用，建立服务业“链长制”工作机制，加快补短板、强弱项，推动生产性服务业向专业化和价值链高端延伸、生活性服务业向高品质多样化升级。</w:t>
      </w:r>
    </w:p>
    <w:p>
      <w:pPr>
        <w:pStyle w:val="9"/>
        <w:keepNext w:val="0"/>
        <w:keepLines w:val="0"/>
        <w:pageBreakBefore w:val="0"/>
        <w:widowControl/>
        <w:kinsoku/>
        <w:wordWrap/>
        <w:overflowPunct/>
        <w:topLinePunct w:val="0"/>
        <w:autoSpaceDE w:val="0"/>
        <w:autoSpaceDN w:val="0"/>
        <w:bidi w:val="0"/>
        <w:adjustRightInd w:val="0"/>
        <w:snapToGrid w:val="0"/>
        <w:spacing w:after="157" w:afterLines="50" w:line="560" w:lineRule="exact"/>
        <w:ind w:firstLine="640" w:firstLineChars="200"/>
        <w:textAlignment w:val="baseline"/>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推进生产性服务业优化提升。</w:t>
      </w:r>
      <w:r>
        <w:rPr>
          <w:rFonts w:hint="default" w:ascii="Times New Roman" w:hAnsi="Times New Roman" w:eastAsia="仿宋_GB2312" w:cs="Times New Roman"/>
          <w:b w:val="0"/>
          <w:bCs w:val="0"/>
          <w:color w:val="auto"/>
          <w:sz w:val="32"/>
          <w:szCs w:val="32"/>
          <w:highlight w:val="none"/>
          <w:lang w:val="en-US" w:eastAsia="zh-CN"/>
        </w:rPr>
        <w:t>深度融入国家服务型制造示范城市建设，实施生产性服务业扩容强基行动，推动现代金融、科技服务、商务服务、文化创意、研发设计、检验检测、供应链管理等领域向专业化和价值链高端延伸。鼓励先进制造业与现代服务业有机结合，大力发展系统解决方案、供应链管理、总集成总承包等新模式，支持服务业企业主动嵌入制造业生产环节，开展反向制造、逆向物流、个性化定制等新业态。推进服务业数智化发展，全力拓展“两业”融合新场景、新路径，培育一批融合发展优势链群、示范场景和产业生态圈，积极争创省级“两业”融合试点，加快构建适配先进制造业发展的高效生产服务体系。</w:t>
      </w:r>
    </w:p>
    <w:tbl>
      <w:tblPr>
        <w:tblStyle w:val="19"/>
        <w:tblpPr w:leftFromText="180" w:rightFromText="180" w:vertAnchor="text" w:horzAnchor="page" w:tblpX="1678" w:tblpY="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vAlign w:val="top"/>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专栏9：生产性服务业发展方向及重点项目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vAlign w:val="top"/>
          </w:tcPr>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114" w:name="_Toc26423"/>
            <w:r>
              <w:rPr>
                <w:rFonts w:hint="default" w:ascii="Times New Roman" w:hAnsi="Times New Roman" w:eastAsia="黑体" w:cs="Times New Roman"/>
                <w:b w:val="0"/>
                <w:bCs w:val="0"/>
                <w:color w:val="auto"/>
                <w:kern w:val="44"/>
                <w:sz w:val="28"/>
                <w:szCs w:val="28"/>
                <w:highlight w:val="none"/>
                <w:lang w:val="en-US" w:eastAsia="zh-CN" w:bidi="ar-SA"/>
              </w:rPr>
              <w:t>1.现代金融：</w:t>
            </w:r>
            <w:r>
              <w:rPr>
                <w:rFonts w:hint="default" w:ascii="Times New Roman" w:hAnsi="Times New Roman" w:eastAsia="仿宋_GB2312" w:cs="Times New Roman"/>
                <w:b w:val="0"/>
                <w:bCs w:val="0"/>
                <w:color w:val="auto"/>
                <w:sz w:val="28"/>
                <w:szCs w:val="28"/>
                <w:highlight w:val="none"/>
                <w:lang w:val="en-US" w:eastAsia="zh-CN"/>
              </w:rPr>
              <w:t>鼓励政策性银行、农商行、城发行等金融机构专注主业、完善治理、错位发展，逐步完善多层次、广覆盖金融服务体系，不断创新“牡蛎贷”“花生贷”“物流贷”等定制化特色金融产品。加快拓展政金企联通渠道，有效发挥间接融资作用，引导更多要素资源向重大战略、重点项目倾斜。</w:t>
            </w:r>
            <w:bookmarkEnd w:id="114"/>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115" w:name="_Toc942"/>
            <w:r>
              <w:rPr>
                <w:rFonts w:hint="default" w:ascii="Times New Roman" w:hAnsi="Times New Roman" w:eastAsia="黑体" w:cs="Times New Roman"/>
                <w:b w:val="0"/>
                <w:bCs w:val="0"/>
                <w:color w:val="auto"/>
                <w:kern w:val="44"/>
                <w:sz w:val="28"/>
                <w:szCs w:val="28"/>
                <w:highlight w:val="none"/>
                <w:lang w:val="en-US" w:eastAsia="zh-CN" w:bidi="ar-SA"/>
              </w:rPr>
              <w:t>2.现代物流：</w:t>
            </w:r>
            <w:r>
              <w:rPr>
                <w:rFonts w:hint="default" w:ascii="Times New Roman" w:hAnsi="Times New Roman" w:eastAsia="仿宋_GB2312" w:cs="Times New Roman"/>
                <w:b w:val="0"/>
                <w:bCs w:val="0"/>
                <w:color w:val="auto"/>
                <w:sz w:val="28"/>
                <w:szCs w:val="28"/>
                <w:highlight w:val="none"/>
                <w:lang w:val="en-US" w:eastAsia="zh-CN"/>
              </w:rPr>
              <w:t>推动港、产、城联动发展，促进物流、产业、贸易融合共进，完善港口、铁路散货、集装箱货场设施，优化平移、吊装等设备升级，科学布局物流园区，大力发展公铁、公海、铁海、公铁海多式联运，积极推动公转铁、公转海，有效降低大宗货物、长距离运输物流成本。大力推广标准托盘、不倒筐、集装箱、集装袋等标准化装备设备，有序开展物流设施、运输载具、作业工具等数字化和网联化试点推广，逐步提升现代物流效率。</w:t>
            </w:r>
            <w:bookmarkEnd w:id="115"/>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116" w:name="_Toc23936"/>
            <w:r>
              <w:rPr>
                <w:rFonts w:hint="default" w:ascii="Times New Roman" w:hAnsi="Times New Roman" w:eastAsia="黑体" w:cs="Times New Roman"/>
                <w:b w:val="0"/>
                <w:bCs w:val="0"/>
                <w:color w:val="auto"/>
                <w:kern w:val="44"/>
                <w:sz w:val="28"/>
                <w:szCs w:val="28"/>
                <w:highlight w:val="none"/>
                <w:lang w:val="en-US" w:eastAsia="zh-CN" w:bidi="ar-SA"/>
              </w:rPr>
              <w:t>3.冷链物流：</w:t>
            </w:r>
            <w:r>
              <w:rPr>
                <w:rFonts w:hint="default" w:ascii="Times New Roman" w:hAnsi="Times New Roman" w:eastAsia="仿宋_GB2312" w:cs="Times New Roman"/>
                <w:b w:val="0"/>
                <w:bCs w:val="0"/>
                <w:color w:val="auto"/>
                <w:sz w:val="28"/>
                <w:szCs w:val="28"/>
                <w:highlight w:val="none"/>
                <w:lang w:val="en-US" w:eastAsia="zh-CN"/>
              </w:rPr>
              <w:t>对标对表山东省冷链物流集散基地、集配中心和采供网点建设标准，加强与全省综合立体交通网络干支衔接，重点在生鲜蔬果、海产品种养集聚区合理布局分拣、清洗、筛选、冷藏等产地冷链物流设施，科学谋划具备较强集疏能力的冷链物流园区项目建设，增强农产品上行和消费品下行双向流通能力。</w:t>
            </w:r>
            <w:bookmarkEnd w:id="116"/>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cs="Times New Roman"/>
                <w:color w:val="auto"/>
                <w:highlight w:val="none"/>
                <w:lang w:val="en-US" w:eastAsia="zh-CN"/>
              </w:rPr>
            </w:pPr>
            <w:bookmarkStart w:id="117" w:name="_Toc29846"/>
            <w:r>
              <w:rPr>
                <w:rFonts w:hint="default" w:ascii="Times New Roman" w:hAnsi="Times New Roman" w:eastAsia="黑体" w:cs="Times New Roman"/>
                <w:b w:val="0"/>
                <w:bCs w:val="0"/>
                <w:color w:val="auto"/>
                <w:kern w:val="44"/>
                <w:sz w:val="28"/>
                <w:szCs w:val="28"/>
                <w:highlight w:val="none"/>
                <w:lang w:val="en-US" w:eastAsia="zh-CN" w:bidi="ar-SA"/>
              </w:rPr>
              <w:t>4.科技服务：</w:t>
            </w:r>
            <w:r>
              <w:rPr>
                <w:rFonts w:hint="default" w:ascii="Times New Roman" w:hAnsi="Times New Roman" w:eastAsia="仿宋_GB2312" w:cs="Times New Roman"/>
                <w:b w:val="0"/>
                <w:bCs w:val="0"/>
                <w:color w:val="auto"/>
                <w:sz w:val="28"/>
                <w:szCs w:val="28"/>
                <w:highlight w:val="none"/>
                <w:lang w:val="en-US" w:eastAsia="zh-CN"/>
              </w:rPr>
              <w:t>支持园区、企业联合高校打造集研发设计、检验检测、成果转化于一体的科技服务综合体，针对重点产业领域建设专业实验室与中试基地，引导企业将研发设计、生产制造、运营管理等向云端迁移，实现数字化、网络化、智能化升级。</w:t>
            </w:r>
            <w:bookmarkEnd w:id="117"/>
          </w:p>
        </w:tc>
      </w:tr>
    </w:tbl>
    <w:p>
      <w:pPr>
        <w:pStyle w:val="9"/>
        <w:keepNext w:val="0"/>
        <w:keepLines w:val="0"/>
        <w:pageBreakBefore w:val="0"/>
        <w:widowControl w:val="0"/>
        <w:kinsoku/>
        <w:wordWrap/>
        <w:overflowPunct/>
        <w:topLinePunct w:val="0"/>
        <w:autoSpaceDE w:val="0"/>
        <w:autoSpaceDN w:val="0"/>
        <w:bidi w:val="0"/>
        <w:adjustRightInd w:val="0"/>
        <w:snapToGrid w:val="0"/>
        <w:spacing w:after="157" w:afterLines="50" w:line="570" w:lineRule="exact"/>
        <w:ind w:firstLine="640" w:firstLineChars="200"/>
        <w:textAlignment w:val="baseline"/>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推动生活性服务业多元发展</w:t>
      </w:r>
      <w:r>
        <w:rPr>
          <w:rFonts w:hint="default" w:ascii="Times New Roman" w:hAnsi="Times New Roman" w:eastAsia="仿宋_GB2312" w:cs="Times New Roman"/>
          <w:color w:val="auto"/>
          <w:sz w:val="32"/>
          <w:szCs w:val="32"/>
          <w:highlight w:val="none"/>
          <w:lang w:val="en-US" w:eastAsia="zh-CN"/>
        </w:rPr>
        <w:t>。围绕打造滨海旅居康养目的地，以生活性服务业向高品质、多样化、便利化发展为方向，促进文体娱乐、医养健康、养老托育、家政服务等提档升级，提升公益性、基础性服务业供给能力和水平。</w:t>
      </w:r>
      <w:r>
        <w:rPr>
          <w:rFonts w:hint="default" w:ascii="Times New Roman" w:hAnsi="Times New Roman" w:eastAsia="仿宋_GB2312" w:cs="Times New Roman"/>
          <w:i w:val="0"/>
          <w:iCs w:val="0"/>
          <w:caps w:val="0"/>
          <w:color w:val="auto"/>
          <w:spacing w:val="0"/>
          <w:sz w:val="32"/>
          <w:szCs w:val="32"/>
          <w:highlight w:val="none"/>
          <w:lang w:val="en-US" w:eastAsia="zh-CN"/>
        </w:rPr>
        <w:t>支持传统服务业企业搭建集约化服务平台，建设数字化供应链体系，开展“线上线下”融合发展模式创新，推动从满足基本生活需求的单一服务，向个性化、定制化、精细化的增值服务延伸。</w:t>
      </w:r>
      <w:r>
        <w:rPr>
          <w:rFonts w:hint="default" w:ascii="Times New Roman" w:hAnsi="Times New Roman" w:eastAsia="仿宋_GB2312" w:cs="Times New Roman"/>
          <w:color w:val="auto"/>
          <w:sz w:val="32"/>
          <w:szCs w:val="32"/>
          <w:highlight w:val="none"/>
          <w:lang w:val="en-US" w:eastAsia="zh-CN"/>
        </w:rPr>
        <w:t>鼓励品牌化、标准化发展，不断增强城乡社区便民服务，逐步促进生活性服务业由“基础保障”量的积累向“品质升级”质的跨越。</w:t>
      </w:r>
    </w:p>
    <w:tbl>
      <w:tblPr>
        <w:tblStyle w:val="19"/>
        <w:tblpPr w:leftFromText="180" w:rightFromText="180" w:vertAnchor="text" w:tblpXSpec="lef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vAlign w:val="top"/>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专栏10：生活性服务业发展方向及重点项目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vAlign w:val="top"/>
          </w:tcPr>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118" w:name="_Toc1998"/>
            <w:r>
              <w:rPr>
                <w:rFonts w:hint="default" w:ascii="Times New Roman" w:hAnsi="Times New Roman" w:eastAsia="黑体" w:cs="Times New Roman"/>
                <w:b w:val="0"/>
                <w:bCs w:val="0"/>
                <w:color w:val="auto"/>
                <w:kern w:val="44"/>
                <w:sz w:val="28"/>
                <w:szCs w:val="28"/>
                <w:highlight w:val="none"/>
                <w:lang w:val="en-US" w:eastAsia="zh-CN" w:bidi="ar-SA"/>
              </w:rPr>
              <w:t>1.医养健康：</w:t>
            </w:r>
            <w:r>
              <w:rPr>
                <w:rFonts w:hint="default" w:ascii="Times New Roman" w:hAnsi="Times New Roman" w:eastAsia="仿宋_GB2312" w:cs="Times New Roman"/>
                <w:b w:val="0"/>
                <w:bCs w:val="0"/>
                <w:color w:val="auto"/>
                <w:sz w:val="28"/>
                <w:szCs w:val="28"/>
                <w:highlight w:val="none"/>
                <w:lang w:val="en-US" w:eastAsia="zh-CN"/>
              </w:rPr>
              <w:t>围绕滨海旅居康养目的地发展定位，推动康养+文旅、康养+医疗深度融合，加快构建多元化康养服务体系，开发多样化健康旅游产品，丰富发展中医健康保健服务。培育个性化健康体检、咨询、管理等新型服务业态，完善在线健康管理、远程医疗等智慧化健康服务模式。</w:t>
            </w:r>
            <w:bookmarkEnd w:id="118"/>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119" w:name="_Toc29134"/>
            <w:r>
              <w:rPr>
                <w:rFonts w:hint="default" w:ascii="Times New Roman" w:hAnsi="Times New Roman" w:eastAsia="黑体" w:cs="Times New Roman"/>
                <w:b w:val="0"/>
                <w:bCs w:val="0"/>
                <w:color w:val="auto"/>
                <w:kern w:val="44"/>
                <w:sz w:val="28"/>
                <w:szCs w:val="28"/>
                <w:highlight w:val="none"/>
                <w:lang w:val="en-US" w:eastAsia="zh-CN" w:bidi="ar-SA"/>
              </w:rPr>
              <w:t>2.文化教育：</w:t>
            </w:r>
            <w:r>
              <w:rPr>
                <w:rFonts w:hint="default" w:ascii="Times New Roman" w:hAnsi="Times New Roman" w:eastAsia="仿宋_GB2312" w:cs="Times New Roman"/>
                <w:b w:val="0"/>
                <w:bCs w:val="0"/>
                <w:color w:val="auto"/>
                <w:sz w:val="28"/>
                <w:szCs w:val="28"/>
                <w:highlight w:val="none"/>
                <w:lang w:val="en-US" w:eastAsia="zh-CN"/>
              </w:rPr>
              <w:t>支持各类教育机构提高教育供给，精准对接不同消费群体对技能培训、素质提升等需求，开发定制化职业教育、继续教育、兴趣教学等项目和课程。鼓励适宜银龄经济发展趋势的老年教育公共服务体系，扩大优质老年教育资源供给，提升服务水平。</w:t>
            </w:r>
            <w:bookmarkEnd w:id="119"/>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120" w:name="_Toc28901"/>
            <w:r>
              <w:rPr>
                <w:rFonts w:hint="default" w:ascii="Times New Roman" w:hAnsi="Times New Roman" w:eastAsia="黑体" w:cs="Times New Roman"/>
                <w:b w:val="0"/>
                <w:bCs w:val="0"/>
                <w:color w:val="auto"/>
                <w:kern w:val="44"/>
                <w:sz w:val="28"/>
                <w:szCs w:val="28"/>
                <w:highlight w:val="none"/>
                <w:lang w:val="en-US" w:eastAsia="zh-CN" w:bidi="ar-SA"/>
              </w:rPr>
              <w:t>3.家政服务：</w:t>
            </w:r>
            <w:r>
              <w:rPr>
                <w:rFonts w:hint="default" w:ascii="Times New Roman" w:hAnsi="Times New Roman" w:eastAsia="仿宋_GB2312" w:cs="Times New Roman"/>
                <w:b w:val="0"/>
                <w:bCs w:val="0"/>
                <w:color w:val="auto"/>
                <w:sz w:val="28"/>
                <w:szCs w:val="28"/>
                <w:highlight w:val="none"/>
                <w:lang w:val="en-US" w:eastAsia="zh-CN"/>
              </w:rPr>
              <w:t>规范社区嵌入式、分布式普惠托育设施建设，支持社区普惠托育服务，鼓励幼儿园延伸提供托育服务。优化居家社区养老，鼓励支持养老、家政、零售服务商等提供养老助老服务，加大品牌化养老服务经营主体培育力度。支持家政企业转型，引培一批平台型互联网家政企业。</w:t>
            </w:r>
            <w:bookmarkEnd w:id="120"/>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仿宋_GB2312" w:cs="Times New Roman"/>
                <w:b w:val="0"/>
                <w:bCs w:val="0"/>
                <w:color w:val="auto"/>
                <w:sz w:val="28"/>
                <w:szCs w:val="28"/>
                <w:highlight w:val="none"/>
                <w:lang w:val="en-US" w:eastAsia="zh-CN"/>
              </w:rPr>
            </w:pPr>
            <w:bookmarkStart w:id="121" w:name="_Toc23248"/>
            <w:r>
              <w:rPr>
                <w:rFonts w:hint="default" w:ascii="Times New Roman" w:hAnsi="Times New Roman" w:eastAsia="黑体" w:cs="Times New Roman"/>
                <w:b w:val="0"/>
                <w:bCs w:val="0"/>
                <w:color w:val="auto"/>
                <w:kern w:val="44"/>
                <w:sz w:val="28"/>
                <w:szCs w:val="28"/>
                <w:highlight w:val="none"/>
                <w:lang w:val="en-US" w:eastAsia="zh-CN" w:bidi="ar-SA"/>
              </w:rPr>
              <w:t>4.住宿餐饮：</w:t>
            </w:r>
            <w:r>
              <w:rPr>
                <w:rFonts w:hint="default" w:ascii="Times New Roman" w:hAnsi="Times New Roman" w:eastAsia="仿宋_GB2312" w:cs="Times New Roman"/>
                <w:b w:val="0"/>
                <w:bCs w:val="0"/>
                <w:color w:val="auto"/>
                <w:sz w:val="28"/>
                <w:szCs w:val="28"/>
                <w:highlight w:val="none"/>
                <w:lang w:val="en-US" w:eastAsia="zh-CN"/>
              </w:rPr>
              <w:t>加快完善星级酒店、连锁酒店、民宿等各类经营主体梯队，形成能够满足高中低不同标准需求及展会、度假、赛事等不同场景需求的住宿接待体系。加大知名餐饮品牌、连锁餐饮机构引育力度，支持本地特色饮食品牌化发展，打造“家乡菜、乳山味”品牌。</w:t>
            </w:r>
            <w:bookmarkEnd w:id="121"/>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firstLine="560" w:firstLineChars="200"/>
              <w:textAlignment w:val="auto"/>
              <w:outlineLvl w:val="9"/>
              <w:rPr>
                <w:rFonts w:hint="default" w:ascii="Times New Roman" w:hAnsi="Times New Roman" w:eastAsia="黑体" w:cs="Times New Roman"/>
                <w:b w:val="0"/>
                <w:bCs w:val="0"/>
                <w:color w:val="auto"/>
                <w:sz w:val="24"/>
                <w:szCs w:val="24"/>
                <w:highlight w:val="none"/>
                <w:lang w:val="en-US" w:eastAsia="zh-CN"/>
              </w:rPr>
            </w:pPr>
            <w:bookmarkStart w:id="122" w:name="_Toc19498"/>
            <w:r>
              <w:rPr>
                <w:rFonts w:hint="default" w:ascii="Times New Roman" w:hAnsi="Times New Roman" w:eastAsia="黑体" w:cs="Times New Roman"/>
                <w:b w:val="0"/>
                <w:bCs w:val="0"/>
                <w:color w:val="auto"/>
                <w:kern w:val="44"/>
                <w:sz w:val="28"/>
                <w:szCs w:val="28"/>
                <w:highlight w:val="none"/>
                <w:lang w:val="en-US" w:eastAsia="zh-CN" w:bidi="ar-SA"/>
              </w:rPr>
              <w:t>5.重点项目：</w:t>
            </w:r>
            <w:r>
              <w:rPr>
                <w:rFonts w:hint="default" w:ascii="Times New Roman" w:hAnsi="Times New Roman" w:eastAsia="仿宋_GB2312" w:cs="Times New Roman"/>
                <w:b w:val="0"/>
                <w:bCs w:val="0"/>
                <w:color w:val="auto"/>
                <w:sz w:val="28"/>
                <w:szCs w:val="28"/>
                <w:highlight w:val="none"/>
                <w:lang w:val="en-US" w:eastAsia="zh-CN"/>
              </w:rPr>
              <w:t>中医康养综合体项目，颐和桃花源康养项目，智慧医疗康养项目（原康宁医院），医疗康养一体化项目（原妇幼保健院），威海海防古所文旅康养发展项目，南江村养老公寓项目，外事大学西校区综合康养项目，威海瑞铭酒店建设项目，希尔顿花园酒店项目，金鼎隐秀商业示范街区项目，文悦里商业综合体项目，嘉禧康养旅居等项目。</w:t>
            </w:r>
            <w:bookmarkEnd w:id="122"/>
          </w:p>
        </w:tc>
      </w:tr>
    </w:tbl>
    <w:p>
      <w:pPr>
        <w:pageBreakBefore w:val="0"/>
        <w:widowControl w:val="0"/>
        <w:kinsoku/>
        <w:wordWrap/>
        <w:overflowPunct/>
        <w:topLinePunct w:val="0"/>
        <w:autoSpaceDE/>
        <w:autoSpaceDN/>
        <w:bidi w:val="0"/>
        <w:spacing w:line="560" w:lineRule="exact"/>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br w:type="page"/>
      </w:r>
    </w:p>
    <w:p>
      <w:pPr>
        <w:pStyle w:val="2"/>
        <w:pageBreakBefore w:val="0"/>
        <w:widowControl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123" w:name="_Toc30262"/>
      <w:bookmarkStart w:id="124" w:name="_Toc31929"/>
      <w:bookmarkStart w:id="125" w:name="_Toc24421"/>
      <w:bookmarkStart w:id="126" w:name="_Toc9117"/>
      <w:bookmarkStart w:id="127" w:name="_Toc26915"/>
      <w:bookmarkStart w:id="128" w:name="_Toc12764"/>
      <w:r>
        <w:rPr>
          <w:rFonts w:hint="default" w:ascii="Times New Roman" w:hAnsi="Times New Roman" w:eastAsia="黑体" w:cs="Times New Roman"/>
          <w:b w:val="0"/>
          <w:bCs w:val="0"/>
          <w:color w:val="auto"/>
          <w:sz w:val="32"/>
          <w:szCs w:val="32"/>
          <w:highlight w:val="none"/>
          <w:lang w:val="en-US" w:eastAsia="zh-CN"/>
        </w:rPr>
        <w:t>第四章 全面深耕科技创新，</w:t>
      </w:r>
      <w:bookmarkEnd w:id="123"/>
      <w:bookmarkEnd w:id="124"/>
      <w:bookmarkEnd w:id="125"/>
      <w:bookmarkEnd w:id="126"/>
      <w:bookmarkEnd w:id="127"/>
      <w:r>
        <w:rPr>
          <w:rFonts w:hint="default" w:ascii="Times New Roman" w:hAnsi="Times New Roman" w:eastAsia="黑体" w:cs="Times New Roman"/>
          <w:b w:val="0"/>
          <w:bCs w:val="0"/>
          <w:color w:val="auto"/>
          <w:sz w:val="32"/>
          <w:szCs w:val="32"/>
          <w:highlight w:val="none"/>
          <w:lang w:val="en-US" w:eastAsia="zh-CN"/>
        </w:rPr>
        <w:t>激活新质生产力发展动能</w:t>
      </w:r>
      <w:bookmarkEnd w:id="128"/>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i w:val="0"/>
          <w:iCs w:val="0"/>
          <w:caps w:val="0"/>
          <w:color w:val="auto"/>
          <w:spacing w:val="0"/>
          <w:sz w:val="32"/>
          <w:szCs w:val="32"/>
          <w:highlight w:val="none"/>
          <w:shd w:val="clear"/>
          <w:lang w:val="en-US" w:eastAsia="zh-CN"/>
        </w:rPr>
      </w:pPr>
      <w:bookmarkStart w:id="129" w:name="_Toc32267"/>
      <w:r>
        <w:rPr>
          <w:rFonts w:hint="default" w:ascii="Times New Roman" w:hAnsi="Times New Roman" w:eastAsia="仿宋_GB2312" w:cs="Times New Roman"/>
          <w:i w:val="0"/>
          <w:iCs w:val="0"/>
          <w:caps w:val="0"/>
          <w:color w:val="auto"/>
          <w:spacing w:val="0"/>
          <w:sz w:val="32"/>
          <w:szCs w:val="32"/>
          <w:highlight w:val="none"/>
          <w:shd w:val="clear"/>
          <w:lang w:val="en-US" w:eastAsia="zh-CN"/>
        </w:rPr>
        <w:t>全面融入威海国家创新型城市建设，把创新作为引领发展的第一动力，统筹实施教育强市、科技强市、人才强市发展战略，因地制宜发展新质生产力，推动科技创新与产业创新深度融合，促进创新供给与产业需求高效对接，提升区域创新体系整体效能。</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130" w:name="_Toc25250"/>
      <w:bookmarkStart w:id="131" w:name="_Toc29324"/>
      <w:bookmarkStart w:id="132" w:name="_Toc13931"/>
      <w:bookmarkStart w:id="133" w:name="_Toc28911"/>
      <w:bookmarkStart w:id="134" w:name="_Toc6366"/>
      <w:bookmarkStart w:id="135" w:name="_Toc26470"/>
      <w:bookmarkStart w:id="136" w:name="_Toc25040"/>
      <w:bookmarkStart w:id="137" w:name="_Toc31548"/>
      <w:r>
        <w:rPr>
          <w:rFonts w:hint="default" w:ascii="Times New Roman" w:hAnsi="Times New Roman" w:cs="Times New Roman"/>
          <w:snapToGrid w:val="0"/>
          <w:color w:val="auto"/>
          <w:sz w:val="32"/>
          <w:highlight w:val="none"/>
          <w:lang w:val="en-US" w:eastAsia="zh-CN"/>
        </w:rPr>
        <w:t>第一节 提升创新载体支撑能力</w:t>
      </w:r>
      <w:bookmarkEnd w:id="129"/>
      <w:bookmarkEnd w:id="130"/>
      <w:bookmarkEnd w:id="131"/>
      <w:bookmarkEnd w:id="132"/>
      <w:bookmarkEnd w:id="133"/>
      <w:bookmarkEnd w:id="134"/>
      <w:bookmarkEnd w:id="135"/>
      <w:bookmarkEnd w:id="136"/>
      <w:bookmarkEnd w:id="137"/>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坚持以科技创新引领产业创新，着力构建多层次、体系化科创平台和产业协同创新体系，为高质量发展提供坚实科技支撑。</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Cs/>
          <w:color w:val="auto"/>
          <w:sz w:val="32"/>
          <w:szCs w:val="32"/>
          <w:highlight w:val="none"/>
          <w:lang w:eastAsia="zh-CN"/>
        </w:rPr>
      </w:pPr>
      <w:r>
        <w:rPr>
          <w:rFonts w:hint="default" w:ascii="Times New Roman" w:hAnsi="Times New Roman" w:eastAsia="楷体_GB2312" w:cs="Times New Roman"/>
          <w:b w:val="0"/>
          <w:bCs w:val="0"/>
          <w:color w:val="auto"/>
          <w:sz w:val="32"/>
          <w:szCs w:val="32"/>
          <w:highlight w:val="none"/>
        </w:rPr>
        <w:t>推进</w:t>
      </w:r>
      <w:r>
        <w:rPr>
          <w:rFonts w:hint="default" w:ascii="Times New Roman" w:hAnsi="Times New Roman" w:eastAsia="楷体_GB2312" w:cs="Times New Roman"/>
          <w:b w:val="0"/>
          <w:bCs w:val="0"/>
          <w:color w:val="auto"/>
          <w:sz w:val="32"/>
          <w:szCs w:val="32"/>
          <w:highlight w:val="none"/>
          <w:lang w:val="en-US" w:eastAsia="zh-CN"/>
        </w:rPr>
        <w:t>高能级创新平台</w:t>
      </w:r>
      <w:r>
        <w:rPr>
          <w:rFonts w:hint="default" w:ascii="Times New Roman" w:hAnsi="Times New Roman" w:eastAsia="楷体_GB2312" w:cs="Times New Roman"/>
          <w:b w:val="0"/>
          <w:bCs w:val="0"/>
          <w:color w:val="auto"/>
          <w:sz w:val="32"/>
          <w:szCs w:val="32"/>
          <w:highlight w:val="none"/>
        </w:rPr>
        <w:t>建设</w:t>
      </w:r>
      <w:r>
        <w:rPr>
          <w:rFonts w:hint="default" w:ascii="Times New Roman" w:hAnsi="Times New Roman" w:eastAsia="楷体_GB2312" w:cs="Times New Roman"/>
          <w:bCs w:val="0"/>
          <w:color w:val="auto"/>
          <w:sz w:val="32"/>
          <w:szCs w:val="32"/>
          <w:highlight w:val="none"/>
          <w:lang w:val="en-US" w:eastAsia="zh-CN"/>
        </w:rPr>
        <w:t>。</w:t>
      </w:r>
      <w:r>
        <w:rPr>
          <w:rFonts w:hint="default" w:ascii="Times New Roman" w:hAnsi="Times New Roman" w:eastAsia="仿宋_GB2312" w:cs="Times New Roman"/>
          <w:bCs/>
          <w:color w:val="auto"/>
          <w:sz w:val="32"/>
          <w:szCs w:val="32"/>
          <w:highlight w:val="none"/>
          <w:lang w:val="en-US" w:eastAsia="zh-CN"/>
        </w:rPr>
        <w:t>积极融入威海市“1+4+N”创新平台体系，通过引进共建一批、优化提升一批，加快建设重点实验室、技术创新中心等创新载体</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力争到</w:t>
      </w:r>
      <w:r>
        <w:rPr>
          <w:rFonts w:hint="default" w:ascii="Times New Roman" w:hAnsi="Times New Roman" w:eastAsia="仿宋_GB2312" w:cs="Times New Roman"/>
          <w:color w:val="auto"/>
          <w:sz w:val="32"/>
          <w:szCs w:val="32"/>
          <w:highlight w:val="none"/>
          <w:lang w:val="en-US" w:eastAsia="zh-CN"/>
        </w:rPr>
        <w:t>2030年，</w:t>
      </w:r>
      <w:r>
        <w:rPr>
          <w:rFonts w:hint="default" w:ascii="Times New Roman" w:hAnsi="Times New Roman" w:eastAsia="仿宋_GB2312" w:cs="Times New Roman"/>
          <w:color w:val="auto"/>
          <w:sz w:val="32"/>
          <w:szCs w:val="32"/>
          <w:highlight w:val="none"/>
          <w:lang w:eastAsia="zh-CN"/>
        </w:rPr>
        <w:t>创新平台总数达</w:t>
      </w:r>
      <w:r>
        <w:rPr>
          <w:rFonts w:hint="default" w:ascii="Times New Roman" w:hAnsi="Times New Roman" w:eastAsia="仿宋_GB2312" w:cs="Times New Roman"/>
          <w:color w:val="auto"/>
          <w:sz w:val="32"/>
          <w:szCs w:val="32"/>
          <w:highlight w:val="none"/>
          <w:lang w:val="en-US" w:eastAsia="zh-CN"/>
        </w:rPr>
        <w:t>170家以上。加快推进牡蛎研究院、新能源实训基地等平台载体应用，</w:t>
      </w:r>
      <w:r>
        <w:rPr>
          <w:rFonts w:hint="default" w:ascii="Times New Roman" w:hAnsi="Times New Roman" w:eastAsia="仿宋_GB2312" w:cs="Times New Roman"/>
          <w:bCs/>
          <w:color w:val="auto"/>
          <w:sz w:val="32"/>
          <w:szCs w:val="32"/>
          <w:highlight w:val="none"/>
          <w:lang w:val="en-US" w:eastAsia="zh-CN"/>
        </w:rPr>
        <w:t>提高产业发展支撑能力。</w:t>
      </w:r>
      <w:r>
        <w:rPr>
          <w:rFonts w:hint="default" w:ascii="Times New Roman" w:hAnsi="Times New Roman" w:eastAsia="仿宋_GB2312" w:cs="Times New Roman"/>
          <w:bCs/>
          <w:color w:val="auto"/>
          <w:sz w:val="32"/>
          <w:szCs w:val="32"/>
          <w:highlight w:val="none"/>
          <w:lang w:eastAsia="zh-CN"/>
        </w:rPr>
        <w:t>持续推进威海市级</w:t>
      </w:r>
      <w:r>
        <w:rPr>
          <w:rFonts w:hint="default" w:ascii="Times New Roman" w:hAnsi="Times New Roman" w:eastAsia="仿宋_GB2312" w:cs="Times New Roman"/>
          <w:bCs/>
          <w:color w:val="auto"/>
          <w:sz w:val="32"/>
          <w:szCs w:val="32"/>
          <w:highlight w:val="none"/>
          <w:lang w:val="en-US" w:eastAsia="zh-CN"/>
        </w:rPr>
        <w:t>创新平台向省级以上平台提档</w:t>
      </w:r>
      <w:r>
        <w:rPr>
          <w:rFonts w:hint="default" w:ascii="Times New Roman" w:hAnsi="Times New Roman" w:eastAsia="仿宋_GB2312" w:cs="Times New Roman"/>
          <w:bCs/>
          <w:color w:val="auto"/>
          <w:sz w:val="32"/>
          <w:szCs w:val="32"/>
          <w:highlight w:val="none"/>
          <w:lang w:eastAsia="zh-CN"/>
        </w:rPr>
        <w:t>升级，形成“市级培育、省级突破”的梯度建设格局。</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Cs/>
          <w:color w:val="auto"/>
          <w:sz w:val="32"/>
          <w:szCs w:val="32"/>
          <w:highlight w:val="none"/>
          <w:lang w:eastAsia="zh-CN"/>
        </w:rPr>
      </w:pPr>
      <w:r>
        <w:rPr>
          <w:rFonts w:hint="default" w:ascii="Times New Roman" w:hAnsi="Times New Roman" w:eastAsia="楷体_GB2312" w:cs="Times New Roman"/>
          <w:b w:val="0"/>
          <w:bCs w:val="0"/>
          <w:color w:val="auto"/>
          <w:sz w:val="32"/>
          <w:szCs w:val="32"/>
          <w:highlight w:val="none"/>
          <w:lang w:val="en-US" w:eastAsia="zh-CN"/>
        </w:rPr>
        <w:t>构建产业协同创新体系</w:t>
      </w:r>
      <w:r>
        <w:rPr>
          <w:rFonts w:hint="default" w:ascii="Times New Roman" w:hAnsi="Times New Roman" w:eastAsia="楷体_GB2312" w:cs="Times New Roman"/>
          <w:bCs w:val="0"/>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完善“企业+高校+平台+产业链”联结合作机制，</w:t>
      </w:r>
      <w:r>
        <w:rPr>
          <w:rFonts w:hint="default" w:ascii="Times New Roman" w:hAnsi="Times New Roman" w:eastAsia="仿宋_GB2312" w:cs="Times New Roman"/>
          <w:bCs/>
          <w:color w:val="auto"/>
          <w:sz w:val="32"/>
          <w:szCs w:val="32"/>
          <w:highlight w:val="none"/>
          <w:lang w:eastAsia="zh-CN"/>
        </w:rPr>
        <w:t>通过资源共享、联合攻关、</w:t>
      </w:r>
      <w:r>
        <w:rPr>
          <w:rFonts w:hint="default" w:ascii="Times New Roman" w:hAnsi="Times New Roman" w:eastAsia="仿宋_GB2312" w:cs="Times New Roman"/>
          <w:bCs/>
          <w:color w:val="auto"/>
          <w:sz w:val="32"/>
          <w:szCs w:val="32"/>
          <w:highlight w:val="none"/>
          <w:lang w:val="en-US" w:eastAsia="zh-CN"/>
        </w:rPr>
        <w:t>产业协作</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lang w:val="en-US" w:eastAsia="zh-CN"/>
        </w:rPr>
        <w:t>加强企业主导的产学研融通创新，聚焦六条重点工业产业链提质升级，推动新能源装备制造产业</w:t>
      </w:r>
      <w:r>
        <w:rPr>
          <w:rFonts w:hint="default" w:ascii="Times New Roman" w:hAnsi="Times New Roman" w:eastAsia="仿宋_GB2312" w:cs="Times New Roman"/>
          <w:bCs/>
          <w:color w:val="auto"/>
          <w:sz w:val="32"/>
          <w:szCs w:val="32"/>
          <w:highlight w:val="none"/>
          <w:lang w:eastAsia="zh-CN"/>
        </w:rPr>
        <w:t>衔接省级新能源装备产业链创新需求，</w:t>
      </w:r>
      <w:r>
        <w:rPr>
          <w:rFonts w:hint="default" w:ascii="Times New Roman" w:hAnsi="Times New Roman" w:eastAsia="仿宋_GB2312" w:cs="Times New Roman"/>
          <w:bCs/>
          <w:color w:val="auto"/>
          <w:sz w:val="32"/>
          <w:szCs w:val="32"/>
          <w:highlight w:val="none"/>
          <w:lang w:val="en-US" w:eastAsia="zh-CN"/>
        </w:rPr>
        <w:t>推动</w:t>
      </w:r>
      <w:r>
        <w:rPr>
          <w:rFonts w:hint="default" w:ascii="Times New Roman" w:hAnsi="Times New Roman" w:eastAsia="仿宋_GB2312" w:cs="Times New Roman"/>
          <w:bCs/>
          <w:color w:val="auto"/>
          <w:sz w:val="32"/>
          <w:szCs w:val="32"/>
          <w:highlight w:val="none"/>
          <w:lang w:eastAsia="zh-CN"/>
        </w:rPr>
        <w:t>食品精深加工产业链对接省级农产品精深加工产业链技术升级方向，</w:t>
      </w:r>
      <w:r>
        <w:rPr>
          <w:rFonts w:hint="default" w:ascii="Times New Roman" w:hAnsi="Times New Roman" w:eastAsia="仿宋_GB2312" w:cs="Times New Roman"/>
          <w:bCs/>
          <w:color w:val="auto"/>
          <w:sz w:val="32"/>
          <w:szCs w:val="32"/>
          <w:highlight w:val="none"/>
          <w:lang w:val="en-US" w:eastAsia="zh-CN"/>
        </w:rPr>
        <w:t>引导</w:t>
      </w:r>
      <w:r>
        <w:rPr>
          <w:rFonts w:hint="default" w:ascii="Times New Roman" w:hAnsi="Times New Roman" w:eastAsia="仿宋_GB2312" w:cs="Times New Roman"/>
          <w:bCs/>
          <w:color w:val="auto"/>
          <w:sz w:val="32"/>
          <w:szCs w:val="32"/>
          <w:highlight w:val="none"/>
          <w:lang w:eastAsia="zh-CN"/>
        </w:rPr>
        <w:t>金属冶炼及新材料、汽车零部件产业链融入省级高端化工、汽车产业链配套体系，形成“省级链主引领、乳山特色补位”的协同格局。</w:t>
      </w:r>
      <w:r>
        <w:rPr>
          <w:rFonts w:hint="default" w:ascii="Times New Roman" w:hAnsi="Times New Roman" w:eastAsia="仿宋_GB2312" w:cs="Times New Roman"/>
          <w:bCs/>
          <w:color w:val="auto"/>
          <w:sz w:val="32"/>
          <w:szCs w:val="32"/>
          <w:highlight w:val="none"/>
          <w:lang w:val="en-US" w:eastAsia="zh-CN"/>
        </w:rPr>
        <w:t>支持</w:t>
      </w:r>
      <w:r>
        <w:rPr>
          <w:rFonts w:hint="default" w:ascii="Times New Roman" w:hAnsi="Times New Roman" w:eastAsia="仿宋_GB2312" w:cs="Times New Roman"/>
          <w:bCs/>
          <w:color w:val="auto"/>
          <w:sz w:val="32"/>
          <w:szCs w:val="32"/>
          <w:highlight w:val="none"/>
          <w:lang w:eastAsia="zh-CN"/>
        </w:rPr>
        <w:t>高新技术企业联合高校、科研院所组建海上风电装备、海洋食品、金属</w:t>
      </w:r>
      <w:r>
        <w:rPr>
          <w:rFonts w:hint="default" w:ascii="Times New Roman" w:hAnsi="Times New Roman" w:eastAsia="仿宋_GB2312" w:cs="Times New Roman"/>
          <w:bCs/>
          <w:color w:val="auto"/>
          <w:sz w:val="32"/>
          <w:szCs w:val="32"/>
          <w:highlight w:val="none"/>
          <w:lang w:val="en-US" w:eastAsia="zh-CN"/>
        </w:rPr>
        <w:t>精炼及</w:t>
      </w:r>
      <w:r>
        <w:rPr>
          <w:rFonts w:hint="default" w:ascii="Times New Roman" w:hAnsi="Times New Roman" w:eastAsia="仿宋_GB2312" w:cs="Times New Roman"/>
          <w:bCs/>
          <w:color w:val="auto"/>
          <w:sz w:val="32"/>
          <w:szCs w:val="32"/>
          <w:highlight w:val="none"/>
          <w:lang w:eastAsia="zh-CN"/>
        </w:rPr>
        <w:t>新材料</w:t>
      </w:r>
      <w:r>
        <w:rPr>
          <w:rFonts w:hint="default" w:ascii="Times New Roman" w:hAnsi="Times New Roman" w:eastAsia="仿宋_GB2312" w:cs="Times New Roman"/>
          <w:bCs/>
          <w:color w:val="auto"/>
          <w:sz w:val="32"/>
          <w:szCs w:val="32"/>
          <w:highlight w:val="none"/>
          <w:lang w:val="en-US" w:eastAsia="zh-CN"/>
        </w:rPr>
        <w:t>等</w:t>
      </w:r>
      <w:r>
        <w:rPr>
          <w:rFonts w:hint="default" w:ascii="Times New Roman" w:hAnsi="Times New Roman" w:eastAsia="仿宋_GB2312" w:cs="Times New Roman"/>
          <w:bCs/>
          <w:color w:val="auto"/>
          <w:sz w:val="32"/>
          <w:szCs w:val="32"/>
          <w:highlight w:val="none"/>
          <w:lang w:eastAsia="zh-CN"/>
        </w:rPr>
        <w:t>创新联合体，</w:t>
      </w:r>
      <w:r>
        <w:rPr>
          <w:rFonts w:hint="default" w:ascii="Times New Roman" w:hAnsi="Times New Roman" w:eastAsia="仿宋_GB2312" w:cs="Times New Roman"/>
          <w:bCs/>
          <w:color w:val="auto"/>
          <w:sz w:val="32"/>
          <w:szCs w:val="32"/>
          <w:highlight w:val="none"/>
          <w:lang w:val="en-US" w:eastAsia="zh-CN"/>
        </w:rPr>
        <w:t>深化产学研合作，加强关键核心和产业共性技术攻关，培育新质生产力</w:t>
      </w:r>
      <w:r>
        <w:rPr>
          <w:rFonts w:hint="default" w:ascii="Times New Roman" w:hAnsi="Times New Roman" w:eastAsia="仿宋_GB2312" w:cs="Times New Roman"/>
          <w:bCs/>
          <w:color w:val="auto"/>
          <w:sz w:val="32"/>
          <w:szCs w:val="32"/>
          <w:highlight w:val="none"/>
          <w:lang w:eastAsia="zh-CN"/>
        </w:rPr>
        <w:t>。</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rPr>
          <w:rFonts w:hint="default" w:ascii="Times New Roman" w:hAnsi="Times New Roman" w:cs="Times New Roman"/>
          <w:snapToGrid w:val="0"/>
          <w:color w:val="auto"/>
          <w:sz w:val="32"/>
          <w:highlight w:val="none"/>
          <w:lang w:val="en-US" w:eastAsia="zh-CN"/>
        </w:rPr>
      </w:pPr>
      <w:bookmarkStart w:id="138" w:name="_Toc19428"/>
      <w:bookmarkStart w:id="139" w:name="_Toc27670"/>
      <w:bookmarkStart w:id="140" w:name="_Toc24295"/>
      <w:bookmarkStart w:id="141" w:name="_Toc1575"/>
      <w:bookmarkStart w:id="142" w:name="_Toc19982"/>
      <w:bookmarkStart w:id="143" w:name="_Toc21441"/>
      <w:bookmarkStart w:id="144" w:name="_Toc21794"/>
      <w:bookmarkStart w:id="145" w:name="_Toc13810"/>
      <w:bookmarkStart w:id="146" w:name="_Toc603"/>
      <w:r>
        <w:rPr>
          <w:rFonts w:hint="default" w:ascii="Times New Roman" w:hAnsi="Times New Roman" w:cs="Times New Roman"/>
          <w:snapToGrid w:val="0"/>
          <w:color w:val="auto"/>
          <w:sz w:val="32"/>
          <w:highlight w:val="none"/>
          <w:lang w:val="en-US" w:eastAsia="zh-CN"/>
        </w:rPr>
        <w:t>第二节 强化企业创新主体地位</w:t>
      </w:r>
      <w:bookmarkEnd w:id="138"/>
      <w:bookmarkEnd w:id="139"/>
      <w:bookmarkEnd w:id="140"/>
      <w:bookmarkEnd w:id="141"/>
      <w:bookmarkEnd w:id="142"/>
      <w:bookmarkEnd w:id="143"/>
      <w:bookmarkEnd w:id="144"/>
      <w:bookmarkEnd w:id="145"/>
      <w:bookmarkEnd w:id="146"/>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
          <w:bCs w:val="0"/>
          <w:color w:val="auto"/>
          <w:sz w:val="32"/>
          <w:szCs w:val="32"/>
          <w:highlight w:val="none"/>
          <w:lang w:val="en-US" w:eastAsia="zh-CN"/>
        </w:rPr>
      </w:pPr>
      <w:bookmarkStart w:id="147" w:name="OLE_LINK16"/>
      <w:r>
        <w:rPr>
          <w:rFonts w:hint="default" w:ascii="Times New Roman" w:hAnsi="Times New Roman" w:eastAsia="仿宋_GB2312" w:cs="Times New Roman"/>
          <w:color w:val="auto"/>
          <w:spacing w:val="0"/>
          <w:sz w:val="32"/>
          <w:szCs w:val="32"/>
          <w:highlight w:val="none"/>
          <w:lang w:val="en-US" w:eastAsia="zh-CN"/>
        </w:rPr>
        <w:t>推进科技创新与产业创新深度融合，</w:t>
      </w:r>
      <w:r>
        <w:rPr>
          <w:rFonts w:hint="default" w:ascii="Times New Roman" w:hAnsi="Times New Roman" w:eastAsia="仿宋_GB2312" w:cs="Times New Roman"/>
          <w:b w:val="0"/>
          <w:bCs w:val="0"/>
          <w:color w:val="auto"/>
          <w:sz w:val="32"/>
          <w:szCs w:val="40"/>
          <w:highlight w:val="none"/>
          <w:lang w:val="en-US" w:eastAsia="zh-CN"/>
        </w:rPr>
        <w:t>促进各类创新要素、优质服务向企业集聚，健全完善科技成果转化体系，提升企业技术创新能力</w:t>
      </w:r>
      <w:bookmarkEnd w:id="147"/>
      <w:r>
        <w:rPr>
          <w:rFonts w:hint="default" w:ascii="Times New Roman" w:hAnsi="Times New Roman" w:eastAsia="仿宋_GB2312" w:cs="Times New Roman"/>
          <w:b w:val="0"/>
          <w:bCs w:val="0"/>
          <w:color w:val="auto"/>
          <w:sz w:val="32"/>
          <w:szCs w:val="40"/>
          <w:highlight w:val="none"/>
          <w:lang w:val="en-US" w:eastAsia="zh-CN"/>
        </w:rPr>
        <w:t>，推动产业链上中下游、大中小企业融通创新。</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加强科创型企业梯次培育</w:t>
      </w:r>
      <w:r>
        <w:rPr>
          <w:rFonts w:hint="default" w:ascii="Times New Roman" w:hAnsi="Times New Roman" w:eastAsia="楷体_GB2312" w:cs="Times New Roman"/>
          <w:b w:val="0"/>
          <w:bCs w:val="0"/>
          <w:color w:val="auto"/>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实施科技领军型企业培育、科技型中小企业创新能力提升工程，扶持专精特新中小企业深耕细分领域，推动</w:t>
      </w:r>
      <w:r>
        <w:rPr>
          <w:rFonts w:hint="default" w:ascii="Times New Roman" w:hAnsi="Times New Roman" w:eastAsia="仿宋_GB2312" w:cs="Times New Roman"/>
          <w:bCs/>
          <w:color w:val="auto"/>
          <w:sz w:val="32"/>
          <w:szCs w:val="32"/>
          <w:highlight w:val="none"/>
          <w:lang w:val="en-US" w:eastAsia="zh-CN"/>
        </w:rPr>
        <w:t>成长型企业</w:t>
      </w:r>
      <w:r>
        <w:rPr>
          <w:rFonts w:hint="default" w:ascii="Times New Roman" w:hAnsi="Times New Roman" w:eastAsia="仿宋_GB2312" w:cs="Times New Roman"/>
          <w:color w:val="auto"/>
          <w:spacing w:val="0"/>
          <w:sz w:val="32"/>
          <w:szCs w:val="32"/>
          <w:highlight w:val="none"/>
          <w:lang w:val="en-US" w:eastAsia="zh-CN"/>
        </w:rPr>
        <w:t>向“瞪羚”企业迈进，支持领军企业冲击国家级专精特新“小巨人”、制造业“单项冠军”等优质企业方阵，力争到2030年，培育省级以上专精特新企业80家以上，制造业“单项冠军”15家以上，持续</w:t>
      </w:r>
      <w:r>
        <w:rPr>
          <w:rFonts w:hint="default" w:ascii="Times New Roman" w:hAnsi="Times New Roman" w:eastAsia="仿宋_GB2312" w:cs="Times New Roman"/>
          <w:bCs/>
          <w:color w:val="auto"/>
          <w:sz w:val="32"/>
          <w:szCs w:val="32"/>
          <w:highlight w:val="none"/>
          <w:lang w:val="en-US" w:eastAsia="zh-CN"/>
        </w:rPr>
        <w:t>推动科技型企业创新能级与产业核心竞争力同步跃升。以有序投资为牵引，通过政府、市场、社会多元主体协同发力，推动大中小企业深化纵向产业链配套与横向创新协作，重点培育一批具备国际化视野、掌握关键核心技术的链主企业。依托链主企业引领作用和产业联盟资源聚合优势，孵化培育一批市场前景广阔、技术优势突出的产业标杆企业，“有中育新”全面打造迭代创新型产业主体，为产业高质量发展筑牢企业根基。</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增强企业自主创新能力。</w:t>
      </w:r>
      <w:r>
        <w:rPr>
          <w:rFonts w:hint="default" w:ascii="Times New Roman" w:hAnsi="Times New Roman" w:eastAsia="仿宋_GB2312" w:cs="Times New Roman"/>
          <w:color w:val="auto"/>
          <w:spacing w:val="0"/>
          <w:sz w:val="32"/>
          <w:szCs w:val="32"/>
          <w:highlight w:val="none"/>
          <w:lang w:val="en-US" w:eastAsia="zh-CN"/>
        </w:rPr>
        <w:t>优化以产业需求为导向的科研攻关机制，完善企业主导的产学研融合创新体系，</w:t>
      </w:r>
      <w:r>
        <w:rPr>
          <w:rFonts w:hint="default" w:ascii="Times New Roman" w:hAnsi="Times New Roman" w:eastAsia="仿宋_GB2312" w:cs="Times New Roman"/>
          <w:b w:val="0"/>
          <w:bCs w:val="0"/>
          <w:color w:val="auto"/>
          <w:sz w:val="32"/>
          <w:szCs w:val="32"/>
          <w:highlight w:val="none"/>
          <w:lang w:val="en-US" w:eastAsia="zh-CN"/>
        </w:rPr>
        <w:t>推进科技创新和产业创新深度融合</w:t>
      </w:r>
      <w:r>
        <w:rPr>
          <w:rFonts w:hint="default" w:ascii="Times New Roman" w:hAnsi="Times New Roman" w:eastAsia="仿宋_GB2312" w:cs="Times New Roman"/>
          <w:color w:val="auto"/>
          <w:spacing w:val="0"/>
          <w:sz w:val="32"/>
          <w:szCs w:val="32"/>
          <w:highlight w:val="none"/>
          <w:lang w:val="en-US" w:eastAsia="zh-CN"/>
        </w:rPr>
        <w:t>。支持企业采用新技术、新工艺、新设备，提升生产效率和产品质量，提高有研发活动的规上工业企业占比。实施重大科技创新工程，在低空经济、元宇宙、人工智能等领域开展前沿技术研究，在新型高分子材料、高效特色农业、海洋生物、海工装备等领域攻克一批“卡脖子”关键技术和先进工艺设备。构建覆盖科技型企业全生命周期的科技金融服务体系，推动投早、投小、投长期、投硬科技，鼓励企业主导或参与国家、行业标准制定，提升企业在行业内的话语权。</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建立健全成果转化体系</w:t>
      </w:r>
      <w:r>
        <w:rPr>
          <w:rFonts w:hint="default" w:ascii="Times New Roman" w:hAnsi="Times New Roman" w:eastAsia="楷体_GB2312" w:cs="Times New Roman"/>
          <w:color w:val="auto"/>
          <w:kern w:val="2"/>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eastAsia="zh-CN" w:bidi="ar-SA"/>
        </w:rPr>
        <w:t>构建顺畅高效的成果转化生态，鼓励校地协同创新，</w:t>
      </w:r>
      <w:r>
        <w:rPr>
          <w:rFonts w:hint="default" w:ascii="Times New Roman" w:hAnsi="Times New Roman" w:eastAsia="仿宋_GB2312" w:cs="Times New Roman"/>
          <w:color w:val="auto"/>
          <w:spacing w:val="0"/>
          <w:sz w:val="32"/>
          <w:szCs w:val="32"/>
          <w:highlight w:val="none"/>
          <w:lang w:val="en-US" w:eastAsia="zh-CN"/>
        </w:rPr>
        <w:t>优化“产业出题、院校解题、企业用题”的科研攻关模式。聚焦海上风电装备轻量化、牡蛎功能性成分提取、高端合金材料研发等关键领域，</w:t>
      </w:r>
      <w:r>
        <w:rPr>
          <w:rFonts w:hint="default" w:ascii="Times New Roman" w:hAnsi="Times New Roman" w:eastAsia="仿宋_GB2312" w:cs="Times New Roman"/>
          <w:color w:val="auto"/>
          <w:spacing w:val="0"/>
          <w:kern w:val="2"/>
          <w:sz w:val="32"/>
          <w:szCs w:val="32"/>
          <w:highlight w:val="none"/>
          <w:lang w:val="en-US" w:eastAsia="zh-CN" w:bidi="ar-SA"/>
        </w:rPr>
        <w:t>推广“先使用后付费”等新模式，</w:t>
      </w:r>
      <w:r>
        <w:rPr>
          <w:rFonts w:hint="default" w:ascii="Times New Roman" w:hAnsi="Times New Roman" w:eastAsia="仿宋_GB2312" w:cs="Times New Roman"/>
          <w:color w:val="auto"/>
          <w:spacing w:val="0"/>
          <w:sz w:val="32"/>
          <w:szCs w:val="32"/>
          <w:highlight w:val="none"/>
          <w:lang w:val="en-US" w:eastAsia="zh-CN"/>
        </w:rPr>
        <w:t>加速科技成果从“实验室”走向“生产线”。</w:t>
      </w:r>
      <w:r>
        <w:rPr>
          <w:rFonts w:hint="default" w:ascii="Times New Roman" w:hAnsi="Times New Roman" w:eastAsia="仿宋_GB2312" w:cs="Times New Roman"/>
          <w:bCs w:val="0"/>
          <w:color w:val="auto"/>
          <w:kern w:val="2"/>
          <w:sz w:val="32"/>
          <w:szCs w:val="32"/>
          <w:highlight w:val="none"/>
          <w:lang w:val="en-US" w:eastAsia="zh-CN"/>
        </w:rPr>
        <w:t>主动融入区域创新协同格局，引导本地企业精准对接京津冀、省会经济圈、沿黄省市高校院所及高精尖企业，深化向上游产业链的技术融合与合作。重点</w:t>
      </w:r>
      <w:r>
        <w:rPr>
          <w:rFonts w:hint="default" w:ascii="Times New Roman" w:hAnsi="Times New Roman" w:eastAsia="仿宋_GB2312" w:cs="Times New Roman"/>
          <w:color w:val="auto"/>
          <w:kern w:val="0"/>
          <w:sz w:val="32"/>
          <w:szCs w:val="32"/>
          <w:highlight w:val="none"/>
          <w:lang w:val="en-US" w:eastAsia="zh-CN" w:bidi="ar"/>
        </w:rPr>
        <w:t>在北京、上海、深圳、济南、青岛等知识密集型核心城市</w:t>
      </w:r>
      <w:r>
        <w:rPr>
          <w:rFonts w:hint="default" w:ascii="Times New Roman" w:hAnsi="Times New Roman" w:eastAsia="仿宋_GB2312" w:cs="Times New Roman"/>
          <w:bCs w:val="0"/>
          <w:color w:val="auto"/>
          <w:kern w:val="2"/>
          <w:sz w:val="32"/>
          <w:szCs w:val="32"/>
          <w:highlight w:val="none"/>
          <w:lang w:val="en-US" w:eastAsia="zh-CN"/>
        </w:rPr>
        <w:t>开展“人才飞地”战略布局</w:t>
      </w:r>
      <w:r>
        <w:rPr>
          <w:rFonts w:hint="default" w:ascii="Times New Roman" w:hAnsi="Times New Roman" w:eastAsia="仿宋_GB2312" w:cs="Times New Roman"/>
          <w:color w:val="auto"/>
          <w:kern w:val="0"/>
          <w:sz w:val="32"/>
          <w:szCs w:val="32"/>
          <w:highlight w:val="none"/>
          <w:lang w:val="en-US" w:eastAsia="zh-CN" w:bidi="ar"/>
        </w:rPr>
        <w:t>，打造集</w:t>
      </w:r>
      <w:r>
        <w:rPr>
          <w:rFonts w:hint="default" w:ascii="Times New Roman" w:hAnsi="Times New Roman" w:eastAsia="仿宋_GB2312" w:cs="Times New Roman"/>
          <w:bCs w:val="0"/>
          <w:color w:val="auto"/>
          <w:kern w:val="2"/>
          <w:sz w:val="32"/>
          <w:szCs w:val="32"/>
          <w:highlight w:val="none"/>
          <w:lang w:val="en-US" w:eastAsia="zh-CN"/>
        </w:rPr>
        <w:t>技术研发、人才集聚、项目孵化于一体的</w:t>
      </w:r>
      <w:r>
        <w:rPr>
          <w:rFonts w:hint="default" w:ascii="Times New Roman" w:hAnsi="Times New Roman" w:eastAsia="仿宋_GB2312" w:cs="Times New Roman"/>
          <w:color w:val="auto"/>
          <w:kern w:val="0"/>
          <w:sz w:val="32"/>
          <w:szCs w:val="32"/>
          <w:highlight w:val="none"/>
          <w:lang w:eastAsia="zh-CN" w:bidi="ar"/>
        </w:rPr>
        <w:t>“</w:t>
      </w:r>
      <w:r>
        <w:rPr>
          <w:rFonts w:hint="default" w:ascii="Times New Roman" w:hAnsi="Times New Roman" w:eastAsia="仿宋_GB2312" w:cs="Times New Roman"/>
          <w:color w:val="auto"/>
          <w:kern w:val="0"/>
          <w:sz w:val="32"/>
          <w:szCs w:val="32"/>
          <w:highlight w:val="none"/>
          <w:lang w:val="en-US" w:eastAsia="zh-CN" w:bidi="ar"/>
        </w:rPr>
        <w:t>研发在外+转化在乳</w:t>
      </w:r>
      <w:r>
        <w:rPr>
          <w:rFonts w:hint="default" w:ascii="Times New Roman" w:hAnsi="Times New Roman" w:eastAsia="仿宋_GB2312" w:cs="Times New Roman"/>
          <w:color w:val="auto"/>
          <w:kern w:val="0"/>
          <w:sz w:val="32"/>
          <w:szCs w:val="32"/>
          <w:highlight w:val="none"/>
          <w:lang w:eastAsia="zh-CN" w:bidi="ar"/>
        </w:rPr>
        <w:t>”的</w:t>
      </w:r>
      <w:r>
        <w:rPr>
          <w:rFonts w:hint="default" w:ascii="Times New Roman" w:hAnsi="Times New Roman" w:eastAsia="仿宋_GB2312" w:cs="Times New Roman"/>
          <w:color w:val="auto"/>
          <w:kern w:val="0"/>
          <w:sz w:val="32"/>
          <w:szCs w:val="32"/>
          <w:highlight w:val="none"/>
          <w:lang w:val="en-US" w:eastAsia="zh-CN" w:bidi="ar"/>
        </w:rPr>
        <w:t>创新载体</w:t>
      </w:r>
      <w:r>
        <w:rPr>
          <w:rFonts w:hint="default" w:ascii="Times New Roman" w:hAnsi="Times New Roman" w:eastAsia="仿宋_GB2312" w:cs="Times New Roman"/>
          <w:bCs w:val="0"/>
          <w:color w:val="auto"/>
          <w:kern w:val="2"/>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积极融入全省科技大市场体系，用好各类科技要素资源，为创新主体提供“一站式”服务，促进创新供给端与产业需求端高效对接，提升成果转化服务效能。</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rPr>
          <w:rFonts w:hint="default" w:ascii="Times New Roman" w:hAnsi="Times New Roman" w:cs="Times New Roman"/>
          <w:snapToGrid w:val="0"/>
          <w:color w:val="auto"/>
          <w:sz w:val="32"/>
          <w:highlight w:val="none"/>
          <w:lang w:val="en-US" w:eastAsia="zh-CN"/>
        </w:rPr>
      </w:pPr>
      <w:bookmarkStart w:id="148" w:name="_Toc25912"/>
      <w:bookmarkStart w:id="149" w:name="_Toc32737"/>
      <w:bookmarkStart w:id="150" w:name="_Toc21914"/>
      <w:bookmarkStart w:id="151" w:name="_Toc32579"/>
      <w:bookmarkStart w:id="152" w:name="_Toc4048"/>
      <w:bookmarkStart w:id="153" w:name="_Toc13006"/>
      <w:bookmarkStart w:id="154" w:name="_Toc15075"/>
      <w:bookmarkStart w:id="155" w:name="_Toc6153"/>
      <w:bookmarkStart w:id="156" w:name="_Toc9181"/>
      <w:r>
        <w:rPr>
          <w:rFonts w:hint="default" w:ascii="Times New Roman" w:hAnsi="Times New Roman" w:cs="Times New Roman"/>
          <w:snapToGrid w:val="0"/>
          <w:color w:val="auto"/>
          <w:sz w:val="32"/>
          <w:highlight w:val="none"/>
          <w:lang w:val="en-US" w:eastAsia="zh-CN"/>
        </w:rPr>
        <w:t>第三节 激发人才创新创造活力</w:t>
      </w:r>
      <w:bookmarkEnd w:id="148"/>
      <w:bookmarkEnd w:id="149"/>
      <w:bookmarkEnd w:id="150"/>
      <w:bookmarkEnd w:id="151"/>
      <w:bookmarkEnd w:id="152"/>
      <w:bookmarkEnd w:id="153"/>
      <w:bookmarkEnd w:id="154"/>
      <w:bookmarkEnd w:id="155"/>
      <w:bookmarkEnd w:id="156"/>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楷体_GB2312" w:cs="Times New Roman"/>
          <w:color w:val="auto"/>
          <w:sz w:val="32"/>
          <w:szCs w:val="32"/>
          <w:highlight w:val="none"/>
          <w:u w:val="none"/>
        </w:rPr>
      </w:pPr>
      <w:bookmarkStart w:id="157" w:name="_Toc9284"/>
      <w:bookmarkStart w:id="158" w:name="_Toc10002"/>
      <w:bookmarkStart w:id="159" w:name="_Toc23088"/>
      <w:bookmarkStart w:id="160" w:name="_Toc22617"/>
      <w:bookmarkStart w:id="161" w:name="_Toc25060"/>
      <w:r>
        <w:rPr>
          <w:rFonts w:hint="default" w:ascii="Times New Roman" w:hAnsi="Times New Roman" w:eastAsia="仿宋_GB2312" w:cs="Times New Roman"/>
          <w:color w:val="auto"/>
          <w:sz w:val="32"/>
          <w:highlight w:val="none"/>
          <w:u w:val="none"/>
          <w:lang w:eastAsia="zh-CN"/>
        </w:rPr>
        <w:t>坚持</w:t>
      </w:r>
      <w:r>
        <w:rPr>
          <w:rFonts w:hint="default" w:ascii="Times New Roman" w:hAnsi="Times New Roman" w:eastAsia="仿宋_GB2312" w:cs="Times New Roman"/>
          <w:color w:val="auto"/>
          <w:sz w:val="32"/>
          <w:highlight w:val="none"/>
          <w:u w:val="none"/>
        </w:rPr>
        <w:t>教育科技人才一体发展，</w:t>
      </w:r>
      <w:r>
        <w:rPr>
          <w:rFonts w:hint="default" w:ascii="Times New Roman" w:hAnsi="Times New Roman" w:eastAsia="仿宋_GB2312" w:cs="Times New Roman"/>
          <w:color w:val="auto"/>
          <w:sz w:val="32"/>
          <w:highlight w:val="none"/>
          <w:u w:val="none"/>
          <w:lang w:eastAsia="zh-CN"/>
        </w:rPr>
        <w:t>强化</w:t>
      </w:r>
      <w:r>
        <w:rPr>
          <w:rFonts w:hint="default" w:ascii="Times New Roman" w:hAnsi="Times New Roman" w:eastAsia="仿宋_GB2312" w:cs="Times New Roman"/>
          <w:color w:val="auto"/>
          <w:sz w:val="32"/>
          <w:highlight w:val="none"/>
          <w:u w:val="none"/>
        </w:rPr>
        <w:t>规划</w:t>
      </w:r>
      <w:r>
        <w:rPr>
          <w:rFonts w:hint="default" w:ascii="Times New Roman" w:hAnsi="Times New Roman" w:eastAsia="仿宋_GB2312" w:cs="Times New Roman"/>
          <w:color w:val="auto"/>
          <w:sz w:val="32"/>
          <w:highlight w:val="none"/>
          <w:u w:val="none"/>
          <w:lang w:val="en-US" w:eastAsia="zh-CN"/>
        </w:rPr>
        <w:t>衔接</w:t>
      </w:r>
      <w:r>
        <w:rPr>
          <w:rFonts w:hint="default" w:ascii="Times New Roman" w:hAnsi="Times New Roman" w:eastAsia="仿宋_GB2312" w:cs="Times New Roman"/>
          <w:color w:val="auto"/>
          <w:sz w:val="32"/>
          <w:highlight w:val="none"/>
          <w:u w:val="none"/>
        </w:rPr>
        <w:t>、政策协同</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资源</w:t>
      </w:r>
      <w:r>
        <w:rPr>
          <w:rFonts w:hint="default" w:ascii="Times New Roman" w:hAnsi="Times New Roman" w:eastAsia="仿宋_GB2312" w:cs="Times New Roman"/>
          <w:color w:val="auto"/>
          <w:sz w:val="32"/>
          <w:highlight w:val="none"/>
          <w:u w:val="none"/>
          <w:lang w:val="en-US" w:eastAsia="zh-CN"/>
        </w:rPr>
        <w:t>统筹</w:t>
      </w:r>
      <w:r>
        <w:rPr>
          <w:rFonts w:hint="default" w:ascii="Times New Roman" w:hAnsi="Times New Roman" w:eastAsia="仿宋_GB2312" w:cs="Times New Roman"/>
          <w:color w:val="auto"/>
          <w:sz w:val="32"/>
          <w:highlight w:val="none"/>
          <w:u w:val="none"/>
        </w:rPr>
        <w:t>，</w:t>
      </w:r>
      <w:r>
        <w:rPr>
          <w:rFonts w:hint="default" w:ascii="Times New Roman" w:hAnsi="Times New Roman" w:eastAsia="仿宋_GB2312" w:cs="Times New Roman"/>
          <w:color w:val="auto"/>
          <w:sz w:val="32"/>
          <w:highlight w:val="none"/>
          <w:u w:val="none"/>
          <w:lang w:val="en-US" w:eastAsia="zh-CN"/>
        </w:rPr>
        <w:t>深化产业链、人才链、教育链、创新链、金融链“五链融合”</w:t>
      </w:r>
      <w:r>
        <w:rPr>
          <w:rFonts w:hint="default" w:ascii="Times New Roman" w:hAnsi="Times New Roman" w:eastAsia="仿宋_GB2312" w:cs="Times New Roman"/>
          <w:color w:val="auto"/>
          <w:sz w:val="32"/>
          <w:highlight w:val="none"/>
          <w:u w:val="none"/>
        </w:rPr>
        <w:t>，统筹“五链”资源供给与产业发展需求，</w:t>
      </w:r>
      <w:r>
        <w:rPr>
          <w:rFonts w:hint="default" w:ascii="Times New Roman" w:hAnsi="Times New Roman" w:eastAsia="仿宋_GB2312" w:cs="Times New Roman"/>
          <w:color w:val="auto"/>
          <w:sz w:val="32"/>
          <w:highlight w:val="none"/>
          <w:u w:val="none"/>
          <w:lang w:val="en-US" w:eastAsia="zh-CN"/>
        </w:rPr>
        <w:t>持续</w:t>
      </w:r>
      <w:r>
        <w:rPr>
          <w:rFonts w:hint="default" w:ascii="Times New Roman" w:hAnsi="Times New Roman" w:eastAsia="仿宋_GB2312" w:cs="Times New Roman"/>
          <w:color w:val="auto"/>
          <w:sz w:val="32"/>
          <w:highlight w:val="none"/>
          <w:u w:val="none"/>
          <w:lang w:eastAsia="zh-CN"/>
        </w:rPr>
        <w:t>优化“</w:t>
      </w:r>
      <w:r>
        <w:rPr>
          <w:rFonts w:hint="default" w:ascii="Times New Roman" w:hAnsi="Times New Roman" w:eastAsia="仿宋_GB2312" w:cs="Times New Roman"/>
          <w:color w:val="auto"/>
          <w:sz w:val="32"/>
          <w:highlight w:val="none"/>
          <w:u w:val="none"/>
        </w:rPr>
        <w:t>引育用留</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人才生态</w:t>
      </w:r>
      <w:r>
        <w:rPr>
          <w:rFonts w:hint="default" w:ascii="Times New Roman" w:hAnsi="Times New Roman" w:eastAsia="仿宋_GB2312" w:cs="Times New Roman"/>
          <w:color w:val="auto"/>
          <w:sz w:val="32"/>
          <w:highlight w:val="none"/>
          <w:u w:val="none"/>
          <w:lang w:eastAsia="zh-CN"/>
        </w:rPr>
        <w:t>体系，</w:t>
      </w:r>
      <w:r>
        <w:rPr>
          <w:rFonts w:hint="default" w:ascii="Times New Roman" w:hAnsi="Times New Roman" w:eastAsia="仿宋_GB2312" w:cs="Times New Roman"/>
          <w:color w:val="auto"/>
          <w:sz w:val="32"/>
          <w:highlight w:val="none"/>
          <w:u w:val="none"/>
          <w:lang w:val="en-US" w:eastAsia="zh-CN"/>
        </w:rPr>
        <w:t>激发创新创造动力活力</w:t>
      </w:r>
      <w:r>
        <w:rPr>
          <w:rFonts w:hint="default" w:ascii="Times New Roman" w:hAnsi="Times New Roman" w:eastAsia="仿宋_GB2312" w:cs="Times New Roman"/>
          <w:color w:val="auto"/>
          <w:sz w:val="32"/>
          <w:highlight w:val="none"/>
          <w:u w:val="none"/>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楷体_GB2312" w:cs="Times New Roman"/>
          <w:color w:val="auto"/>
          <w:sz w:val="32"/>
          <w:szCs w:val="32"/>
          <w:highlight w:val="none"/>
          <w:u w:val="none"/>
        </w:rPr>
        <w:t>集聚</w:t>
      </w:r>
      <w:r>
        <w:rPr>
          <w:rFonts w:hint="default" w:ascii="Times New Roman" w:hAnsi="Times New Roman" w:eastAsia="楷体_GB2312" w:cs="Times New Roman"/>
          <w:color w:val="auto"/>
          <w:sz w:val="32"/>
          <w:szCs w:val="32"/>
          <w:highlight w:val="none"/>
          <w:u w:val="none"/>
          <w:lang w:eastAsia="zh-CN"/>
        </w:rPr>
        <w:t>双创</w:t>
      </w:r>
      <w:r>
        <w:rPr>
          <w:rFonts w:hint="default" w:ascii="Times New Roman" w:hAnsi="Times New Roman" w:eastAsia="楷体_GB2312" w:cs="Times New Roman"/>
          <w:color w:val="auto"/>
          <w:sz w:val="32"/>
          <w:szCs w:val="32"/>
          <w:highlight w:val="none"/>
          <w:u w:val="none"/>
        </w:rPr>
        <w:t>人才力量。</w:t>
      </w:r>
      <w:r>
        <w:rPr>
          <w:rFonts w:hint="default" w:ascii="Times New Roman" w:hAnsi="Times New Roman" w:eastAsia="仿宋_GB2312" w:cs="Times New Roman"/>
          <w:color w:val="auto"/>
          <w:sz w:val="32"/>
          <w:szCs w:val="32"/>
          <w:highlight w:val="none"/>
          <w:u w:val="none"/>
          <w:lang w:eastAsia="zh-CN"/>
        </w:rPr>
        <w:t>深入实施人才强市战略，加大</w:t>
      </w:r>
      <w:r>
        <w:rPr>
          <w:rFonts w:hint="default" w:ascii="Times New Roman" w:hAnsi="Times New Roman" w:eastAsia="仿宋_GB2312" w:cs="Times New Roman"/>
          <w:color w:val="auto"/>
          <w:sz w:val="32"/>
          <w:szCs w:val="32"/>
          <w:highlight w:val="none"/>
          <w:u w:val="none"/>
        </w:rPr>
        <w:t>科技领军人才、海外优秀人才、</w:t>
      </w:r>
      <w:r>
        <w:rPr>
          <w:rFonts w:hint="default" w:ascii="Times New Roman" w:hAnsi="Times New Roman" w:eastAsia="仿宋_GB2312" w:cs="Times New Roman"/>
          <w:color w:val="auto"/>
          <w:sz w:val="32"/>
          <w:szCs w:val="32"/>
          <w:highlight w:val="none"/>
          <w:u w:val="none"/>
          <w:lang w:eastAsia="zh-CN"/>
        </w:rPr>
        <w:t>高素质青年人才</w:t>
      </w:r>
      <w:r>
        <w:rPr>
          <w:rFonts w:hint="default" w:ascii="Times New Roman" w:hAnsi="Times New Roman" w:eastAsia="仿宋_GB2312" w:cs="Times New Roman"/>
          <w:color w:val="auto"/>
          <w:sz w:val="32"/>
          <w:szCs w:val="32"/>
          <w:highlight w:val="none"/>
          <w:u w:val="none"/>
        </w:rPr>
        <w:t>等引进培育</w:t>
      </w:r>
      <w:r>
        <w:rPr>
          <w:rFonts w:hint="default" w:ascii="Times New Roman" w:hAnsi="Times New Roman" w:eastAsia="仿宋_GB2312" w:cs="Times New Roman"/>
          <w:color w:val="auto"/>
          <w:sz w:val="32"/>
          <w:szCs w:val="32"/>
          <w:highlight w:val="none"/>
          <w:u w:val="none"/>
          <w:lang w:eastAsia="zh-CN"/>
        </w:rPr>
        <w:t>力度</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eastAsia="zh-CN"/>
        </w:rPr>
        <w:t>精准实施政策支持保障</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十五五</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期间新增国家</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省</w:t>
      </w:r>
      <w:r>
        <w:rPr>
          <w:rFonts w:hint="default" w:ascii="Times New Roman" w:hAnsi="Times New Roman" w:eastAsia="仿宋_GB2312" w:cs="Times New Roman"/>
          <w:color w:val="auto"/>
          <w:sz w:val="32"/>
          <w:szCs w:val="32"/>
          <w:highlight w:val="none"/>
          <w:u w:val="none"/>
          <w:lang w:eastAsia="zh-CN"/>
        </w:rPr>
        <w:t>和威海市</w:t>
      </w:r>
      <w:r>
        <w:rPr>
          <w:rFonts w:hint="default" w:ascii="Times New Roman" w:hAnsi="Times New Roman" w:eastAsia="仿宋_GB2312" w:cs="Times New Roman"/>
          <w:color w:val="auto"/>
          <w:sz w:val="32"/>
          <w:szCs w:val="32"/>
          <w:highlight w:val="none"/>
          <w:u w:val="none"/>
        </w:rPr>
        <w:t>级高层次人才</w:t>
      </w:r>
      <w:r>
        <w:rPr>
          <w:rFonts w:hint="default" w:ascii="Times New Roman" w:hAnsi="Times New Roman" w:eastAsia="仿宋_GB2312" w:cs="Times New Roman"/>
          <w:color w:val="auto"/>
          <w:sz w:val="32"/>
          <w:szCs w:val="32"/>
          <w:highlight w:val="none"/>
          <w:u w:val="none"/>
          <w:lang w:val="en-US" w:eastAsia="zh-CN"/>
        </w:rPr>
        <w:t>20</w:t>
      </w:r>
      <w:r>
        <w:rPr>
          <w:rFonts w:hint="default" w:ascii="Times New Roman" w:hAnsi="Times New Roman" w:eastAsia="仿宋_GB2312" w:cs="Times New Roman"/>
          <w:color w:val="auto"/>
          <w:sz w:val="32"/>
          <w:szCs w:val="32"/>
          <w:highlight w:val="none"/>
          <w:u w:val="none"/>
        </w:rPr>
        <w:t>人以上，</w:t>
      </w:r>
      <w:r>
        <w:rPr>
          <w:rFonts w:hint="default" w:ascii="Times New Roman" w:hAnsi="Times New Roman" w:eastAsia="仿宋_GB2312" w:cs="Times New Roman"/>
          <w:color w:val="auto"/>
          <w:sz w:val="32"/>
          <w:szCs w:val="32"/>
          <w:highlight w:val="none"/>
          <w:u w:val="none"/>
          <w:lang w:val="en-US" w:eastAsia="zh-CN"/>
        </w:rPr>
        <w:t>持续</w:t>
      </w:r>
      <w:r>
        <w:rPr>
          <w:rFonts w:hint="default" w:ascii="Times New Roman" w:hAnsi="Times New Roman" w:eastAsia="仿宋_GB2312" w:cs="Times New Roman"/>
          <w:color w:val="auto"/>
          <w:sz w:val="32"/>
          <w:szCs w:val="32"/>
          <w:highlight w:val="none"/>
          <w:u w:val="none"/>
        </w:rPr>
        <w:t>壮大战略人才力量。持续推进校地人才双向</w:t>
      </w:r>
      <w:r>
        <w:rPr>
          <w:rFonts w:hint="default" w:ascii="Times New Roman" w:hAnsi="Times New Roman" w:eastAsia="仿宋_GB2312" w:cs="Times New Roman"/>
          <w:color w:val="auto"/>
          <w:sz w:val="32"/>
          <w:szCs w:val="32"/>
          <w:highlight w:val="none"/>
          <w:u w:val="none"/>
          <w:lang w:val="en-US" w:eastAsia="zh-CN"/>
        </w:rPr>
        <w:t>交流</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eastAsia="zh-CN"/>
        </w:rPr>
        <w:t>开展“</w:t>
      </w:r>
      <w:r>
        <w:rPr>
          <w:rFonts w:hint="default" w:ascii="Times New Roman" w:hAnsi="Times New Roman" w:eastAsia="仿宋_GB2312" w:cs="Times New Roman"/>
          <w:color w:val="auto"/>
          <w:sz w:val="32"/>
          <w:szCs w:val="32"/>
          <w:highlight w:val="none"/>
          <w:u w:val="none"/>
        </w:rPr>
        <w:t>产才融合高校行</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等</w:t>
      </w:r>
      <w:r>
        <w:rPr>
          <w:rFonts w:hint="default" w:ascii="Times New Roman" w:hAnsi="Times New Roman" w:eastAsia="仿宋_GB2312" w:cs="Times New Roman"/>
          <w:color w:val="auto"/>
          <w:sz w:val="32"/>
          <w:szCs w:val="32"/>
          <w:highlight w:val="none"/>
          <w:u w:val="none"/>
          <w:lang w:eastAsia="zh-CN"/>
        </w:rPr>
        <w:t>交流</w:t>
      </w:r>
      <w:r>
        <w:rPr>
          <w:rFonts w:hint="default" w:ascii="Times New Roman" w:hAnsi="Times New Roman" w:eastAsia="仿宋_GB2312" w:cs="Times New Roman"/>
          <w:color w:val="auto"/>
          <w:sz w:val="32"/>
          <w:szCs w:val="32"/>
          <w:highlight w:val="none"/>
          <w:u w:val="none"/>
        </w:rPr>
        <w:t>对接</w:t>
      </w:r>
      <w:r>
        <w:rPr>
          <w:rFonts w:hint="default" w:ascii="Times New Roman" w:hAnsi="Times New Roman" w:eastAsia="仿宋_GB2312" w:cs="Times New Roman"/>
          <w:color w:val="auto"/>
          <w:sz w:val="32"/>
          <w:szCs w:val="32"/>
          <w:highlight w:val="none"/>
          <w:u w:val="none"/>
          <w:lang w:val="en-US" w:eastAsia="zh-CN"/>
        </w:rPr>
        <w:t>活动</w:t>
      </w:r>
      <w:r>
        <w:rPr>
          <w:rFonts w:hint="default" w:ascii="Times New Roman" w:hAnsi="Times New Roman" w:eastAsia="仿宋_GB2312" w:cs="Times New Roman"/>
          <w:color w:val="auto"/>
          <w:sz w:val="32"/>
          <w:szCs w:val="32"/>
          <w:highlight w:val="none"/>
          <w:u w:val="none"/>
        </w:rPr>
        <w:t>，柔性合作高层次人才</w:t>
      </w:r>
      <w:r>
        <w:rPr>
          <w:rFonts w:hint="default" w:ascii="Times New Roman" w:hAnsi="Times New Roman" w:eastAsia="仿宋_GB2312" w:cs="Times New Roman"/>
          <w:color w:val="auto"/>
          <w:sz w:val="32"/>
          <w:szCs w:val="32"/>
          <w:highlight w:val="none"/>
          <w:u w:val="none"/>
          <w:lang w:val="en-US" w:eastAsia="zh-CN"/>
        </w:rPr>
        <w:t>10</w:t>
      </w:r>
      <w:r>
        <w:rPr>
          <w:rFonts w:hint="default" w:ascii="Times New Roman" w:hAnsi="Times New Roman" w:eastAsia="仿宋_GB2312" w:cs="Times New Roman"/>
          <w:color w:val="auto"/>
          <w:sz w:val="32"/>
          <w:szCs w:val="32"/>
          <w:highlight w:val="none"/>
          <w:u w:val="none"/>
        </w:rPr>
        <w:t>0人以上。</w:t>
      </w:r>
      <w:r>
        <w:rPr>
          <w:rFonts w:hint="default" w:ascii="Times New Roman" w:hAnsi="Times New Roman" w:eastAsia="仿宋_GB2312" w:cs="Times New Roman"/>
          <w:color w:val="auto"/>
          <w:sz w:val="32"/>
          <w:szCs w:val="32"/>
          <w:highlight w:val="none"/>
          <w:u w:val="none"/>
          <w:lang w:eastAsia="zh-CN"/>
        </w:rPr>
        <w:t>坚持“产才融合”发展理念</w:t>
      </w:r>
      <w:r>
        <w:rPr>
          <w:rFonts w:hint="default" w:ascii="Times New Roman" w:hAnsi="Times New Roman" w:eastAsia="仿宋_GB2312" w:cs="Times New Roman"/>
          <w:color w:val="auto"/>
          <w:sz w:val="32"/>
          <w:szCs w:val="32"/>
          <w:highlight w:val="none"/>
          <w:u w:val="none"/>
        </w:rPr>
        <w:t>，打造</w:t>
      </w:r>
      <w:r>
        <w:rPr>
          <w:rFonts w:hint="default" w:ascii="Times New Roman" w:hAnsi="Times New Roman" w:eastAsia="仿宋_GB2312" w:cs="Times New Roman"/>
          <w:color w:val="auto"/>
          <w:sz w:val="32"/>
          <w:szCs w:val="32"/>
          <w:highlight w:val="none"/>
          <w:u w:val="none"/>
          <w:lang w:eastAsia="zh-CN"/>
        </w:rPr>
        <w:t>新能源</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eastAsia="zh-CN"/>
        </w:rPr>
        <w:t>旅居康养</w:t>
      </w:r>
      <w:r>
        <w:rPr>
          <w:rFonts w:hint="default" w:ascii="Times New Roman" w:hAnsi="Times New Roman" w:eastAsia="仿宋_GB2312" w:cs="Times New Roman"/>
          <w:color w:val="auto"/>
          <w:sz w:val="32"/>
          <w:szCs w:val="32"/>
          <w:highlight w:val="none"/>
          <w:u w:val="none"/>
          <w:lang w:val="en-US" w:eastAsia="zh-CN"/>
        </w:rPr>
        <w:t>等优势</w:t>
      </w:r>
      <w:r>
        <w:rPr>
          <w:rFonts w:hint="default" w:ascii="Times New Roman" w:hAnsi="Times New Roman" w:eastAsia="仿宋_GB2312" w:cs="Times New Roman"/>
          <w:color w:val="auto"/>
          <w:sz w:val="32"/>
          <w:szCs w:val="32"/>
          <w:highlight w:val="none"/>
          <w:u w:val="none"/>
        </w:rPr>
        <w:t>产业人才集聚</w:t>
      </w:r>
      <w:r>
        <w:rPr>
          <w:rFonts w:hint="default" w:ascii="Times New Roman" w:hAnsi="Times New Roman" w:eastAsia="仿宋_GB2312" w:cs="Times New Roman"/>
          <w:color w:val="auto"/>
          <w:sz w:val="32"/>
          <w:szCs w:val="32"/>
          <w:highlight w:val="none"/>
          <w:u w:val="none"/>
          <w:lang w:val="en-US" w:eastAsia="zh-CN"/>
        </w:rPr>
        <w:t>区</w:t>
      </w:r>
      <w:r>
        <w:rPr>
          <w:rFonts w:hint="default" w:ascii="Times New Roman" w:hAnsi="Times New Roman" w:eastAsia="仿宋_GB2312" w:cs="Times New Roman"/>
          <w:color w:val="auto"/>
          <w:sz w:val="32"/>
          <w:szCs w:val="32"/>
          <w:highlight w:val="none"/>
          <w:u w:val="none"/>
        </w:rPr>
        <w:t>，联合实施</w:t>
      </w:r>
      <w:r>
        <w:rPr>
          <w:rFonts w:hint="default" w:ascii="Times New Roman" w:hAnsi="Times New Roman" w:eastAsia="仿宋_GB2312" w:cs="Times New Roman"/>
          <w:color w:val="auto"/>
          <w:sz w:val="32"/>
          <w:szCs w:val="32"/>
          <w:highlight w:val="none"/>
          <w:u w:val="none"/>
          <w:lang w:eastAsia="zh-CN"/>
        </w:rPr>
        <w:t>产学研</w:t>
      </w:r>
      <w:r>
        <w:rPr>
          <w:rFonts w:hint="default" w:ascii="Times New Roman" w:hAnsi="Times New Roman" w:eastAsia="仿宋_GB2312" w:cs="Times New Roman"/>
          <w:color w:val="auto"/>
          <w:sz w:val="32"/>
          <w:szCs w:val="32"/>
          <w:highlight w:val="none"/>
          <w:u w:val="none"/>
        </w:rPr>
        <w:t>项目</w:t>
      </w:r>
      <w:r>
        <w:rPr>
          <w:rFonts w:hint="default" w:ascii="Times New Roman" w:hAnsi="Times New Roman" w:eastAsia="仿宋_GB2312" w:cs="Times New Roman"/>
          <w:color w:val="auto"/>
          <w:sz w:val="32"/>
          <w:szCs w:val="32"/>
          <w:highlight w:val="none"/>
          <w:u w:val="none"/>
          <w:lang w:val="en-US" w:eastAsia="zh-CN"/>
        </w:rPr>
        <w:t>20</w:t>
      </w:r>
      <w:r>
        <w:rPr>
          <w:rFonts w:hint="default" w:ascii="Times New Roman" w:hAnsi="Times New Roman" w:eastAsia="仿宋_GB2312" w:cs="Times New Roman"/>
          <w:color w:val="auto"/>
          <w:sz w:val="32"/>
          <w:szCs w:val="32"/>
          <w:highlight w:val="none"/>
          <w:u w:val="none"/>
        </w:rPr>
        <w:t>项以上。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highlight w:val="none"/>
          <w:u w:val="none"/>
        </w:rPr>
      </w:pPr>
      <w:r>
        <w:rPr>
          <w:rFonts w:hint="default" w:ascii="Times New Roman" w:hAnsi="Times New Roman" w:eastAsia="楷体_GB2312" w:cs="Times New Roman"/>
          <w:color w:val="auto"/>
          <w:sz w:val="32"/>
          <w:highlight w:val="none"/>
          <w:u w:val="none"/>
        </w:rPr>
        <w:t>壮大</w:t>
      </w:r>
      <w:r>
        <w:rPr>
          <w:rFonts w:hint="default" w:ascii="Times New Roman" w:hAnsi="Times New Roman" w:eastAsia="楷体_GB2312" w:cs="Times New Roman"/>
          <w:color w:val="auto"/>
          <w:sz w:val="32"/>
          <w:highlight w:val="none"/>
          <w:u w:val="none"/>
          <w:lang w:val="en-US" w:eastAsia="zh-CN"/>
        </w:rPr>
        <w:t>产业</w:t>
      </w:r>
      <w:r>
        <w:rPr>
          <w:rFonts w:hint="default" w:ascii="Times New Roman" w:hAnsi="Times New Roman" w:eastAsia="楷体_GB2312" w:cs="Times New Roman"/>
          <w:color w:val="auto"/>
          <w:sz w:val="32"/>
          <w:highlight w:val="none"/>
          <w:u w:val="none"/>
        </w:rPr>
        <w:t>人才</w:t>
      </w:r>
      <w:r>
        <w:rPr>
          <w:rFonts w:hint="default" w:ascii="Times New Roman" w:hAnsi="Times New Roman" w:eastAsia="楷体_GB2312" w:cs="Times New Roman"/>
          <w:color w:val="auto"/>
          <w:sz w:val="32"/>
          <w:highlight w:val="none"/>
          <w:u w:val="none"/>
          <w:lang w:val="en-US" w:eastAsia="zh-CN"/>
        </w:rPr>
        <w:t>队伍</w:t>
      </w:r>
      <w:r>
        <w:rPr>
          <w:rFonts w:hint="default" w:ascii="Times New Roman" w:hAnsi="Times New Roman" w:eastAsia="楷体_GB2312" w:cs="Times New Roman"/>
          <w:color w:val="auto"/>
          <w:sz w:val="32"/>
          <w:highlight w:val="none"/>
          <w:u w:val="none"/>
        </w:rPr>
        <w:t>。</w:t>
      </w:r>
      <w:r>
        <w:rPr>
          <w:rFonts w:hint="default" w:ascii="Times New Roman" w:hAnsi="Times New Roman" w:eastAsia="仿宋_GB2312" w:cs="Times New Roman"/>
          <w:color w:val="auto"/>
          <w:sz w:val="32"/>
          <w:highlight w:val="none"/>
          <w:u w:val="none"/>
        </w:rPr>
        <w:t>引导</w:t>
      </w:r>
      <w:r>
        <w:rPr>
          <w:rFonts w:hint="default" w:ascii="Times New Roman" w:hAnsi="Times New Roman" w:eastAsia="仿宋_GB2312" w:cs="Times New Roman"/>
          <w:color w:val="auto"/>
          <w:kern w:val="2"/>
          <w:sz w:val="32"/>
          <w:szCs w:val="32"/>
          <w:highlight w:val="none"/>
          <w:lang w:val="en-US" w:eastAsia="zh-CN"/>
        </w:rPr>
        <w:t>山东外事职业大学、威海市机械工程高级技工学校等院</w:t>
      </w:r>
      <w:r>
        <w:rPr>
          <w:rFonts w:hint="default" w:ascii="Times New Roman" w:hAnsi="Times New Roman" w:eastAsia="仿宋_GB2312" w:cs="Times New Roman"/>
          <w:color w:val="auto"/>
          <w:sz w:val="32"/>
          <w:highlight w:val="none"/>
          <w:u w:val="none"/>
          <w:lang w:val="en-US" w:eastAsia="zh-CN"/>
        </w:rPr>
        <w:t>校</w:t>
      </w:r>
      <w:r>
        <w:rPr>
          <w:rFonts w:hint="default" w:ascii="Times New Roman" w:hAnsi="Times New Roman" w:eastAsia="仿宋_GB2312" w:cs="Times New Roman"/>
          <w:color w:val="auto"/>
          <w:sz w:val="32"/>
          <w:highlight w:val="none"/>
          <w:u w:val="none"/>
        </w:rPr>
        <w:t>结合</w:t>
      </w:r>
      <w:r>
        <w:rPr>
          <w:rFonts w:hint="default" w:ascii="Times New Roman" w:hAnsi="Times New Roman" w:eastAsia="仿宋_GB2312" w:cs="Times New Roman"/>
          <w:color w:val="auto"/>
          <w:sz w:val="32"/>
          <w:highlight w:val="none"/>
          <w:u w:val="none"/>
          <w:lang w:eastAsia="zh-CN"/>
        </w:rPr>
        <w:t>乳山</w:t>
      </w:r>
      <w:r>
        <w:rPr>
          <w:rFonts w:hint="default" w:ascii="Times New Roman" w:hAnsi="Times New Roman" w:eastAsia="仿宋_GB2312" w:cs="Times New Roman"/>
          <w:color w:val="auto"/>
          <w:sz w:val="32"/>
          <w:highlight w:val="none"/>
          <w:u w:val="none"/>
        </w:rPr>
        <w:t>产业发展需求，在学科建设、人才培养</w:t>
      </w:r>
      <w:r>
        <w:rPr>
          <w:rFonts w:hint="default" w:ascii="Times New Roman" w:hAnsi="Times New Roman" w:eastAsia="仿宋_GB2312" w:cs="Times New Roman"/>
          <w:color w:val="auto"/>
          <w:sz w:val="32"/>
          <w:highlight w:val="none"/>
          <w:u w:val="none"/>
          <w:lang w:eastAsia="zh-CN"/>
        </w:rPr>
        <w:t>、招工就业</w:t>
      </w:r>
      <w:r>
        <w:rPr>
          <w:rFonts w:hint="default" w:ascii="Times New Roman" w:hAnsi="Times New Roman" w:eastAsia="仿宋_GB2312" w:cs="Times New Roman"/>
          <w:color w:val="auto"/>
          <w:sz w:val="32"/>
          <w:highlight w:val="none"/>
          <w:u w:val="none"/>
        </w:rPr>
        <w:t>等方面开展共建合作，完善校企人才</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订单班</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联合培养机制，培育储备</w:t>
      </w:r>
      <w:r>
        <w:rPr>
          <w:rFonts w:hint="default" w:ascii="Times New Roman" w:hAnsi="Times New Roman" w:eastAsia="仿宋_GB2312" w:cs="Times New Roman"/>
          <w:color w:val="auto"/>
          <w:sz w:val="32"/>
          <w:highlight w:val="none"/>
          <w:u w:val="none"/>
          <w:lang w:eastAsia="zh-CN"/>
        </w:rPr>
        <w:t>持续化、</w:t>
      </w:r>
      <w:r>
        <w:rPr>
          <w:rFonts w:hint="default" w:ascii="Times New Roman" w:hAnsi="Times New Roman" w:eastAsia="仿宋_GB2312" w:cs="Times New Roman"/>
          <w:color w:val="auto"/>
          <w:sz w:val="32"/>
          <w:highlight w:val="none"/>
          <w:u w:val="none"/>
        </w:rPr>
        <w:t>专业化、产业化</w:t>
      </w:r>
      <w:r>
        <w:rPr>
          <w:rFonts w:hint="default" w:ascii="Times New Roman" w:hAnsi="Times New Roman" w:eastAsia="仿宋_GB2312" w:cs="Times New Roman"/>
          <w:color w:val="auto"/>
          <w:sz w:val="32"/>
          <w:highlight w:val="none"/>
          <w:u w:val="none"/>
          <w:lang w:eastAsia="zh-CN"/>
        </w:rPr>
        <w:t>的</w:t>
      </w:r>
      <w:r>
        <w:rPr>
          <w:rFonts w:hint="default" w:ascii="Times New Roman" w:hAnsi="Times New Roman" w:eastAsia="仿宋_GB2312" w:cs="Times New Roman"/>
          <w:color w:val="auto"/>
          <w:sz w:val="32"/>
          <w:highlight w:val="none"/>
          <w:u w:val="none"/>
        </w:rPr>
        <w:t>人才队伍。</w:t>
      </w:r>
      <w:r>
        <w:rPr>
          <w:rFonts w:hint="default" w:ascii="Times New Roman" w:hAnsi="Times New Roman" w:eastAsia="仿宋_GB2312" w:cs="Times New Roman"/>
          <w:color w:val="auto"/>
          <w:sz w:val="32"/>
          <w:highlight w:val="none"/>
          <w:u w:val="none"/>
          <w:lang w:eastAsia="zh-CN"/>
        </w:rPr>
        <w:t>加大</w:t>
      </w:r>
      <w:r>
        <w:rPr>
          <w:rFonts w:hint="default" w:ascii="Times New Roman" w:hAnsi="Times New Roman" w:eastAsia="仿宋_GB2312" w:cs="Times New Roman"/>
          <w:color w:val="auto"/>
          <w:sz w:val="32"/>
          <w:highlight w:val="none"/>
          <w:u w:val="none"/>
        </w:rPr>
        <w:t>省</w:t>
      </w:r>
      <w:r>
        <w:rPr>
          <w:rFonts w:hint="default" w:ascii="Times New Roman" w:hAnsi="Times New Roman" w:eastAsia="仿宋_GB2312" w:cs="Times New Roman"/>
          <w:color w:val="auto"/>
          <w:sz w:val="32"/>
          <w:highlight w:val="none"/>
          <w:u w:val="none"/>
          <w:lang w:eastAsia="zh-CN"/>
        </w:rPr>
        <w:t>、威海</w:t>
      </w:r>
      <w:r>
        <w:rPr>
          <w:rFonts w:hint="default" w:ascii="Times New Roman" w:hAnsi="Times New Roman" w:eastAsia="仿宋_GB2312" w:cs="Times New Roman"/>
          <w:color w:val="auto"/>
          <w:sz w:val="32"/>
          <w:highlight w:val="none"/>
          <w:u w:val="none"/>
        </w:rPr>
        <w:t>市</w:t>
      </w:r>
      <w:r>
        <w:rPr>
          <w:rFonts w:hint="default" w:ascii="Times New Roman" w:hAnsi="Times New Roman" w:eastAsia="仿宋_GB2312" w:cs="Times New Roman"/>
          <w:color w:val="auto"/>
          <w:sz w:val="32"/>
          <w:highlight w:val="none"/>
          <w:u w:val="none"/>
          <w:lang w:val="en-US" w:eastAsia="zh-CN"/>
        </w:rPr>
        <w:t>高</w:t>
      </w:r>
      <w:r>
        <w:rPr>
          <w:rFonts w:hint="default" w:ascii="Times New Roman" w:hAnsi="Times New Roman" w:eastAsia="仿宋_GB2312" w:cs="Times New Roman"/>
          <w:color w:val="auto"/>
          <w:sz w:val="32"/>
          <w:highlight w:val="none"/>
          <w:u w:val="none"/>
        </w:rPr>
        <w:t>技能人才荣誉称号</w:t>
      </w:r>
      <w:r>
        <w:rPr>
          <w:rFonts w:hint="default" w:ascii="Times New Roman" w:hAnsi="Times New Roman" w:eastAsia="仿宋_GB2312" w:cs="Times New Roman"/>
          <w:color w:val="auto"/>
          <w:sz w:val="32"/>
          <w:highlight w:val="none"/>
          <w:u w:val="none"/>
          <w:lang w:eastAsia="zh-CN"/>
        </w:rPr>
        <w:t>储备申报</w:t>
      </w:r>
      <w:r>
        <w:rPr>
          <w:rFonts w:hint="default" w:ascii="Times New Roman" w:hAnsi="Times New Roman" w:eastAsia="仿宋_GB2312" w:cs="Times New Roman"/>
          <w:color w:val="auto"/>
          <w:sz w:val="32"/>
          <w:highlight w:val="none"/>
          <w:u w:val="none"/>
        </w:rPr>
        <w:t>力度，积极推进职业技能竞赛活动，</w:t>
      </w:r>
      <w:r>
        <w:rPr>
          <w:rFonts w:hint="default" w:ascii="Times New Roman" w:hAnsi="Times New Roman" w:eastAsia="仿宋_GB2312" w:cs="Times New Roman"/>
          <w:color w:val="auto"/>
          <w:sz w:val="32"/>
          <w:highlight w:val="none"/>
          <w:u w:val="none"/>
          <w:lang w:eastAsia="zh-CN"/>
        </w:rPr>
        <w:t>打响“</w:t>
      </w:r>
      <w:r>
        <w:rPr>
          <w:rFonts w:hint="default" w:ascii="Times New Roman" w:hAnsi="Times New Roman" w:eastAsia="仿宋_GB2312" w:cs="Times New Roman"/>
          <w:color w:val="auto"/>
          <w:kern w:val="2"/>
          <w:sz w:val="32"/>
          <w:szCs w:val="32"/>
          <w:highlight w:val="none"/>
          <w:lang w:val="en-US" w:eastAsia="zh-CN"/>
        </w:rPr>
        <w:t>职业技能大赛</w:t>
      </w:r>
      <w:r>
        <w:rPr>
          <w:rFonts w:hint="default" w:ascii="Times New Roman" w:hAnsi="Times New Roman" w:eastAsia="仿宋_GB2312" w:cs="Times New Roman"/>
          <w:color w:val="auto"/>
          <w:sz w:val="32"/>
          <w:highlight w:val="none"/>
          <w:u w:val="none"/>
          <w:lang w:eastAsia="zh-CN"/>
        </w:rPr>
        <w:t>”活动</w:t>
      </w:r>
      <w:r>
        <w:rPr>
          <w:rFonts w:hint="default" w:ascii="Times New Roman" w:hAnsi="Times New Roman" w:eastAsia="仿宋_GB2312" w:cs="Times New Roman"/>
          <w:color w:val="auto"/>
          <w:sz w:val="32"/>
          <w:highlight w:val="none"/>
          <w:u w:val="none"/>
        </w:rPr>
        <w:t>品牌。</w:t>
      </w:r>
      <w:r>
        <w:rPr>
          <w:rFonts w:hint="default" w:ascii="Times New Roman" w:hAnsi="Times New Roman" w:eastAsia="仿宋_GB2312" w:cs="Times New Roman"/>
          <w:color w:val="auto"/>
          <w:sz w:val="32"/>
          <w:highlight w:val="none"/>
          <w:u w:val="none"/>
          <w:lang w:eastAsia="zh-CN"/>
        </w:rPr>
        <w:t>深入推进</w:t>
      </w:r>
      <w:r>
        <w:rPr>
          <w:rFonts w:hint="default" w:ascii="Times New Roman" w:hAnsi="Times New Roman" w:eastAsia="仿宋_GB2312" w:cs="Times New Roman"/>
          <w:color w:val="auto"/>
          <w:sz w:val="32"/>
          <w:highlight w:val="none"/>
          <w:u w:val="none"/>
        </w:rPr>
        <w:t>技能人才评价机制改革，</w:t>
      </w:r>
      <w:r>
        <w:rPr>
          <w:rFonts w:hint="default" w:ascii="Times New Roman" w:hAnsi="Times New Roman" w:eastAsia="仿宋_GB2312" w:cs="Times New Roman"/>
          <w:color w:val="auto"/>
          <w:sz w:val="32"/>
          <w:highlight w:val="none"/>
          <w:u w:val="none"/>
          <w:lang w:eastAsia="zh-CN"/>
        </w:rPr>
        <w:t>积极</w:t>
      </w:r>
      <w:r>
        <w:rPr>
          <w:rFonts w:hint="default" w:ascii="Times New Roman" w:hAnsi="Times New Roman" w:eastAsia="仿宋_GB2312" w:cs="Times New Roman"/>
          <w:color w:val="auto"/>
          <w:sz w:val="32"/>
          <w:highlight w:val="none"/>
          <w:u w:val="none"/>
        </w:rPr>
        <w:t>推动企业特级技师评聘，到2030年，培养高技能人才</w:t>
      </w:r>
      <w:r>
        <w:rPr>
          <w:rFonts w:hint="default" w:ascii="Times New Roman" w:hAnsi="Times New Roman" w:eastAsia="仿宋_GB2312" w:cs="Times New Roman"/>
          <w:color w:val="auto"/>
          <w:sz w:val="32"/>
          <w:highlight w:val="none"/>
          <w:u w:val="none"/>
          <w:lang w:val="en-US" w:eastAsia="zh-CN"/>
        </w:rPr>
        <w:t>3000</w:t>
      </w:r>
      <w:r>
        <w:rPr>
          <w:rFonts w:hint="default" w:ascii="Times New Roman" w:hAnsi="Times New Roman" w:eastAsia="仿宋_GB2312" w:cs="Times New Roman"/>
          <w:color w:val="auto"/>
          <w:sz w:val="32"/>
          <w:highlight w:val="none"/>
          <w:u w:val="none"/>
        </w:rPr>
        <w:t>人。</w:t>
      </w:r>
    </w:p>
    <w:p>
      <w:pPr>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楷体_GB2312" w:cs="Times New Roman"/>
          <w:color w:val="auto"/>
          <w:sz w:val="32"/>
          <w:highlight w:val="none"/>
          <w:u w:val="none"/>
          <w:lang w:val="en-US"/>
        </w:rPr>
      </w:pPr>
      <w:r>
        <w:rPr>
          <w:rFonts w:hint="default" w:ascii="Times New Roman" w:hAnsi="Times New Roman" w:eastAsia="楷体_GB2312" w:cs="Times New Roman"/>
          <w:color w:val="auto"/>
          <w:sz w:val="32"/>
          <w:highlight w:val="none"/>
          <w:u w:val="none"/>
        </w:rPr>
        <w:t>培育高素质企业家。</w:t>
      </w:r>
      <w:r>
        <w:rPr>
          <w:rFonts w:hint="default" w:ascii="Times New Roman" w:hAnsi="Times New Roman" w:eastAsia="仿宋_GB2312" w:cs="Times New Roman"/>
          <w:color w:val="auto"/>
          <w:sz w:val="32"/>
          <w:highlight w:val="none"/>
          <w:u w:val="none"/>
          <w:lang w:eastAsia="zh-CN"/>
        </w:rPr>
        <w:t>加强</w:t>
      </w:r>
      <w:r>
        <w:rPr>
          <w:rFonts w:hint="default" w:ascii="Times New Roman" w:hAnsi="Times New Roman" w:eastAsia="仿宋_GB2312" w:cs="Times New Roman"/>
          <w:color w:val="auto"/>
          <w:sz w:val="32"/>
          <w:highlight w:val="none"/>
          <w:u w:val="none"/>
        </w:rPr>
        <w:t>新一代企业经营管理人才素质提升，举办企业经营管理人才</w:t>
      </w:r>
      <w:r>
        <w:rPr>
          <w:rFonts w:hint="default" w:ascii="Times New Roman" w:hAnsi="Times New Roman" w:eastAsia="仿宋_GB2312" w:cs="Times New Roman"/>
          <w:color w:val="auto"/>
          <w:sz w:val="32"/>
          <w:highlight w:val="none"/>
          <w:u w:val="none"/>
          <w:lang w:eastAsia="zh-CN"/>
        </w:rPr>
        <w:t>系列培训活动</w:t>
      </w:r>
      <w:r>
        <w:rPr>
          <w:rFonts w:hint="default" w:ascii="Times New Roman" w:hAnsi="Times New Roman" w:eastAsia="仿宋_GB2312" w:cs="Times New Roman"/>
          <w:color w:val="auto"/>
          <w:sz w:val="32"/>
          <w:highlight w:val="none"/>
          <w:u w:val="none"/>
        </w:rPr>
        <w:t>，着重提升新</w:t>
      </w:r>
      <w:r>
        <w:rPr>
          <w:rFonts w:hint="default" w:ascii="Times New Roman" w:hAnsi="Times New Roman" w:eastAsia="仿宋_GB2312" w:cs="Times New Roman"/>
          <w:color w:val="auto"/>
          <w:sz w:val="32"/>
          <w:highlight w:val="none"/>
          <w:u w:val="none"/>
          <w:lang w:val="en-US" w:eastAsia="zh-CN"/>
        </w:rPr>
        <w:t>时代</w:t>
      </w:r>
      <w:r>
        <w:rPr>
          <w:rFonts w:hint="default" w:ascii="Times New Roman" w:hAnsi="Times New Roman" w:eastAsia="仿宋_GB2312" w:cs="Times New Roman"/>
          <w:color w:val="auto"/>
          <w:sz w:val="32"/>
          <w:highlight w:val="none"/>
          <w:u w:val="none"/>
        </w:rPr>
        <w:t>企业家现代经营理念、战略管理素养和市场开拓能力。大力弘扬新时代企业家精神，支持科技创新工作突出的企业家参评劳动模范等荣誉奖励，加大对企业</w:t>
      </w:r>
      <w:r>
        <w:rPr>
          <w:rFonts w:hint="default" w:ascii="Times New Roman" w:hAnsi="Times New Roman" w:eastAsia="仿宋_GB2312" w:cs="Times New Roman"/>
          <w:color w:val="auto"/>
          <w:sz w:val="32"/>
          <w:highlight w:val="none"/>
          <w:u w:val="none"/>
          <w:lang w:val="en-US" w:eastAsia="zh-CN"/>
        </w:rPr>
        <w:t>家</w:t>
      </w:r>
      <w:r>
        <w:rPr>
          <w:rFonts w:hint="default" w:ascii="Times New Roman" w:hAnsi="Times New Roman" w:eastAsia="仿宋_GB2312" w:cs="Times New Roman"/>
          <w:color w:val="auto"/>
          <w:sz w:val="32"/>
          <w:highlight w:val="none"/>
          <w:u w:val="none"/>
        </w:rPr>
        <w:t>的激励力度，营造鼓励企业家创新的良好氛围。加强对企业家的政治引领，</w:t>
      </w:r>
      <w:r>
        <w:rPr>
          <w:rFonts w:hint="default" w:ascii="Times New Roman" w:hAnsi="Times New Roman" w:eastAsia="仿宋_GB2312" w:cs="Times New Roman"/>
          <w:color w:val="auto"/>
          <w:sz w:val="32"/>
          <w:highlight w:val="none"/>
          <w:u w:val="none"/>
          <w:lang w:eastAsia="zh-CN"/>
        </w:rPr>
        <w:t>定期</w:t>
      </w:r>
      <w:r>
        <w:rPr>
          <w:rFonts w:hint="default" w:ascii="Times New Roman" w:hAnsi="Times New Roman" w:eastAsia="仿宋_GB2312" w:cs="Times New Roman"/>
          <w:color w:val="auto"/>
          <w:sz w:val="32"/>
          <w:highlight w:val="none"/>
          <w:u w:val="none"/>
        </w:rPr>
        <w:t>召开</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企业家</w:t>
      </w:r>
      <w:r>
        <w:rPr>
          <w:rFonts w:hint="default" w:ascii="Times New Roman" w:hAnsi="Times New Roman" w:eastAsia="仿宋_GB2312" w:cs="Times New Roman"/>
          <w:color w:val="auto"/>
          <w:sz w:val="32"/>
          <w:highlight w:val="none"/>
          <w:u w:val="none"/>
          <w:lang w:val="en-US" w:eastAsia="zh-CN"/>
        </w:rPr>
        <w:t>日</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lang w:val="en-US" w:eastAsia="zh-CN"/>
        </w:rPr>
        <w:t>等活动</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引导企业家拥护党的领导，坚定理想信念，增强爱国情怀，强化社会责任。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楷体_GB2312" w:cs="Times New Roman"/>
          <w:color w:val="auto"/>
          <w:sz w:val="32"/>
          <w:highlight w:val="none"/>
          <w:u w:val="none"/>
          <w:lang w:val="en-US" w:eastAsia="zh-CN"/>
        </w:rPr>
        <w:t>优化</w:t>
      </w:r>
      <w:r>
        <w:rPr>
          <w:rFonts w:hint="default" w:ascii="Times New Roman" w:hAnsi="Times New Roman" w:eastAsia="楷体_GB2312" w:cs="Times New Roman"/>
          <w:color w:val="auto"/>
          <w:sz w:val="32"/>
          <w:highlight w:val="none"/>
          <w:u w:val="none"/>
        </w:rPr>
        <w:t>人才</w:t>
      </w:r>
      <w:r>
        <w:rPr>
          <w:rFonts w:hint="default" w:ascii="Times New Roman" w:hAnsi="Times New Roman" w:eastAsia="楷体_GB2312" w:cs="Times New Roman"/>
          <w:color w:val="auto"/>
          <w:sz w:val="32"/>
          <w:highlight w:val="none"/>
          <w:u w:val="none"/>
          <w:lang w:val="en-US" w:eastAsia="zh-CN"/>
        </w:rPr>
        <w:t>发展生态</w:t>
      </w:r>
      <w:r>
        <w:rPr>
          <w:rFonts w:hint="default" w:ascii="Times New Roman" w:hAnsi="Times New Roman" w:eastAsia="楷体_GB2312" w:cs="Times New Roman"/>
          <w:color w:val="auto"/>
          <w:sz w:val="32"/>
          <w:highlight w:val="none"/>
          <w:u w:val="none"/>
        </w:rPr>
        <w:t>。</w:t>
      </w:r>
      <w:r>
        <w:rPr>
          <w:rFonts w:hint="default" w:ascii="Times New Roman" w:hAnsi="Times New Roman" w:eastAsia="仿宋_GB2312" w:cs="Times New Roman"/>
          <w:color w:val="auto"/>
          <w:sz w:val="32"/>
          <w:highlight w:val="none"/>
          <w:u w:val="none"/>
          <w:lang w:eastAsia="zh-CN"/>
        </w:rPr>
        <w:t>健全</w:t>
      </w:r>
      <w:r>
        <w:rPr>
          <w:rFonts w:hint="default" w:ascii="Times New Roman" w:hAnsi="Times New Roman" w:eastAsia="仿宋_GB2312" w:cs="Times New Roman"/>
          <w:color w:val="auto"/>
          <w:sz w:val="32"/>
          <w:highlight w:val="none"/>
          <w:u w:val="none"/>
        </w:rPr>
        <w:t>完善党委联系</w:t>
      </w:r>
      <w:r>
        <w:rPr>
          <w:rFonts w:hint="default" w:ascii="Times New Roman" w:hAnsi="Times New Roman" w:eastAsia="仿宋_GB2312" w:cs="Times New Roman"/>
          <w:color w:val="auto"/>
          <w:sz w:val="32"/>
          <w:highlight w:val="none"/>
          <w:u w:val="none"/>
          <w:lang w:eastAsia="zh-CN"/>
        </w:rPr>
        <w:t>服务</w:t>
      </w:r>
      <w:r>
        <w:rPr>
          <w:rFonts w:hint="default" w:ascii="Times New Roman" w:hAnsi="Times New Roman" w:eastAsia="仿宋_GB2312" w:cs="Times New Roman"/>
          <w:color w:val="auto"/>
          <w:sz w:val="32"/>
          <w:highlight w:val="none"/>
          <w:u w:val="none"/>
        </w:rPr>
        <w:t>专家</w:t>
      </w:r>
      <w:r>
        <w:rPr>
          <w:rFonts w:hint="default" w:ascii="Times New Roman" w:hAnsi="Times New Roman" w:eastAsia="仿宋_GB2312" w:cs="Times New Roman"/>
          <w:color w:val="auto"/>
          <w:sz w:val="32"/>
          <w:highlight w:val="none"/>
          <w:u w:val="none"/>
          <w:lang w:eastAsia="zh-CN"/>
        </w:rPr>
        <w:t>工作机制</w:t>
      </w:r>
      <w:r>
        <w:rPr>
          <w:rFonts w:hint="default" w:ascii="Times New Roman" w:hAnsi="Times New Roman" w:eastAsia="仿宋_GB2312" w:cs="Times New Roman"/>
          <w:color w:val="auto"/>
          <w:sz w:val="32"/>
          <w:highlight w:val="none"/>
          <w:u w:val="none"/>
        </w:rPr>
        <w:t>，统筹解决人才创业融资、政务服务、政策申领和生活保障等问题，</w:t>
      </w:r>
      <w:r>
        <w:rPr>
          <w:rFonts w:hint="default" w:ascii="Times New Roman" w:hAnsi="Times New Roman" w:eastAsia="仿宋_GB2312" w:cs="Times New Roman"/>
          <w:color w:val="auto"/>
          <w:sz w:val="32"/>
          <w:highlight w:val="none"/>
          <w:u w:val="none"/>
          <w:lang w:eastAsia="zh-CN"/>
        </w:rPr>
        <w:t>高效解决高层次人才关心的“关键小事”，</w:t>
      </w:r>
      <w:r>
        <w:rPr>
          <w:rFonts w:hint="default" w:ascii="Times New Roman" w:hAnsi="Times New Roman" w:eastAsia="仿宋_GB2312" w:cs="Times New Roman"/>
          <w:color w:val="auto"/>
          <w:sz w:val="32"/>
          <w:highlight w:val="none"/>
          <w:u w:val="none"/>
        </w:rPr>
        <w:t>提升人才服务质效</w:t>
      </w:r>
      <w:r>
        <w:rPr>
          <w:rFonts w:hint="default" w:ascii="Times New Roman" w:hAnsi="Times New Roman" w:eastAsia="仿宋_GB2312" w:cs="Times New Roman"/>
          <w:color w:val="auto"/>
          <w:sz w:val="32"/>
          <w:highlight w:val="none"/>
          <w:u w:val="none"/>
          <w:lang w:eastAsia="zh-CN"/>
        </w:rPr>
        <w:t>。优化提升</w:t>
      </w:r>
      <w:r>
        <w:rPr>
          <w:rFonts w:hint="default" w:ascii="Times New Roman" w:hAnsi="Times New Roman" w:eastAsia="仿宋_GB2312" w:cs="Times New Roman"/>
          <w:color w:val="auto"/>
          <w:sz w:val="32"/>
          <w:highlight w:val="none"/>
          <w:u w:val="none"/>
        </w:rPr>
        <w:t>高层次人才</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一站式</w:t>
      </w:r>
      <w:r>
        <w:rPr>
          <w:rFonts w:hint="default" w:ascii="Times New Roman" w:hAnsi="Times New Roman" w:eastAsia="仿宋_GB2312" w:cs="Times New Roman"/>
          <w:color w:val="auto"/>
          <w:sz w:val="32"/>
          <w:highlight w:val="none"/>
          <w:u w:val="none"/>
          <w:lang w:eastAsia="zh-CN"/>
        </w:rPr>
        <w:t>”</w:t>
      </w:r>
      <w:r>
        <w:rPr>
          <w:rFonts w:hint="default" w:ascii="Times New Roman" w:hAnsi="Times New Roman" w:eastAsia="仿宋_GB2312" w:cs="Times New Roman"/>
          <w:color w:val="auto"/>
          <w:sz w:val="32"/>
          <w:highlight w:val="none"/>
          <w:u w:val="none"/>
        </w:rPr>
        <w:t>绿色通道服务，</w:t>
      </w:r>
      <w:r>
        <w:rPr>
          <w:rFonts w:hint="default" w:ascii="Times New Roman" w:hAnsi="Times New Roman" w:eastAsia="仿宋_GB2312" w:cs="Times New Roman"/>
          <w:color w:val="auto"/>
          <w:sz w:val="32"/>
          <w:highlight w:val="none"/>
          <w:u w:val="none"/>
          <w:lang w:eastAsia="zh-CN"/>
        </w:rPr>
        <w:t>推进</w:t>
      </w:r>
      <w:r>
        <w:rPr>
          <w:rFonts w:hint="default" w:ascii="Times New Roman" w:hAnsi="Times New Roman" w:eastAsia="仿宋_GB2312" w:cs="Times New Roman"/>
          <w:color w:val="auto"/>
          <w:sz w:val="32"/>
          <w:highlight w:val="none"/>
          <w:u w:val="none"/>
          <w:lang w:val="en-US" w:eastAsia="zh-CN"/>
        </w:rPr>
        <w:t>人才公寓建设运营，</w:t>
      </w:r>
      <w:r>
        <w:rPr>
          <w:rFonts w:hint="default" w:ascii="Times New Roman" w:hAnsi="Times New Roman" w:eastAsia="仿宋_GB2312" w:cs="Times New Roman"/>
          <w:color w:val="auto"/>
          <w:sz w:val="32"/>
          <w:highlight w:val="none"/>
          <w:u w:val="none"/>
        </w:rPr>
        <w:t>完善</w:t>
      </w:r>
      <w:r>
        <w:rPr>
          <w:rFonts w:hint="default" w:ascii="Times New Roman" w:hAnsi="Times New Roman" w:eastAsia="仿宋_GB2312" w:cs="Times New Roman"/>
          <w:color w:val="auto"/>
          <w:sz w:val="32"/>
          <w:highlight w:val="none"/>
          <w:u w:val="none"/>
          <w:lang w:val="en-US" w:eastAsia="zh-CN"/>
        </w:rPr>
        <w:t>青年人才</w:t>
      </w:r>
      <w:r>
        <w:rPr>
          <w:rFonts w:hint="default" w:ascii="Times New Roman" w:hAnsi="Times New Roman" w:eastAsia="仿宋_GB2312" w:cs="Times New Roman"/>
          <w:color w:val="auto"/>
          <w:sz w:val="32"/>
          <w:highlight w:val="none"/>
          <w:u w:val="none"/>
        </w:rPr>
        <w:t>驿站服务功能，集聚更多</w:t>
      </w:r>
      <w:r>
        <w:rPr>
          <w:rFonts w:hint="default" w:ascii="Times New Roman" w:hAnsi="Times New Roman" w:eastAsia="仿宋_GB2312" w:cs="Times New Roman"/>
          <w:color w:val="auto"/>
          <w:sz w:val="32"/>
          <w:highlight w:val="none"/>
          <w:u w:val="none"/>
          <w:lang w:eastAsia="zh-CN"/>
        </w:rPr>
        <w:t>优秀</w:t>
      </w:r>
      <w:r>
        <w:rPr>
          <w:rFonts w:hint="default" w:ascii="Times New Roman" w:hAnsi="Times New Roman" w:eastAsia="仿宋_GB2312" w:cs="Times New Roman"/>
          <w:color w:val="auto"/>
          <w:sz w:val="32"/>
          <w:highlight w:val="none"/>
          <w:u w:val="none"/>
        </w:rPr>
        <w:t>人才来</w:t>
      </w:r>
      <w:r>
        <w:rPr>
          <w:rFonts w:hint="default" w:ascii="Times New Roman" w:hAnsi="Times New Roman" w:eastAsia="仿宋_GB2312" w:cs="Times New Roman"/>
          <w:color w:val="auto"/>
          <w:sz w:val="32"/>
          <w:highlight w:val="none"/>
          <w:u w:val="none"/>
          <w:lang w:eastAsia="zh-CN"/>
        </w:rPr>
        <w:t>乳</w:t>
      </w:r>
      <w:r>
        <w:rPr>
          <w:rFonts w:hint="default" w:ascii="Times New Roman" w:hAnsi="Times New Roman" w:eastAsia="仿宋_GB2312" w:cs="Times New Roman"/>
          <w:color w:val="auto"/>
          <w:sz w:val="32"/>
          <w:highlight w:val="none"/>
          <w:u w:val="none"/>
        </w:rPr>
        <w:t>创新创业。</w:t>
      </w:r>
      <w:r>
        <w:rPr>
          <w:rFonts w:hint="default" w:ascii="Times New Roman" w:hAnsi="Times New Roman" w:eastAsia="仿宋_GB2312" w:cs="Times New Roman"/>
          <w:b w:val="0"/>
          <w:bCs w:val="0"/>
          <w:color w:val="auto"/>
          <w:sz w:val="32"/>
          <w:szCs w:val="32"/>
          <w:highlight w:val="none"/>
          <w:u w:val="none"/>
          <w:lang w:val="en-US" w:eastAsia="zh-CN"/>
        </w:rPr>
        <w:t>擦亮“感知乳山”活动品牌，</w:t>
      </w:r>
      <w:r>
        <w:rPr>
          <w:rFonts w:hint="default" w:ascii="Times New Roman" w:hAnsi="Times New Roman" w:eastAsia="仿宋_GB2312" w:cs="Times New Roman"/>
          <w:color w:val="auto"/>
          <w:sz w:val="32"/>
          <w:szCs w:val="32"/>
          <w:highlight w:val="none"/>
          <w:u w:val="none"/>
          <w:lang w:val="en-US" w:eastAsia="zh-CN"/>
        </w:rPr>
        <w:t>组织高校学子进企业、进园区、进社区考察交流，为深化校企合作、大学生留乳就业搭建平台。强化科普公共服务能力，推进科学技术馆建设，全面提升全民科学素质。</w:t>
      </w:r>
    </w:p>
    <w:p>
      <w:pPr>
        <w:pStyle w:val="3"/>
        <w:keepNext/>
        <w:keepLines/>
        <w:pageBreakBefore w:val="0"/>
        <w:widowControl w:val="0"/>
        <w:kinsoku/>
        <w:wordWrap/>
        <w:overflowPunct/>
        <w:topLinePunct w:val="0"/>
        <w:autoSpaceDE/>
        <w:autoSpaceDN/>
        <w:bidi w:val="0"/>
        <w:spacing w:before="157" w:after="157" w:line="570" w:lineRule="exact"/>
        <w:textAlignment w:val="auto"/>
        <w:rPr>
          <w:rFonts w:hint="default" w:ascii="Times New Roman" w:hAnsi="Times New Roman" w:eastAsia="楷体_GB2312" w:cs="Times New Roman"/>
          <w:snapToGrid w:val="0"/>
          <w:color w:val="auto"/>
          <w:kern w:val="2"/>
          <w:sz w:val="32"/>
          <w:szCs w:val="32"/>
          <w:highlight w:val="none"/>
          <w:lang w:val="en-US" w:eastAsia="zh-CN" w:bidi="ar-SA"/>
        </w:rPr>
      </w:pPr>
      <w:bookmarkStart w:id="162" w:name="_Toc10333"/>
      <w:r>
        <w:rPr>
          <w:rFonts w:hint="default" w:ascii="Times New Roman" w:hAnsi="Times New Roman" w:eastAsia="楷体_GB2312" w:cs="Times New Roman"/>
          <w:snapToGrid w:val="0"/>
          <w:color w:val="auto"/>
          <w:kern w:val="2"/>
          <w:sz w:val="32"/>
          <w:szCs w:val="32"/>
          <w:highlight w:val="none"/>
          <w:lang w:val="en-US" w:eastAsia="zh-CN" w:bidi="ar-SA"/>
        </w:rPr>
        <w:t>第</w:t>
      </w:r>
      <w:r>
        <w:rPr>
          <w:rFonts w:hint="default" w:ascii="Times New Roman" w:hAnsi="Times New Roman" w:cs="Times New Roman"/>
          <w:snapToGrid w:val="0"/>
          <w:color w:val="auto"/>
          <w:kern w:val="2"/>
          <w:sz w:val="32"/>
          <w:szCs w:val="32"/>
          <w:highlight w:val="none"/>
          <w:lang w:val="en-US" w:eastAsia="zh-CN" w:bidi="ar-SA"/>
        </w:rPr>
        <w:t>四</w:t>
      </w:r>
      <w:r>
        <w:rPr>
          <w:rFonts w:hint="default" w:ascii="Times New Roman" w:hAnsi="Times New Roman" w:eastAsia="楷体_GB2312" w:cs="Times New Roman"/>
          <w:snapToGrid w:val="0"/>
          <w:color w:val="auto"/>
          <w:kern w:val="2"/>
          <w:sz w:val="32"/>
          <w:szCs w:val="32"/>
          <w:highlight w:val="none"/>
          <w:lang w:val="en-US" w:eastAsia="zh-CN" w:bidi="ar-SA"/>
        </w:rPr>
        <w:t>节</w:t>
      </w:r>
      <w:r>
        <w:rPr>
          <w:rFonts w:hint="default" w:ascii="Times New Roman" w:hAnsi="Times New Roman" w:cs="Times New Roman"/>
          <w:snapToGrid w:val="0"/>
          <w:color w:val="auto"/>
          <w:kern w:val="2"/>
          <w:sz w:val="32"/>
          <w:szCs w:val="32"/>
          <w:highlight w:val="none"/>
          <w:lang w:val="en-US" w:eastAsia="zh-CN" w:bidi="ar-SA"/>
        </w:rPr>
        <w:t xml:space="preserve"> </w:t>
      </w:r>
      <w:r>
        <w:rPr>
          <w:rFonts w:hint="default" w:ascii="Times New Roman" w:hAnsi="Times New Roman" w:eastAsia="楷体_GB2312" w:cs="Times New Roman"/>
          <w:snapToGrid w:val="0"/>
          <w:color w:val="auto"/>
          <w:kern w:val="2"/>
          <w:sz w:val="32"/>
          <w:szCs w:val="32"/>
          <w:highlight w:val="none"/>
          <w:lang w:val="en-US" w:eastAsia="zh-CN" w:bidi="ar-SA"/>
        </w:rPr>
        <w:t>积极推动数实融合发展</w:t>
      </w:r>
      <w:bookmarkEnd w:id="157"/>
      <w:bookmarkEnd w:id="158"/>
      <w:bookmarkEnd w:id="159"/>
      <w:bookmarkEnd w:id="160"/>
      <w:bookmarkEnd w:id="161"/>
      <w:bookmarkEnd w:id="162"/>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统筹推进数字产业化和产业数字化，实施工业互联网创新发展工程，场景化推进重点行业数字化转型，全面释放实体经济和数字经济融合效能。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系统布局数字基础设施。</w:t>
      </w:r>
      <w:r>
        <w:rPr>
          <w:rFonts w:hint="default" w:ascii="Times New Roman" w:hAnsi="Times New Roman" w:eastAsia="仿宋_GB2312" w:cs="Times New Roman"/>
          <w:color w:val="auto"/>
          <w:sz w:val="32"/>
          <w:szCs w:val="32"/>
          <w:highlight w:val="none"/>
          <w:lang w:val="en-US" w:eastAsia="zh-CN"/>
        </w:rPr>
        <w:t>持续深化数字乳山、数字政府建设，加快高质量广应用5G网络建设，加大5G网络在重点区域部署力度，保障核心产业园区、工业集聚区、旅游度假区等实现5G信号优质覆盖，争取2030年累计建成5G基站1700座以上。持续推进5G网络演进升级，探索6G、卫星互联网等新技术应用；拓展5G赋能广度，聚焦智能制造、港口交通、海洋产业、文旅医疗等关键领域，深入推动5G应用示范创新。</w:t>
      </w:r>
    </w:p>
    <w:p>
      <w:pPr>
        <w:keepNext w:val="0"/>
        <w:keepLines w:val="0"/>
        <w:pageBreakBefore w:val="0"/>
        <w:widowControl w:val="0"/>
        <w:kinsoku/>
        <w:wordWrap/>
        <w:overflowPunct/>
        <w:topLinePunct w:val="0"/>
        <w:autoSpaceDE/>
        <w:autoSpaceDN/>
        <w:bidi w:val="0"/>
        <w:adjustRightInd/>
        <w:snapToGrid/>
        <w:spacing w:afterLines="0"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深化产业数字化赋能。</w:t>
      </w:r>
      <w:r>
        <w:rPr>
          <w:rFonts w:hint="default" w:ascii="Times New Roman" w:hAnsi="Times New Roman" w:eastAsia="仿宋_GB2312" w:cs="Times New Roman"/>
          <w:color w:val="auto"/>
          <w:sz w:val="32"/>
          <w:szCs w:val="32"/>
          <w:highlight w:val="none"/>
          <w:lang w:val="en-US" w:eastAsia="zh-CN"/>
        </w:rPr>
        <w:t>全面释放实体经济和数字经济融合效能，实施制造业数字化转型提标行动，推进智能化、数字化技术及装备在制造业关键环节深度应用，力争到2030年，规模以上工业企业数字化转型覆盖率达到90%左右，关键工序数控化率达到75%左右。加快布局建设汽车零部件和整车制造、新能源装备制造“产业大脑”，促进企业向“互联网+智能制造”“云+智能制造”转型升级。推进“行业大模型”赋能先进制造业，鼓励行业龙头企业联合大模型企业主动布局特色优势行业，形成一批行业级大模型产品，助力研发、设计、生产环节智能化升级。推动工业互联网融合创新发展，以“工赋威海·数智引航”行动为牵引，推广“平台+新技术、+新模式、+新场景”解决方案</w:t>
      </w:r>
      <w:r>
        <w:rPr>
          <w:rFonts w:hint="default" w:ascii="Times New Roman" w:hAnsi="Times New Roman" w:eastAsia="仿宋_GB2312" w:cs="Times New Roman"/>
          <w:color w:val="auto"/>
          <w:sz w:val="32"/>
          <w:szCs w:val="32"/>
          <w:highlight w:val="none"/>
          <w:lang w:eastAsia="zh-CN"/>
        </w:rPr>
        <w:t>，打造以龙头骨干企业为核心、高校院所参与、辐射带动中小企业成长的平台经济生态。</w:t>
      </w:r>
      <w:r>
        <w:rPr>
          <w:rFonts w:hint="default" w:ascii="Times New Roman" w:hAnsi="Times New Roman" w:eastAsia="仿宋_GB2312" w:cs="Times New Roman"/>
          <w:color w:val="auto"/>
          <w:sz w:val="32"/>
          <w:szCs w:val="32"/>
          <w:highlight w:val="none"/>
          <w:lang w:val="en-US" w:eastAsia="zh-CN"/>
        </w:rPr>
        <w:t>到“十五五”末，新培育省级以上工业互联网类试点示范15个以上，新增省市级智能工厂15家以上。</w:t>
      </w:r>
    </w:p>
    <w:p>
      <w:pPr>
        <w:pStyle w:val="27"/>
        <w:keepNext w:val="0"/>
        <w:keepLines w:val="0"/>
        <w:pageBreakBefore w:val="0"/>
        <w:widowControl w:val="0"/>
        <w:kinsoku/>
        <w:wordWrap/>
        <w:overflowPunct/>
        <w:topLinePunct w:val="0"/>
        <w:autoSpaceDE/>
        <w:autoSpaceDN/>
        <w:bidi w:val="0"/>
        <w:adjustRightInd/>
        <w:snapToGrid/>
        <w:spacing w:after="0" w:afterLines="0"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推动企业数字化转型</w:t>
      </w:r>
      <w:r>
        <w:rPr>
          <w:rFonts w:hint="default" w:ascii="Times New Roman" w:hAnsi="Times New Roman" w:eastAsia="仿宋_GB2312" w:cs="Times New Roman"/>
          <w:color w:val="auto"/>
          <w:sz w:val="32"/>
          <w:szCs w:val="32"/>
          <w:highlight w:val="none"/>
          <w:lang w:val="en-US" w:eastAsia="zh-CN"/>
        </w:rPr>
        <w:t>。实施工业企业智能制造行动，加快企业“上云用数赋智”，支持劳动力密集型、作业环境恶劣、高安全风险等行业企业开展“机器换人”工程，推动应用工业机器人智能装备对传统生产线或生产系统进行技术改造，培育一批智能工厂。支持企业构建“智慧中枢”，建立数据采集分析系统和制造执行系统，实现全供应链、全生产线、全生命周期科学管控，推动流程优化和模式重塑。引进工业互联网服务商2家以上，为企业提供数字化诊断、方案设计、技术改造等服务。开展数字化转型培训，每年培训企业负责人和技术骨干300人次以上，为新型工业化注入强劲动力。</w:t>
      </w:r>
    </w:p>
    <w:tbl>
      <w:tblPr>
        <w:tblStyle w:val="19"/>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6" w:hRule="atLeast"/>
        </w:trPr>
        <w:tc>
          <w:tcPr>
            <w:tcW w:w="8815" w:type="dxa"/>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黑体" w:cs="Times New Roman"/>
                <w:b w:val="0"/>
                <w:bCs w:val="0"/>
                <w:color w:val="auto"/>
                <w:sz w:val="28"/>
                <w:szCs w:val="28"/>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专栏11：提升科技创新能力重点项目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65" w:hRule="atLeast"/>
        </w:trPr>
        <w:tc>
          <w:tcPr>
            <w:tcW w:w="8815" w:type="dxa"/>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cs="Times New Roman"/>
                <w:i w:val="0"/>
                <w:iCs w:val="0"/>
                <w:color w:val="auto"/>
                <w:kern w:val="0"/>
                <w:sz w:val="24"/>
                <w:szCs w:val="24"/>
                <w:highlight w:val="none"/>
                <w:u w:val="none"/>
                <w:lang w:val="en-US" w:eastAsia="zh-CN" w:bidi="ar"/>
              </w:rPr>
            </w:pPr>
            <w:bookmarkStart w:id="163" w:name="_Toc14433"/>
            <w:r>
              <w:rPr>
                <w:rFonts w:hint="default" w:ascii="Times New Roman" w:hAnsi="Times New Roman" w:eastAsia="仿宋_GB2312" w:cs="Times New Roman"/>
                <w:b w:val="0"/>
                <w:bCs w:val="0"/>
                <w:color w:val="auto"/>
                <w:sz w:val="28"/>
                <w:szCs w:val="28"/>
                <w:highlight w:val="none"/>
                <w:lang w:val="en-US" w:eastAsia="zh-CN"/>
              </w:rPr>
              <w:t>风洞实验室项目，山东外事职业大学产教融合示范基地项目，威海韩孚生化药业有限公司农药2,4-D原药分离萃取除盐关键技术研发项目，威海鑫宝食品有限公司灰树花育种体系构建及工厂化栽培技术研发项目，人才综合服务中心项目，山东外事职业大学东校区2＃国际交流中心建设项目，乳山市丰浩升航天科技有限公司航天育种项目等。</w:t>
            </w:r>
            <w:bookmarkEnd w:id="163"/>
          </w:p>
        </w:tc>
      </w:tr>
    </w:tbl>
    <w:p>
      <w:pPr>
        <w:pStyle w:val="2"/>
        <w:keepLines w:val="0"/>
        <w:pageBreakBefore w:val="0"/>
        <w:widowControl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164" w:name="_Toc21105"/>
      <w:bookmarkStart w:id="165" w:name="_Toc18779"/>
      <w:bookmarkStart w:id="166" w:name="_Toc31471"/>
      <w:bookmarkStart w:id="167" w:name="_Toc18609"/>
      <w:bookmarkStart w:id="168" w:name="_Toc25084"/>
      <w:bookmarkStart w:id="169" w:name="_Toc19396"/>
    </w:p>
    <w:p>
      <w:pPr>
        <w:pStyle w:val="2"/>
        <w:keepLines w:val="0"/>
        <w:pageBreakBefore w:val="0"/>
        <w:widowControl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第五章 全方位扩大内需，</w:t>
      </w:r>
      <w:bookmarkEnd w:id="111"/>
      <w:bookmarkEnd w:id="112"/>
      <w:bookmarkEnd w:id="113"/>
      <w:bookmarkEnd w:id="164"/>
      <w:bookmarkEnd w:id="165"/>
      <w:bookmarkEnd w:id="166"/>
      <w:bookmarkEnd w:id="167"/>
      <w:bookmarkEnd w:id="168"/>
      <w:r>
        <w:rPr>
          <w:rFonts w:hint="default" w:ascii="Times New Roman" w:hAnsi="Times New Roman" w:eastAsia="黑体" w:cs="Times New Roman"/>
          <w:b w:val="0"/>
          <w:bCs w:val="0"/>
          <w:color w:val="auto"/>
          <w:sz w:val="32"/>
          <w:szCs w:val="32"/>
          <w:highlight w:val="none"/>
          <w:lang w:val="en-US" w:eastAsia="zh-CN"/>
        </w:rPr>
        <w:t>深度融入和服务新发展格局</w:t>
      </w:r>
      <w:bookmarkEnd w:id="169"/>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color w:val="auto"/>
          <w:spacing w:val="0"/>
          <w:kern w:val="2"/>
          <w:sz w:val="32"/>
          <w:szCs w:val="32"/>
          <w:highlight w:val="none"/>
          <w:lang w:val="en-US" w:eastAsia="zh-CN" w:bidi="ar-SA"/>
        </w:rPr>
      </w:pPr>
      <w:bookmarkStart w:id="170" w:name="_Toc12773"/>
      <w:bookmarkStart w:id="171" w:name="_Toc20421"/>
      <w:r>
        <w:rPr>
          <w:rFonts w:hint="default" w:ascii="Times New Roman" w:hAnsi="Times New Roman" w:eastAsia="仿宋_GB2312" w:cs="Times New Roman"/>
          <w:i w:val="0"/>
          <w:iCs w:val="0"/>
          <w:caps w:val="0"/>
          <w:color w:val="auto"/>
          <w:spacing w:val="0"/>
          <w:kern w:val="2"/>
          <w:sz w:val="32"/>
          <w:szCs w:val="32"/>
          <w:highlight w:val="none"/>
          <w:shd w:val="clear"/>
        </w:rPr>
        <w:t>坚持扩大内需战略基点</w:t>
      </w:r>
      <w:r>
        <w:rPr>
          <w:rFonts w:hint="default" w:ascii="Times New Roman" w:hAnsi="Times New Roman" w:eastAsia="仿宋_GB2312" w:cs="Times New Roman"/>
          <w:i w:val="0"/>
          <w:iCs w:val="0"/>
          <w:caps w:val="0"/>
          <w:color w:val="auto"/>
          <w:spacing w:val="0"/>
          <w:kern w:val="2"/>
          <w:sz w:val="32"/>
          <w:szCs w:val="32"/>
          <w:highlight w:val="none"/>
          <w:shd w:val="clear"/>
          <w:lang w:val="en-US" w:eastAsia="zh-CN"/>
        </w:rPr>
        <w:t>不动摇</w:t>
      </w:r>
      <w:r>
        <w:rPr>
          <w:rFonts w:hint="default" w:ascii="Times New Roman" w:hAnsi="Times New Roman" w:eastAsia="仿宋_GB2312" w:cs="Times New Roman"/>
          <w:i w:val="0"/>
          <w:iCs w:val="0"/>
          <w:caps w:val="0"/>
          <w:color w:val="auto"/>
          <w:spacing w:val="0"/>
          <w:kern w:val="2"/>
          <w:sz w:val="32"/>
          <w:szCs w:val="32"/>
          <w:highlight w:val="none"/>
          <w:shd w:val="clear"/>
        </w:rPr>
        <w:t>，</w:t>
      </w:r>
      <w:r>
        <w:rPr>
          <w:rFonts w:hint="default" w:ascii="Times New Roman" w:hAnsi="Times New Roman" w:eastAsia="仿宋_GB2312" w:cs="Times New Roman"/>
          <w:b w:val="0"/>
          <w:bCs w:val="0"/>
          <w:color w:val="auto"/>
          <w:sz w:val="32"/>
          <w:szCs w:val="32"/>
          <w:highlight w:val="none"/>
          <w:lang w:val="en-US" w:eastAsia="zh-CN"/>
        </w:rPr>
        <w:t>坚持惠民生和促消费、投资于物和投资于人紧密结合，</w:t>
      </w:r>
      <w:r>
        <w:rPr>
          <w:rFonts w:hint="default" w:ascii="Times New Roman" w:hAnsi="Times New Roman" w:eastAsia="仿宋_GB2312" w:cs="Times New Roman"/>
          <w:color w:val="auto"/>
          <w:spacing w:val="0"/>
          <w:kern w:val="2"/>
          <w:sz w:val="32"/>
          <w:szCs w:val="32"/>
          <w:highlight w:val="none"/>
          <w:lang w:val="en-US" w:eastAsia="zh-CN" w:bidi="ar-SA"/>
        </w:rPr>
        <w:t>持续释放消费潜力，扩大有效投资，深化供需良性互动，主动服务融入全国统一大市场，更好助力国内大循环。</w:t>
      </w:r>
    </w:p>
    <w:bookmarkEnd w:id="170"/>
    <w:p>
      <w:pPr>
        <w:pStyle w:val="3"/>
        <w:keepNext w:val="0"/>
        <w:keepLines w:val="0"/>
        <w:pageBreakBefore w:val="0"/>
        <w:widowControl w:val="0"/>
        <w:kinsoku/>
        <w:wordWrap/>
        <w:overflowPunct/>
        <w:topLinePunct w:val="0"/>
        <w:bidi w:val="0"/>
        <w:spacing w:before="50" w:beforeLines="50" w:beforeAutospacing="0" w:after="50" w:afterLines="50" w:afterAutospacing="0" w:line="570" w:lineRule="exact"/>
        <w:ind w:firstLine="0" w:firstLineChars="0"/>
        <w:rPr>
          <w:rFonts w:hint="default" w:ascii="Times New Roman" w:hAnsi="Times New Roman" w:cs="Times New Roman"/>
          <w:snapToGrid w:val="0"/>
          <w:color w:val="auto"/>
          <w:sz w:val="32"/>
          <w:highlight w:val="none"/>
          <w:lang w:val="en-US" w:eastAsia="zh-CN"/>
        </w:rPr>
      </w:pPr>
      <w:bookmarkStart w:id="172" w:name="_Toc25399"/>
      <w:bookmarkStart w:id="173" w:name="_Toc14727"/>
      <w:bookmarkStart w:id="174" w:name="_Toc70"/>
      <w:bookmarkStart w:id="175" w:name="_Toc7827"/>
      <w:bookmarkStart w:id="176" w:name="_Toc7116"/>
      <w:bookmarkStart w:id="177" w:name="_Toc28792"/>
      <w:bookmarkStart w:id="178" w:name="_Toc10538"/>
      <w:bookmarkStart w:id="179" w:name="_Toc29084"/>
      <w:r>
        <w:rPr>
          <w:rFonts w:hint="default" w:ascii="Times New Roman" w:hAnsi="Times New Roman" w:cs="Times New Roman"/>
          <w:snapToGrid w:val="0"/>
          <w:color w:val="auto"/>
          <w:sz w:val="32"/>
          <w:highlight w:val="none"/>
          <w:lang w:val="en-US" w:eastAsia="zh-CN"/>
        </w:rPr>
        <w:t>第一节 促进消费市场扩容提质</w:t>
      </w:r>
      <w:bookmarkEnd w:id="171"/>
      <w:bookmarkEnd w:id="172"/>
      <w:bookmarkEnd w:id="173"/>
      <w:bookmarkEnd w:id="174"/>
      <w:bookmarkEnd w:id="175"/>
      <w:bookmarkEnd w:id="176"/>
      <w:bookmarkEnd w:id="177"/>
      <w:bookmarkEnd w:id="178"/>
      <w:bookmarkEnd w:id="179"/>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lang w:eastAsia="zh-CN"/>
        </w:rPr>
      </w:pPr>
      <w:bookmarkStart w:id="180" w:name="OLE_LINK26"/>
      <w:r>
        <w:rPr>
          <w:rFonts w:hint="default" w:ascii="Times New Roman" w:hAnsi="Times New Roman" w:eastAsia="仿宋_GB2312" w:cs="Times New Roman"/>
          <w:color w:val="auto"/>
          <w:spacing w:val="0"/>
          <w:sz w:val="32"/>
          <w:szCs w:val="32"/>
          <w:highlight w:val="none"/>
          <w:lang w:val="en-US" w:eastAsia="zh-CN"/>
        </w:rPr>
        <w:t>深入实施提振消费专项行动，持续</w:t>
      </w:r>
      <w:r>
        <w:rPr>
          <w:rFonts w:hint="default" w:ascii="Times New Roman" w:hAnsi="Times New Roman" w:eastAsia="仿宋_GB2312" w:cs="Times New Roman"/>
          <w:color w:val="auto"/>
          <w:spacing w:val="0"/>
          <w:sz w:val="32"/>
          <w:szCs w:val="32"/>
          <w:highlight w:val="none"/>
        </w:rPr>
        <w:t>提升</w:t>
      </w:r>
      <w:r>
        <w:rPr>
          <w:rFonts w:hint="default" w:ascii="Times New Roman" w:hAnsi="Times New Roman" w:eastAsia="仿宋_GB2312" w:cs="Times New Roman"/>
          <w:color w:val="auto"/>
          <w:spacing w:val="0"/>
          <w:sz w:val="32"/>
          <w:szCs w:val="32"/>
          <w:highlight w:val="none"/>
          <w:lang w:eastAsia="zh-CN"/>
        </w:rPr>
        <w:t>消费</w:t>
      </w:r>
      <w:r>
        <w:rPr>
          <w:rFonts w:hint="default" w:ascii="Times New Roman" w:hAnsi="Times New Roman" w:eastAsia="仿宋_GB2312" w:cs="Times New Roman"/>
          <w:color w:val="auto"/>
          <w:spacing w:val="0"/>
          <w:sz w:val="32"/>
          <w:szCs w:val="32"/>
          <w:highlight w:val="none"/>
        </w:rPr>
        <w:t>品质</w:t>
      </w:r>
      <w:r>
        <w:rPr>
          <w:rFonts w:hint="default" w:ascii="Times New Roman" w:hAnsi="Times New Roman" w:eastAsia="仿宋_GB2312" w:cs="Times New Roman"/>
          <w:color w:val="auto"/>
          <w:spacing w:val="0"/>
          <w:sz w:val="32"/>
          <w:szCs w:val="32"/>
          <w:highlight w:val="none"/>
          <w:lang w:eastAsia="zh-CN"/>
        </w:rPr>
        <w:t>，挖掘培育</w:t>
      </w:r>
      <w:r>
        <w:rPr>
          <w:rFonts w:hint="default" w:ascii="Times New Roman" w:hAnsi="Times New Roman" w:eastAsia="仿宋_GB2312" w:cs="Times New Roman"/>
          <w:color w:val="auto"/>
          <w:spacing w:val="0"/>
          <w:sz w:val="32"/>
          <w:szCs w:val="32"/>
          <w:highlight w:val="none"/>
        </w:rPr>
        <w:t>消费热点</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丰富消费场景</w:t>
      </w:r>
      <w:bookmarkEnd w:id="180"/>
      <w:r>
        <w:rPr>
          <w:rFonts w:hint="default" w:ascii="Times New Roman" w:hAnsi="Times New Roman" w:eastAsia="仿宋_GB2312" w:cs="Times New Roman"/>
          <w:color w:val="auto"/>
          <w:spacing w:val="0"/>
          <w:sz w:val="32"/>
          <w:szCs w:val="32"/>
          <w:highlight w:val="none"/>
        </w:rPr>
        <w:t>，以高品质供给引领和创造新需</w:t>
      </w:r>
      <w:r>
        <w:rPr>
          <w:rFonts w:hint="default" w:ascii="Times New Roman" w:hAnsi="Times New Roman" w:eastAsia="仿宋_GB2312" w:cs="Times New Roman"/>
          <w:color w:val="auto"/>
          <w:spacing w:val="0"/>
          <w:sz w:val="32"/>
          <w:szCs w:val="32"/>
          <w:highlight w:val="none"/>
          <w:lang w:val="en-US" w:eastAsia="zh-CN"/>
        </w:rPr>
        <w:t>求</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激发消费潜能</w:t>
      </w:r>
      <w:r>
        <w:rPr>
          <w:rFonts w:hint="default" w:ascii="Times New Roman" w:hAnsi="Times New Roman" w:eastAsia="仿宋_GB2312" w:cs="Times New Roman"/>
          <w:color w:val="auto"/>
          <w:spacing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rPr>
        <w:t>建设多层级消费载体</w:t>
      </w:r>
      <w:r>
        <w:rPr>
          <w:rFonts w:hint="default" w:ascii="Times New Roman" w:hAnsi="Times New Roman" w:eastAsia="楷体_GB2312" w:cs="Times New Roman"/>
          <w:b w:val="0"/>
          <w:bCs w:val="0"/>
          <w:color w:val="auto"/>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以打造滨海旅居康养目的地为引领，</w:t>
      </w:r>
      <w:r>
        <w:rPr>
          <w:rFonts w:hint="default" w:ascii="Times New Roman" w:hAnsi="Times New Roman" w:eastAsia="仿宋_GB2312" w:cs="Times New Roman"/>
          <w:b w:val="0"/>
          <w:bCs w:val="0"/>
          <w:color w:val="auto"/>
          <w:spacing w:val="0"/>
          <w:sz w:val="32"/>
          <w:szCs w:val="32"/>
          <w:highlight w:val="none"/>
          <w:lang w:eastAsia="zh-CN"/>
        </w:rPr>
        <w:t>聚焦“差异化定位、全业态覆盖、主客群共享”目标，构建“核心商圈+特色街区+社区便民圈”多层级消费载体</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bCs/>
          <w:color w:val="auto"/>
          <w:sz w:val="32"/>
          <w:szCs w:val="32"/>
          <w:highlight w:val="none"/>
          <w:lang w:val="en-US" w:eastAsia="zh-CN"/>
        </w:rPr>
        <w:t>依托九龙汇、外事大、利群阳光海岸、银滩夜间消费集聚区等重点商圈及特色商业街区，培育首发经济、悦己经济、票根经济、银发经济，丰富高品质消费品和服务供给。持续深化“商旅文体健”发展模式，用足用好宫家岛、小青岛等优质海岛资源</w:t>
      </w:r>
      <w:r>
        <w:rPr>
          <w:rFonts w:hint="default" w:ascii="Times New Roman" w:hAnsi="Times New Roman" w:eastAsia="仿宋_GB2312" w:cs="Times New Roman"/>
          <w:color w:val="auto"/>
          <w:kern w:val="2"/>
          <w:sz w:val="32"/>
          <w:szCs w:val="32"/>
          <w:highlight w:val="none"/>
          <w:lang w:val="en-US" w:eastAsia="zh-CN"/>
        </w:rPr>
        <w:t>，推动重点景区历史遗留问题实质性解决，加快</w:t>
      </w:r>
      <w:r>
        <w:rPr>
          <w:rFonts w:hint="default" w:ascii="Times New Roman" w:hAnsi="Times New Roman" w:eastAsia="仿宋_GB2312" w:cs="Times New Roman"/>
          <w:bCs/>
          <w:color w:val="auto"/>
          <w:sz w:val="32"/>
          <w:szCs w:val="32"/>
          <w:highlight w:val="none"/>
          <w:lang w:val="en-US" w:eastAsia="zh-CN"/>
        </w:rPr>
        <w:t>培育生态旅游、自驾营地、研学旅行、康养旅游等新业态，</w:t>
      </w:r>
      <w:r>
        <w:rPr>
          <w:rFonts w:hint="default" w:ascii="Times New Roman" w:hAnsi="Times New Roman" w:eastAsia="仿宋_GB2312" w:cs="Times New Roman"/>
          <w:color w:val="auto"/>
          <w:spacing w:val="0"/>
          <w:sz w:val="32"/>
          <w:szCs w:val="32"/>
          <w:highlight w:val="none"/>
        </w:rPr>
        <w:t>打造</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全龄友好、四季皆宜</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的特色消费集群</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bCs/>
          <w:color w:val="auto"/>
          <w:sz w:val="32"/>
          <w:szCs w:val="32"/>
          <w:highlight w:val="none"/>
          <w:lang w:val="en-US" w:eastAsia="zh-CN"/>
        </w:rPr>
        <w:t>加快城市一刻钟便民生活圈建设，重点发展“一店一早”、补齐“一菜一修”、服务“一老一小”，实现</w:t>
      </w:r>
      <w:r>
        <w:rPr>
          <w:rFonts w:hint="default" w:ascii="Times New Roman" w:hAnsi="Times New Roman" w:eastAsia="仿宋_GB2312" w:cs="Times New Roman"/>
          <w:b w:val="0"/>
          <w:bCs w:val="0"/>
          <w:color w:val="auto"/>
          <w:sz w:val="32"/>
          <w:szCs w:val="32"/>
          <w:highlight w:val="none"/>
          <w:lang w:val="en-US" w:eastAsia="zh-CN"/>
        </w:rPr>
        <w:t>惠民生和促消费的双向赋能、良性循环</w:t>
      </w:r>
      <w:r>
        <w:rPr>
          <w:rFonts w:hint="default" w:ascii="Times New Roman" w:hAnsi="Times New Roman" w:eastAsia="仿宋_GB2312" w:cs="Times New Roman"/>
          <w:bCs/>
          <w:color w:val="auto"/>
          <w:sz w:val="32"/>
          <w:szCs w:val="32"/>
          <w:highlight w:val="none"/>
          <w:lang w:val="en-US" w:eastAsia="zh-CN"/>
        </w:rPr>
        <w:t>。</w:t>
      </w:r>
    </w:p>
    <w:p>
      <w:pPr>
        <w:keepNext w:val="0"/>
        <w:keepLines w:val="0"/>
        <w:pageBreakBefore w:val="0"/>
        <w:widowControl w:val="0"/>
        <w:kinsoku/>
        <w:wordWrap/>
        <w:overflowPunct/>
        <w:topLinePunct w:val="0"/>
        <w:bidi w:val="0"/>
        <w:adjustRightInd w:val="0"/>
        <w:snapToGrid w:val="0"/>
        <w:spacing w:line="570" w:lineRule="exact"/>
        <w:ind w:firstLine="640"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优化消费供给结构</w:t>
      </w:r>
      <w:r>
        <w:rPr>
          <w:rFonts w:hint="default" w:ascii="Times New Roman" w:hAnsi="Times New Roman" w:eastAsia="仿宋_GB2312" w:cs="Times New Roman"/>
          <w:bCs/>
          <w:color w:val="auto"/>
          <w:sz w:val="32"/>
          <w:szCs w:val="32"/>
          <w:highlight w:val="none"/>
          <w:lang w:val="en-US" w:eastAsia="zh-CN"/>
        </w:rPr>
        <w:t>。发挥全国县域商业领跑县带动效应，紧</w:t>
      </w:r>
      <w:r>
        <w:rPr>
          <w:rFonts w:hint="default" w:ascii="Times New Roman" w:hAnsi="Times New Roman" w:eastAsia="仿宋_GB2312" w:cs="Times New Roman"/>
          <w:color w:val="auto"/>
          <w:kern w:val="2"/>
          <w:sz w:val="32"/>
          <w:szCs w:val="32"/>
          <w:highlight w:val="none"/>
          <w:lang w:val="en-US" w:eastAsia="zh-CN"/>
        </w:rPr>
        <w:t>扣居民消费升级新趋势，完善县域商业体系，纵深推进消费供给结构优化，以优质产品服务和新型消费场景激活消费新潜能。推动消费供给品质升级，强化品牌引领、标准升级、新技术应用，全力推动食品、纺织、家电、住房等传统消费品向高品质升级、智能化转型，精准对接银发群体、年轻群体、女性群体、儿童群体等不同消费群体多元化需求。</w:t>
      </w:r>
      <w:r>
        <w:rPr>
          <w:rFonts w:hint="default" w:ascii="Times New Roman" w:hAnsi="Times New Roman" w:eastAsia="仿宋_GB2312" w:cs="Times New Roman"/>
          <w:b w:val="0"/>
          <w:bCs w:val="0"/>
          <w:color w:val="auto"/>
          <w:kern w:val="2"/>
          <w:sz w:val="32"/>
          <w:szCs w:val="32"/>
          <w:highlight w:val="none"/>
          <w:u w:val="none"/>
          <w:lang w:val="en-US" w:eastAsia="zh-CN" w:bidi="ar-SA"/>
        </w:rPr>
        <w:t>拓展新型消费场景，大力发展情感消费、体验消费、智能消费、时尚消费，借力宫家岛“嗨放派”IP热度，开发“海岛嗨玩”系列潮玩、“乳山牡蛎”主题文创及渔家风情日用品，构建“IP+文旅”“IP+农产”产品体系，</w:t>
      </w:r>
      <w:r>
        <w:rPr>
          <w:rFonts w:hint="default" w:ascii="Times New Roman" w:hAnsi="Times New Roman" w:eastAsia="仿宋_GB2312" w:cs="Times New Roman"/>
          <w:color w:val="auto"/>
          <w:kern w:val="2"/>
          <w:sz w:val="32"/>
          <w:szCs w:val="32"/>
          <w:highlight w:val="none"/>
          <w:lang w:val="en-US" w:eastAsia="zh-CN"/>
        </w:rPr>
        <w:t>打造一批带动面广、吸引力强的消费新场景。</w:t>
      </w:r>
    </w:p>
    <w:p>
      <w:pPr>
        <w:keepNext w:val="0"/>
        <w:keepLines w:val="0"/>
        <w:pageBreakBefore w:val="0"/>
        <w:widowControl w:val="0"/>
        <w:kinsoku/>
        <w:wordWrap/>
        <w:overflowPunct/>
        <w:topLinePunct w:val="0"/>
        <w:bidi w:val="0"/>
        <w:adjustRightInd w:val="0"/>
        <w:snapToGrid w:val="0"/>
        <w:spacing w:line="570" w:lineRule="exact"/>
        <w:ind w:firstLine="640" w:firstLineChars="200"/>
        <w:rPr>
          <w:rFonts w:hint="default" w:ascii="Times New Roman" w:hAnsi="Times New Roman" w:eastAsia="仿宋_GB2312" w:cs="Times New Roman"/>
          <w:b w:val="0"/>
          <w:bCs w:val="0"/>
          <w:color w:val="auto"/>
          <w:spacing w:val="0"/>
          <w:sz w:val="32"/>
          <w:szCs w:val="32"/>
          <w:highlight w:val="none"/>
          <w:lang w:eastAsia="zh-CN"/>
        </w:rPr>
      </w:pPr>
      <w:r>
        <w:rPr>
          <w:rFonts w:hint="default" w:ascii="Times New Roman" w:hAnsi="Times New Roman" w:eastAsia="楷体_GB2312" w:cs="Times New Roman"/>
          <w:b w:val="0"/>
          <w:bCs w:val="0"/>
          <w:color w:val="auto"/>
          <w:spacing w:val="0"/>
          <w:sz w:val="32"/>
          <w:szCs w:val="32"/>
          <w:highlight w:val="none"/>
        </w:rPr>
        <w:t>挖掘</w:t>
      </w:r>
      <w:r>
        <w:rPr>
          <w:rFonts w:hint="default" w:ascii="Times New Roman" w:hAnsi="Times New Roman" w:eastAsia="楷体_GB2312" w:cs="Times New Roman"/>
          <w:b w:val="0"/>
          <w:bCs w:val="0"/>
          <w:color w:val="auto"/>
          <w:spacing w:val="0"/>
          <w:sz w:val="32"/>
          <w:szCs w:val="32"/>
          <w:highlight w:val="none"/>
          <w:lang w:val="en-US" w:eastAsia="zh-CN"/>
        </w:rPr>
        <w:t>城乡</w:t>
      </w:r>
      <w:r>
        <w:rPr>
          <w:rFonts w:hint="default" w:ascii="Times New Roman" w:hAnsi="Times New Roman" w:eastAsia="楷体_GB2312" w:cs="Times New Roman"/>
          <w:b w:val="0"/>
          <w:bCs w:val="0"/>
          <w:color w:val="auto"/>
          <w:spacing w:val="0"/>
          <w:sz w:val="32"/>
          <w:szCs w:val="32"/>
          <w:highlight w:val="none"/>
        </w:rPr>
        <w:t>消费潜力</w:t>
      </w:r>
      <w:r>
        <w:rPr>
          <w:rFonts w:hint="default" w:ascii="Times New Roman" w:hAnsi="Times New Roman" w:eastAsia="仿宋_GB2312" w:cs="Times New Roman"/>
          <w:bCs/>
          <w:color w:val="auto"/>
          <w:sz w:val="32"/>
          <w:szCs w:val="32"/>
          <w:highlight w:val="none"/>
          <w:lang w:val="en-US" w:eastAsia="zh-CN"/>
        </w:rPr>
        <w:t>。深入落实各级消费提振组合政策，大力开展新能源汽车、智能家电等领域提振消费行动，鼓励重点商贸流通企业深耕节庆消费市场，全面释放消费潜力。</w:t>
      </w:r>
      <w:r>
        <w:rPr>
          <w:rFonts w:hint="default" w:ascii="Times New Roman" w:hAnsi="Times New Roman" w:eastAsia="仿宋_GB2312" w:cs="Times New Roman"/>
          <w:b w:val="0"/>
          <w:bCs w:val="0"/>
          <w:color w:val="auto"/>
          <w:spacing w:val="0"/>
          <w:sz w:val="32"/>
          <w:szCs w:val="32"/>
          <w:highlight w:val="none"/>
          <w:lang w:eastAsia="zh-CN"/>
        </w:rPr>
        <w:t>依托“智慧供销”数字化平台，推动农机服务、飞防服务、农资服务等向基层延伸。</w:t>
      </w:r>
      <w:r>
        <w:rPr>
          <w:rFonts w:hint="default" w:ascii="Times New Roman" w:hAnsi="Times New Roman" w:eastAsia="仿宋_GB2312" w:cs="Times New Roman"/>
          <w:bCs/>
          <w:color w:val="auto"/>
          <w:sz w:val="32"/>
          <w:szCs w:val="32"/>
          <w:highlight w:val="none"/>
          <w:lang w:val="en-US" w:eastAsia="zh-CN"/>
        </w:rPr>
        <w:t>创新电商新业态新模式，大力发展即时零售、社交电商、直播电商等流通新方式，深度挖掘牡蛎、大姜、茶叶等特色产品优势，培育电商供应链基地、电商产业带，</w:t>
      </w:r>
      <w:r>
        <w:rPr>
          <w:rFonts w:hint="default" w:ascii="Times New Roman" w:hAnsi="Times New Roman" w:eastAsia="仿宋_GB2312" w:cs="Times New Roman"/>
          <w:b w:val="0"/>
          <w:bCs w:val="0"/>
          <w:color w:val="auto"/>
          <w:spacing w:val="0"/>
          <w:sz w:val="32"/>
          <w:szCs w:val="32"/>
          <w:highlight w:val="none"/>
          <w:lang w:eastAsia="zh-CN"/>
        </w:rPr>
        <w:t>打造“电商+特色农产品+乡村文旅”融合消费模式</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pacing w:val="0"/>
          <w:sz w:val="32"/>
          <w:szCs w:val="32"/>
          <w:highlight w:val="none"/>
          <w:lang w:eastAsia="zh-CN"/>
        </w:rPr>
        <w:t>推动农村消费从“满足基本需求”向“追求品质体验”转型，让农村消费市场成为县域经济增长的新蓝海。</w:t>
      </w:r>
    </w:p>
    <w:p>
      <w:pPr>
        <w:keepNext w:val="0"/>
        <w:keepLines w:val="0"/>
        <w:pageBreakBefore w:val="0"/>
        <w:widowControl w:val="0"/>
        <w:kinsoku/>
        <w:wordWrap/>
        <w:overflowPunct/>
        <w:topLinePunct w:val="0"/>
        <w:autoSpaceDE/>
        <w:autoSpaceDN/>
        <w:bidi w:val="0"/>
        <w:adjustRightInd w:val="0"/>
        <w:snapToGrid w:val="0"/>
        <w:spacing w:after="157" w:afterLines="50" w:line="57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rPr>
        <w:t>营造放心消费环境</w:t>
      </w:r>
      <w:r>
        <w:rPr>
          <w:rFonts w:hint="default" w:ascii="Times New Roman" w:hAnsi="Times New Roman" w:eastAsia="楷体_GB2312" w:cs="Times New Roman"/>
          <w:b w:val="0"/>
          <w:bCs w:val="0"/>
          <w:color w:val="auto"/>
          <w:spacing w:val="0"/>
          <w:sz w:val="32"/>
          <w:szCs w:val="32"/>
          <w:highlight w:val="none"/>
          <w:lang w:eastAsia="zh-CN"/>
        </w:rPr>
        <w:t>。</w:t>
      </w:r>
      <w:r>
        <w:rPr>
          <w:rFonts w:hint="default" w:ascii="Times New Roman" w:hAnsi="Times New Roman" w:eastAsia="仿宋_GB2312" w:cs="Times New Roman"/>
          <w:bCs/>
          <w:color w:val="auto"/>
          <w:sz w:val="32"/>
          <w:szCs w:val="32"/>
          <w:highlight w:val="none"/>
          <w:lang w:val="en-US" w:eastAsia="zh-CN"/>
        </w:rPr>
        <w:t>携手山东省菜篮子工程建设“鲁惠商业民生智服云平台项目”，打造全国县域数字化消费与民生保障的创新样板和标杆城市，争创“绿色消费”“县域商业融合发展”示范项目。</w:t>
      </w:r>
      <w:r>
        <w:rPr>
          <w:rFonts w:hint="default" w:ascii="Times New Roman" w:hAnsi="Times New Roman" w:eastAsia="仿宋_GB2312" w:cs="Times New Roman"/>
          <w:color w:val="auto"/>
          <w:spacing w:val="0"/>
          <w:sz w:val="32"/>
          <w:szCs w:val="32"/>
          <w:highlight w:val="none"/>
          <w:lang w:val="en-US" w:eastAsia="zh-CN"/>
        </w:rPr>
        <w:t>持续开展质量提升专项行动，</w:t>
      </w:r>
      <w:r>
        <w:rPr>
          <w:rFonts w:hint="default" w:ascii="Times New Roman" w:hAnsi="Times New Roman" w:eastAsia="仿宋_GB2312" w:cs="Times New Roman"/>
          <w:color w:val="auto"/>
          <w:kern w:val="2"/>
          <w:sz w:val="32"/>
          <w:szCs w:val="32"/>
          <w:highlight w:val="none"/>
          <w:lang w:val="en-US" w:eastAsia="zh-CN"/>
        </w:rPr>
        <w:t>深耕“乳山牡蛎”“乳山大花生”等区域公共品牌价值，全面构建全链条产品质量追溯体系，筑牢产品质量安全防线，</w:t>
      </w:r>
      <w:r>
        <w:rPr>
          <w:rFonts w:hint="default" w:ascii="Times New Roman" w:hAnsi="Times New Roman" w:eastAsia="仿宋_GB2312" w:cs="Times New Roman"/>
          <w:b w:val="0"/>
          <w:bCs w:val="0"/>
          <w:color w:val="auto"/>
          <w:sz w:val="32"/>
          <w:szCs w:val="32"/>
          <w:highlight w:val="none"/>
          <w:lang w:val="en-US" w:eastAsia="zh-CN"/>
        </w:rPr>
        <w:t>完善民生领域消费信用体系，</w:t>
      </w:r>
      <w:r>
        <w:rPr>
          <w:rFonts w:hint="default" w:ascii="Times New Roman" w:hAnsi="Times New Roman" w:eastAsia="仿宋_GB2312" w:cs="Times New Roman"/>
          <w:color w:val="auto"/>
          <w:spacing w:val="0"/>
          <w:sz w:val="32"/>
          <w:szCs w:val="32"/>
          <w:highlight w:val="none"/>
        </w:rPr>
        <w:t>健全消费者权益保护机制</w:t>
      </w:r>
      <w:r>
        <w:rPr>
          <w:rFonts w:hint="default" w:ascii="Times New Roman" w:hAnsi="Times New Roman" w:eastAsia="仿宋_GB2312" w:cs="Times New Roman"/>
          <w:b w:val="0"/>
          <w:bCs w:val="0"/>
          <w:color w:val="auto"/>
          <w:sz w:val="32"/>
          <w:szCs w:val="32"/>
          <w:highlight w:val="none"/>
          <w:lang w:val="en-US" w:eastAsia="zh-CN"/>
        </w:rPr>
        <w:t>。加大直达消费者的普惠政策力度，推动金融产品服务创新，落实带薪错峰休假，强化消费者权益保护。</w:t>
      </w:r>
    </w:p>
    <w:p>
      <w:pPr>
        <w:pStyle w:val="3"/>
        <w:keepNext w:val="0"/>
        <w:keepLines w:val="0"/>
        <w:pageBreakBefore w:val="0"/>
        <w:widowControl w:val="0"/>
        <w:kinsoku/>
        <w:wordWrap/>
        <w:overflowPunct/>
        <w:topLinePunct w:val="0"/>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181" w:name="_Toc15988"/>
      <w:bookmarkStart w:id="182" w:name="_Toc24078"/>
      <w:bookmarkStart w:id="183" w:name="_Toc1079"/>
      <w:bookmarkStart w:id="184" w:name="_Toc2618"/>
      <w:bookmarkStart w:id="185" w:name="_Toc1992"/>
      <w:bookmarkStart w:id="186" w:name="_Toc13500"/>
      <w:bookmarkStart w:id="187" w:name="_Toc30993"/>
      <w:bookmarkStart w:id="188" w:name="_Toc26721"/>
      <w:bookmarkStart w:id="189" w:name="_Toc21145"/>
      <w:r>
        <w:rPr>
          <w:rFonts w:hint="default" w:ascii="Times New Roman" w:hAnsi="Times New Roman" w:cs="Times New Roman"/>
          <w:snapToGrid w:val="0"/>
          <w:color w:val="auto"/>
          <w:sz w:val="32"/>
          <w:highlight w:val="none"/>
          <w:lang w:val="en-US" w:eastAsia="zh-CN"/>
        </w:rPr>
        <w:t>第二节 着力提高投资</w:t>
      </w:r>
      <w:bookmarkEnd w:id="181"/>
      <w:bookmarkEnd w:id="182"/>
      <w:bookmarkEnd w:id="183"/>
      <w:bookmarkEnd w:id="184"/>
      <w:bookmarkEnd w:id="185"/>
      <w:bookmarkEnd w:id="186"/>
      <w:bookmarkEnd w:id="187"/>
      <w:r>
        <w:rPr>
          <w:rFonts w:hint="default" w:ascii="Times New Roman" w:hAnsi="Times New Roman" w:cs="Times New Roman"/>
          <w:snapToGrid w:val="0"/>
          <w:color w:val="auto"/>
          <w:sz w:val="32"/>
          <w:highlight w:val="none"/>
          <w:lang w:val="en-US" w:eastAsia="zh-CN"/>
        </w:rPr>
        <w:t>质量效益</w:t>
      </w:r>
      <w:bookmarkEnd w:id="188"/>
      <w:bookmarkEnd w:id="189"/>
    </w:p>
    <w:p>
      <w:pPr>
        <w:pStyle w:val="9"/>
        <w:keepNext w:val="0"/>
        <w:keepLines w:val="0"/>
        <w:pageBreakBefore w:val="0"/>
        <w:widowControl w:val="0"/>
        <w:kinsoku/>
        <w:wordWrap/>
        <w:overflowPunct/>
        <w:topLinePunct w:val="0"/>
        <w:autoSpaceDE w:val="0"/>
        <w:autoSpaceDN w:val="0"/>
        <w:bidi w:val="0"/>
        <w:adjustRightInd w:val="0"/>
        <w:snapToGrid w:val="0"/>
        <w:spacing w:line="570" w:lineRule="exact"/>
        <w:ind w:right="0" w:firstLine="640" w:firstLineChars="200"/>
        <w:jc w:val="both"/>
        <w:textAlignment w:val="baseline"/>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lang w:eastAsia="zh-CN"/>
        </w:rPr>
        <w:t>充分发挥投资对</w:t>
      </w:r>
      <w:r>
        <w:rPr>
          <w:rFonts w:hint="default" w:ascii="Times New Roman" w:hAnsi="Times New Roman" w:eastAsia="仿宋_GB2312" w:cs="Times New Roman"/>
          <w:color w:val="auto"/>
          <w:spacing w:val="0"/>
          <w:sz w:val="32"/>
          <w:szCs w:val="32"/>
          <w:highlight w:val="none"/>
        </w:rPr>
        <w:t>扩内需、稳增长、促转型的重要作用</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激发投资活力，优化投资</w:t>
      </w:r>
      <w:r>
        <w:rPr>
          <w:rFonts w:hint="default" w:ascii="Times New Roman" w:hAnsi="Times New Roman" w:eastAsia="仿宋_GB2312" w:cs="Times New Roman"/>
          <w:color w:val="auto"/>
          <w:spacing w:val="0"/>
          <w:sz w:val="32"/>
          <w:szCs w:val="32"/>
          <w:highlight w:val="none"/>
          <w:lang w:val="en-US" w:eastAsia="zh-CN"/>
        </w:rPr>
        <w:t>结构</w:t>
      </w:r>
      <w:r>
        <w:rPr>
          <w:rFonts w:hint="default" w:ascii="Times New Roman" w:hAnsi="Times New Roman" w:eastAsia="仿宋_GB2312" w:cs="Times New Roman"/>
          <w:color w:val="auto"/>
          <w:spacing w:val="0"/>
          <w:sz w:val="32"/>
          <w:szCs w:val="32"/>
          <w:highlight w:val="none"/>
        </w:rPr>
        <w:t>，促进投资综合效益持续提升</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投资</w:t>
      </w:r>
      <w:r>
        <w:rPr>
          <w:rFonts w:hint="default" w:ascii="Times New Roman" w:hAnsi="Times New Roman" w:eastAsia="仿宋_GB2312" w:cs="Times New Roman"/>
          <w:color w:val="auto"/>
          <w:spacing w:val="0"/>
          <w:sz w:val="32"/>
          <w:szCs w:val="32"/>
          <w:highlight w:val="none"/>
        </w:rPr>
        <w:t>规模合理增长，持续增强经济社会发展后劲。</w:t>
      </w:r>
    </w:p>
    <w:p>
      <w:pPr>
        <w:keepNext w:val="0"/>
        <w:keepLines w:val="0"/>
        <w:pageBreakBefore w:val="0"/>
        <w:widowControl w:val="0"/>
        <w:kinsoku/>
        <w:wordWrap/>
        <w:overflowPunct/>
        <w:topLinePunct w:val="0"/>
        <w:bidi w:val="0"/>
        <w:spacing w:line="570" w:lineRule="exact"/>
        <w:ind w:firstLine="640" w:firstLineChars="200"/>
        <w:rPr>
          <w:rFonts w:hint="default" w:ascii="Times New Roman" w:hAnsi="Times New Roman" w:eastAsia="仿宋_GB2312" w:cs="Times New Roman"/>
          <w:color w:val="auto"/>
          <w:spacing w:val="0"/>
          <w:sz w:val="32"/>
          <w:szCs w:val="32"/>
          <w:highlight w:val="none"/>
          <w:lang w:val="en-US"/>
        </w:rPr>
      </w:pPr>
      <w:r>
        <w:rPr>
          <w:rFonts w:hint="default" w:ascii="Times New Roman" w:hAnsi="Times New Roman" w:eastAsia="楷体_GB2312" w:cs="Times New Roman"/>
          <w:b w:val="0"/>
          <w:bCs w:val="0"/>
          <w:color w:val="auto"/>
          <w:spacing w:val="0"/>
          <w:sz w:val="32"/>
          <w:szCs w:val="32"/>
          <w:highlight w:val="none"/>
          <w:lang w:val="en-US" w:eastAsia="zh-CN"/>
        </w:rPr>
        <w:t>强化政府投资带动作用。</w:t>
      </w:r>
      <w:r>
        <w:rPr>
          <w:rFonts w:hint="default" w:ascii="Times New Roman" w:hAnsi="Times New Roman" w:eastAsia="仿宋_GB2312" w:cs="Times New Roman"/>
          <w:color w:val="auto"/>
          <w:spacing w:val="0"/>
          <w:kern w:val="2"/>
          <w:sz w:val="32"/>
          <w:szCs w:val="32"/>
          <w:highlight w:val="none"/>
          <w:lang w:val="en-US" w:eastAsia="zh-CN" w:bidi="ar-SA"/>
        </w:rPr>
        <w:t>聚焦“两重”“两新”、科技创新、产业升级、城市更新、绿色转型、民生改善等领域，持续谋划实施一批具有牵引性强、引领性好、带动性作用大的重点项目。</w:t>
      </w:r>
      <w:r>
        <w:rPr>
          <w:rFonts w:hint="default" w:ascii="Times New Roman" w:hAnsi="Times New Roman" w:eastAsia="仿宋_GB2312" w:cs="Times New Roman"/>
          <w:b w:val="0"/>
          <w:bCs w:val="0"/>
          <w:color w:val="auto"/>
          <w:spacing w:val="0"/>
          <w:sz w:val="32"/>
          <w:szCs w:val="32"/>
          <w:highlight w:val="none"/>
          <w:lang w:val="en-US" w:eastAsia="zh-CN"/>
        </w:rPr>
        <w:t>深化投资审批制度改革，强化政府投资项目全过程管理，围绕传统基础设施改建、新型基础设施快建、公共服务设施扩建积极扩大有效投资，引导更多资金投向医疗教育、养老托育等领域，不断提高民生类政府投资比重。统筹推进“硬投资”和“软建设”重点任务，扎实做好</w:t>
      </w:r>
      <w:r>
        <w:rPr>
          <w:rFonts w:hint="default" w:ascii="Times New Roman" w:hAnsi="Times New Roman" w:eastAsia="仿宋_GB2312" w:cs="Times New Roman"/>
          <w:color w:val="auto"/>
          <w:spacing w:val="0"/>
          <w:kern w:val="2"/>
          <w:sz w:val="32"/>
          <w:szCs w:val="32"/>
          <w:highlight w:val="none"/>
          <w:lang w:val="en-US" w:eastAsia="zh-CN" w:bidi="ar-SA"/>
        </w:rPr>
        <w:t>“两重”“两新”建设各项工作，加强中央预算内投资项目监督管理，规范项目实施和资金使用，把项目建设和配套改革结合起来，打造一批标志性工程。</w:t>
      </w:r>
    </w:p>
    <w:p>
      <w:pPr>
        <w:keepNext w:val="0"/>
        <w:keepLines w:val="0"/>
        <w:pageBreakBefore w:val="0"/>
        <w:widowControl w:val="0"/>
        <w:kinsoku/>
        <w:wordWrap/>
        <w:overflowPunct/>
        <w:topLinePunct w:val="0"/>
        <w:bidi w:val="0"/>
        <w:spacing w:line="570" w:lineRule="exact"/>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激活民间投资活力</w:t>
      </w:r>
      <w:r>
        <w:rPr>
          <w:rFonts w:hint="default" w:ascii="Times New Roman" w:hAnsi="Times New Roman" w:eastAsia="楷体_GB2312" w:cs="Times New Roman"/>
          <w:b w:val="0"/>
          <w:bCs w:val="0"/>
          <w:color w:val="auto"/>
          <w:spacing w:val="0"/>
          <w:sz w:val="32"/>
          <w:szCs w:val="32"/>
          <w:highlight w:val="none"/>
        </w:rPr>
        <w:t>。</w:t>
      </w:r>
      <w:r>
        <w:rPr>
          <w:rFonts w:hint="default" w:ascii="Times New Roman" w:hAnsi="Times New Roman" w:eastAsia="仿宋_GB2312" w:cs="Times New Roman"/>
          <w:color w:val="auto"/>
          <w:sz w:val="32"/>
          <w:szCs w:val="32"/>
          <w:highlight w:val="none"/>
          <w:lang w:val="en-US" w:eastAsia="zh-CN"/>
        </w:rPr>
        <w:t>规范</w:t>
      </w:r>
      <w:r>
        <w:rPr>
          <w:rFonts w:hint="default" w:ascii="Times New Roman" w:hAnsi="Times New Roman" w:eastAsia="仿宋_GB2312" w:cs="Times New Roman"/>
          <w:color w:val="auto"/>
          <w:spacing w:val="0"/>
          <w:sz w:val="32"/>
          <w:szCs w:val="32"/>
          <w:highlight w:val="none"/>
        </w:rPr>
        <w:t>实施</w:t>
      </w:r>
      <w:r>
        <w:rPr>
          <w:rFonts w:hint="default" w:ascii="Times New Roman" w:hAnsi="Times New Roman" w:eastAsia="仿宋_GB2312" w:cs="Times New Roman"/>
          <w:color w:val="auto"/>
          <w:sz w:val="32"/>
          <w:szCs w:val="32"/>
          <w:highlight w:val="none"/>
          <w:lang w:val="en-US" w:eastAsia="zh-CN"/>
        </w:rPr>
        <w:t>政府和社会资本合作新机制，发挥政府投资基金引导带动作用，鼓励民营企业参与重大项目建设，提高民间投资比重，激发民间投资活力。</w:t>
      </w:r>
      <w:r>
        <w:rPr>
          <w:rFonts w:hint="default" w:ascii="Times New Roman" w:hAnsi="Times New Roman" w:eastAsia="仿宋_GB2312" w:cs="Times New Roman"/>
          <w:color w:val="auto"/>
          <w:spacing w:val="0"/>
          <w:kern w:val="2"/>
          <w:sz w:val="32"/>
          <w:szCs w:val="32"/>
          <w:highlight w:val="none"/>
          <w:lang w:val="en-US" w:eastAsia="zh-CN" w:bidi="ar-SA"/>
        </w:rPr>
        <w:t>完善民营企业参与重大项目建设长效机制，</w:t>
      </w:r>
      <w:r>
        <w:rPr>
          <w:rFonts w:hint="default" w:ascii="Times New Roman" w:hAnsi="Times New Roman" w:eastAsia="仿宋_GB2312" w:cs="Times New Roman"/>
          <w:color w:val="auto"/>
          <w:kern w:val="0"/>
          <w:sz w:val="32"/>
          <w:szCs w:val="32"/>
          <w:highlight w:val="none"/>
          <w:lang w:val="en-US" w:eastAsia="zh-CN"/>
        </w:rPr>
        <w:t>推出“民间资本投资清单”，</w:t>
      </w:r>
      <w:r>
        <w:rPr>
          <w:rFonts w:hint="default" w:ascii="Times New Roman" w:hAnsi="Times New Roman" w:eastAsia="仿宋_GB2312" w:cs="Times New Roman"/>
          <w:color w:val="auto"/>
          <w:sz w:val="32"/>
          <w:szCs w:val="32"/>
          <w:highlight w:val="none"/>
          <w:lang w:val="en-US" w:eastAsia="zh-CN"/>
        </w:rPr>
        <w:t>支持</w:t>
      </w:r>
      <w:r>
        <w:rPr>
          <w:rFonts w:hint="default" w:ascii="Times New Roman" w:hAnsi="Times New Roman" w:eastAsia="仿宋_GB2312" w:cs="Times New Roman"/>
          <w:color w:val="auto"/>
          <w:kern w:val="0"/>
          <w:sz w:val="32"/>
          <w:szCs w:val="32"/>
          <w:highlight w:val="none"/>
          <w:lang w:val="en-US" w:eastAsia="zh-CN"/>
        </w:rPr>
        <w:t>社会资本参与新能源充电桩、文旅基础设施等重大基础设施、重大产业项目建设运营，加快构建政府与社会资本协同发力长效机制，形成政府投资引领、社会资本跟进的良性投资格局，</w:t>
      </w:r>
      <w:r>
        <w:rPr>
          <w:rFonts w:hint="default" w:ascii="Times New Roman" w:hAnsi="Times New Roman" w:eastAsia="仿宋_GB2312" w:cs="Times New Roman"/>
          <w:color w:val="auto"/>
          <w:sz w:val="32"/>
          <w:szCs w:val="32"/>
          <w:highlight w:val="none"/>
          <w:lang w:val="en-US" w:eastAsia="zh-CN"/>
        </w:rPr>
        <w:t>增强有效投资增长动力</w:t>
      </w:r>
      <w:r>
        <w:rPr>
          <w:rFonts w:hint="default"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创新项目投融资模式，推动基础设施领域不动产投资信托基金</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REITs</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等有序发展。搭建民间投资问题反映和解决渠道，结合民营经济发展综合服务平台、全国统一大市场建设问题线索征集平台、全国信用信息公共服务平台、国务院“互联网+督查”平台上的企业问题线索，形成“收集－反馈－解决”闭环管理机制，对事实清楚、问题明确的重点线索加快协调办理。</w:t>
      </w:r>
    </w:p>
    <w:p>
      <w:pPr>
        <w:keepNext w:val="0"/>
        <w:keepLines w:val="0"/>
        <w:pageBreakBefore w:val="0"/>
        <w:widowControl w:val="0"/>
        <w:kinsoku/>
        <w:wordWrap/>
        <w:overflowPunct/>
        <w:topLinePunct w:val="0"/>
        <w:bidi w:val="0"/>
        <w:spacing w:line="570" w:lineRule="exact"/>
        <w:ind w:firstLine="640" w:firstLineChars="200"/>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强化项目管理和要素保障</w:t>
      </w:r>
      <w:r>
        <w:rPr>
          <w:rFonts w:hint="default" w:ascii="Times New Roman" w:hAnsi="Times New Roman" w:eastAsia="楷体_GB2312" w:cs="Times New Roman"/>
          <w:b w:val="0"/>
          <w:bCs w:val="0"/>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加强项目管理服务，健全完善领导分包、督导服务、要素保障机制，分类推动省市县三级重点项目建设，紧盯项目开工建设、入库纳统、投资进度、竣工投产等关键环节，推动固定资产投资量稳质升。</w:t>
      </w:r>
      <w:r>
        <w:rPr>
          <w:rFonts w:hint="default" w:ascii="Times New Roman" w:hAnsi="Times New Roman" w:eastAsia="仿宋_GB2312" w:cs="Times New Roman"/>
          <w:b w:val="0"/>
          <w:bCs w:val="0"/>
          <w:color w:val="auto"/>
          <w:spacing w:val="0"/>
          <w:sz w:val="32"/>
          <w:szCs w:val="32"/>
          <w:highlight w:val="none"/>
          <w:lang w:val="en-US" w:eastAsia="zh-CN"/>
        </w:rPr>
        <w:t>落实“要素跟着项目走”保障机制，</w:t>
      </w:r>
      <w:r>
        <w:rPr>
          <w:rFonts w:hint="default" w:ascii="Times New Roman" w:hAnsi="Times New Roman" w:eastAsia="仿宋_GB2312" w:cs="Times New Roman"/>
          <w:b w:val="0"/>
          <w:bCs w:val="0"/>
          <w:color w:val="auto"/>
          <w:spacing w:val="0"/>
          <w:sz w:val="32"/>
          <w:szCs w:val="32"/>
          <w:highlight w:val="none"/>
        </w:rPr>
        <w:t>建立项目全生命周期要素保障体系，</w:t>
      </w:r>
      <w:r>
        <w:rPr>
          <w:rFonts w:hint="default" w:ascii="Times New Roman" w:hAnsi="Times New Roman" w:eastAsia="仿宋_GB2312" w:cs="Times New Roman"/>
          <w:color w:val="auto"/>
          <w:spacing w:val="0"/>
          <w:sz w:val="32"/>
          <w:szCs w:val="32"/>
          <w:highlight w:val="none"/>
        </w:rPr>
        <w:t>完善土地、能耗</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污染物排放总量替代指标</w:t>
      </w:r>
      <w:r>
        <w:rPr>
          <w:rFonts w:hint="default" w:ascii="Times New Roman" w:hAnsi="Times New Roman" w:eastAsia="仿宋_GB2312" w:cs="Times New Roman"/>
          <w:color w:val="auto"/>
          <w:spacing w:val="0"/>
          <w:sz w:val="32"/>
          <w:szCs w:val="32"/>
          <w:highlight w:val="none"/>
        </w:rPr>
        <w:t>等要素统筹调配机制，集中支持</w:t>
      </w:r>
      <w:r>
        <w:rPr>
          <w:rFonts w:hint="default" w:ascii="Times New Roman" w:hAnsi="Times New Roman" w:eastAsia="仿宋_GB2312" w:cs="Times New Roman"/>
          <w:b w:val="0"/>
          <w:bCs w:val="0"/>
          <w:color w:val="auto"/>
          <w:spacing w:val="0"/>
          <w:sz w:val="32"/>
          <w:szCs w:val="32"/>
          <w:highlight w:val="none"/>
        </w:rPr>
        <w:t>重大产业项目、民生工程、新型基础设施</w:t>
      </w:r>
      <w:r>
        <w:rPr>
          <w:rFonts w:hint="default" w:ascii="Times New Roman" w:hAnsi="Times New Roman" w:eastAsia="仿宋_GB2312" w:cs="Times New Roman"/>
          <w:color w:val="auto"/>
          <w:spacing w:val="0"/>
          <w:sz w:val="32"/>
          <w:szCs w:val="32"/>
          <w:highlight w:val="none"/>
        </w:rPr>
        <w:t>重点项目建设。</w:t>
      </w:r>
    </w:p>
    <w:p>
      <w:pPr>
        <w:pStyle w:val="3"/>
        <w:keepNext w:val="0"/>
        <w:keepLines w:val="0"/>
        <w:pageBreakBefore w:val="0"/>
        <w:widowControl w:val="0"/>
        <w:kinsoku/>
        <w:wordWrap/>
        <w:overflowPunct/>
        <w:topLinePunct w:val="0"/>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190" w:name="_Toc31151"/>
      <w:bookmarkStart w:id="191" w:name="_Toc2565"/>
      <w:bookmarkStart w:id="192" w:name="_Toc21837"/>
      <w:bookmarkStart w:id="193" w:name="_Toc12671"/>
      <w:bookmarkStart w:id="194" w:name="_Toc16854"/>
      <w:bookmarkStart w:id="195" w:name="_Toc19757"/>
      <w:bookmarkStart w:id="196" w:name="_Toc20089"/>
      <w:bookmarkStart w:id="197" w:name="_Toc28943"/>
      <w:bookmarkStart w:id="198" w:name="_Toc31707"/>
      <w:r>
        <w:rPr>
          <w:rFonts w:hint="default" w:ascii="Times New Roman" w:hAnsi="Times New Roman" w:cs="Times New Roman"/>
          <w:snapToGrid w:val="0"/>
          <w:color w:val="auto"/>
          <w:sz w:val="32"/>
          <w:highlight w:val="none"/>
          <w:lang w:val="en-US" w:eastAsia="zh-CN"/>
        </w:rPr>
        <w:t>第三节 健全现代化基础设施体系</w:t>
      </w:r>
      <w:bookmarkEnd w:id="190"/>
      <w:bookmarkEnd w:id="191"/>
      <w:bookmarkEnd w:id="192"/>
      <w:bookmarkEnd w:id="193"/>
      <w:bookmarkEnd w:id="194"/>
      <w:bookmarkEnd w:id="195"/>
      <w:bookmarkEnd w:id="196"/>
      <w:bookmarkEnd w:id="197"/>
      <w:bookmarkEnd w:id="198"/>
    </w:p>
    <w:p>
      <w:pPr>
        <w:pStyle w:val="9"/>
        <w:keepNext w:val="0"/>
        <w:keepLines w:val="0"/>
        <w:pageBreakBefore w:val="0"/>
        <w:widowControl w:val="0"/>
        <w:kinsoku/>
        <w:wordWrap/>
        <w:overflowPunct/>
        <w:topLinePunct w:val="0"/>
        <w:autoSpaceDE w:val="0"/>
        <w:autoSpaceDN w:val="0"/>
        <w:bidi w:val="0"/>
        <w:adjustRightInd w:val="0"/>
        <w:snapToGrid w:val="0"/>
        <w:spacing w:line="570" w:lineRule="exact"/>
        <w:ind w:firstLine="640" w:firstLineChars="200"/>
        <w:textAlignment w:val="baseline"/>
        <w:rPr>
          <w:rFonts w:hint="default" w:ascii="Times New Roman" w:hAnsi="Times New Roman" w:eastAsia="仿宋_GB2312" w:cs="Times New Roman"/>
          <w:i w:val="0"/>
          <w:iCs w:val="0"/>
          <w:caps w:val="0"/>
          <w:color w:val="auto"/>
          <w:spacing w:val="0"/>
          <w:sz w:val="32"/>
          <w:szCs w:val="32"/>
          <w:highlight w:val="none"/>
          <w:shd w:val="clear" w:fill="FFFFFF"/>
        </w:rPr>
      </w:pPr>
      <w:r>
        <w:rPr>
          <w:rFonts w:hint="default" w:ascii="Times New Roman" w:hAnsi="Times New Roman" w:eastAsia="仿宋_GB2312" w:cs="Times New Roman"/>
          <w:i w:val="0"/>
          <w:iCs w:val="0"/>
          <w:caps w:val="0"/>
          <w:color w:val="auto"/>
          <w:spacing w:val="0"/>
          <w:sz w:val="32"/>
          <w:szCs w:val="32"/>
          <w:highlight w:val="none"/>
          <w:shd w:val="clear" w:fill="FFFFFF"/>
        </w:rPr>
        <w:t>统筹数字、交通、</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能源、</w:t>
      </w:r>
      <w:r>
        <w:rPr>
          <w:rFonts w:hint="default" w:ascii="Times New Roman" w:hAnsi="Times New Roman" w:eastAsia="仿宋_GB2312" w:cs="Times New Roman"/>
          <w:i w:val="0"/>
          <w:iCs w:val="0"/>
          <w:caps w:val="0"/>
          <w:color w:val="auto"/>
          <w:spacing w:val="0"/>
          <w:sz w:val="32"/>
          <w:szCs w:val="32"/>
          <w:highlight w:val="none"/>
          <w:shd w:val="clear" w:fill="FFFFFF"/>
        </w:rPr>
        <w:t>水利等领域</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设施</w:t>
      </w:r>
      <w:r>
        <w:rPr>
          <w:rFonts w:hint="default" w:ascii="Times New Roman" w:hAnsi="Times New Roman" w:eastAsia="仿宋_GB2312" w:cs="Times New Roman"/>
          <w:i w:val="0"/>
          <w:iCs w:val="0"/>
          <w:caps w:val="0"/>
          <w:color w:val="auto"/>
          <w:spacing w:val="0"/>
          <w:sz w:val="32"/>
          <w:szCs w:val="32"/>
          <w:highlight w:val="none"/>
          <w:shd w:val="clear" w:fill="FFFFFF"/>
        </w:rPr>
        <w:t>升级，以现代化基建网络畅通要素流动、保障民生需求、赋能产业转型。</w:t>
      </w:r>
    </w:p>
    <w:p>
      <w:pPr>
        <w:pStyle w:val="9"/>
        <w:keepNext w:val="0"/>
        <w:keepLines w:val="0"/>
        <w:pageBreakBefore w:val="0"/>
        <w:widowControl w:val="0"/>
        <w:kinsoku/>
        <w:wordWrap/>
        <w:overflowPunct/>
        <w:topLinePunct w:val="0"/>
        <w:autoSpaceDE w:val="0"/>
        <w:autoSpaceDN w:val="0"/>
        <w:bidi w:val="0"/>
        <w:adjustRightInd w:val="0"/>
        <w:snapToGrid w:val="0"/>
        <w:spacing w:line="570" w:lineRule="exact"/>
        <w:ind w:firstLine="640" w:firstLineChars="200"/>
        <w:textAlignment w:val="baseline"/>
        <w:rPr>
          <w:rFonts w:hint="default" w:ascii="Times New Roman" w:hAnsi="Times New Roman" w:eastAsia="楷体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适度超前布局新型基础设施。</w:t>
      </w:r>
      <w:r>
        <w:rPr>
          <w:rFonts w:hint="default" w:ascii="Times New Roman" w:hAnsi="Times New Roman" w:eastAsia="仿宋_GB2312" w:cs="Times New Roman"/>
          <w:b w:val="0"/>
          <w:bCs w:val="0"/>
          <w:color w:val="auto"/>
          <w:sz w:val="32"/>
          <w:szCs w:val="32"/>
          <w:highlight w:val="none"/>
          <w:lang w:val="en-US" w:eastAsia="zh-CN"/>
        </w:rPr>
        <w:t>高水平建设5G和固网“双千兆”网络，持续推进重点区域5G深度覆盖。推进5G与智能制造、工业互联网、大数据、人工智能、超高清视频、工控安全等深度融合，打造面向5G技术的信息消费、智能制造和智慧城市示范区。推动绿色能源与数据及算力设施协同发展，探索实施风电直连海底算力，加强高价值社会数据“统采共用、分采统用”，推动医疗、教育等重点领域的数据开放应用，支持重点行业开展大数据及人工智能应用。加快物联网终端部署，围绕城市管理、民生服务、公共安全、医疗卫生等领域，积极部署低成本、低功耗、高精度、高可靠的智能化传感器，提升社会治理和公共服务科学化、精细化水平，推动“万物互联”发展。</w:t>
      </w:r>
    </w:p>
    <w:p>
      <w:pPr>
        <w:pStyle w:val="9"/>
        <w:keepNext w:val="0"/>
        <w:keepLines w:val="0"/>
        <w:pageBreakBefore w:val="0"/>
        <w:widowControl w:val="0"/>
        <w:kinsoku/>
        <w:wordWrap/>
        <w:overflowPunct/>
        <w:topLinePunct w:val="0"/>
        <w:autoSpaceDE w:val="0"/>
        <w:autoSpaceDN w:val="0"/>
        <w:bidi w:val="0"/>
        <w:adjustRightInd w:val="0"/>
        <w:snapToGrid w:val="0"/>
        <w:spacing w:line="570" w:lineRule="exact"/>
        <w:ind w:firstLine="640" w:firstLineChars="200"/>
        <w:textAlignment w:val="baseline"/>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b w:val="0"/>
          <w:bCs w:val="0"/>
          <w:color w:val="auto"/>
          <w:sz w:val="32"/>
          <w:szCs w:val="32"/>
          <w:highlight w:val="none"/>
          <w:lang w:val="en-US" w:eastAsia="zh-CN"/>
        </w:rPr>
        <w:t>完善现代化综合交通体系。</w:t>
      </w:r>
      <w:r>
        <w:rPr>
          <w:rFonts w:hint="default" w:ascii="Times New Roman" w:hAnsi="Times New Roman" w:eastAsia="仿宋_GB2312" w:cs="Times New Roman"/>
          <w:b w:val="0"/>
          <w:bCs w:val="0"/>
          <w:color w:val="auto"/>
          <w:sz w:val="32"/>
          <w:szCs w:val="32"/>
          <w:highlight w:val="none"/>
          <w:lang w:val="en-US" w:eastAsia="zh-CN"/>
        </w:rPr>
        <w:t>加强交通强国山东示范区“乳山样板”建设，积极融入威海市综合立体交通网建设大局，构建安全、便捷、高效、绿色、经济的现代化综合交通体系。推动G228丹东线乳山口大桥项目建成通车，加快</w:t>
      </w:r>
      <w:r>
        <w:rPr>
          <w:rFonts w:hint="default" w:ascii="Times New Roman" w:hAnsi="Times New Roman" w:eastAsia="仿宋_GB2312" w:cs="Times New Roman"/>
          <w:bCs/>
          <w:color w:val="auto"/>
          <w:sz w:val="32"/>
          <w:szCs w:val="32"/>
          <w:highlight w:val="none"/>
          <w:lang w:val="en-US" w:eastAsia="zh-CN"/>
        </w:rPr>
        <w:t>乳山港泊位扩建与疏港铁路规划，</w:t>
      </w:r>
      <w:r>
        <w:rPr>
          <w:rFonts w:hint="default" w:ascii="Times New Roman" w:hAnsi="Times New Roman" w:eastAsia="仿宋_GB2312" w:cs="Times New Roman"/>
          <w:color w:val="auto"/>
          <w:spacing w:val="0"/>
          <w:sz w:val="32"/>
          <w:szCs w:val="32"/>
          <w:highlight w:val="none"/>
        </w:rPr>
        <w:t>促进综合货运枢纽、港口、铁路物流场站等设施互联互通</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增强枢纽衔接转运能力，打造北方海工装备特色港、零碳港口。</w:t>
      </w:r>
      <w:r>
        <w:rPr>
          <w:rFonts w:hint="default" w:ascii="Times New Roman" w:hAnsi="Times New Roman" w:eastAsia="仿宋_GB2312" w:cs="Times New Roman"/>
          <w:color w:val="auto"/>
          <w:sz w:val="32"/>
          <w:szCs w:val="32"/>
          <w:highlight w:val="none"/>
          <w:u w:val="none"/>
          <w:lang w:val="en-US" w:eastAsia="zh-CN"/>
        </w:rPr>
        <w:t>统筹推进城乡交通基础设施一体化布局，持续做好“四好农村路”提质增效，推进农村公路提档升级。有序实施干线公路改造，顺畅主城区与滨海新区有机整合联结的快速交通网络，</w:t>
      </w:r>
      <w:r>
        <w:rPr>
          <w:rFonts w:hint="default" w:ascii="Times New Roman" w:hAnsi="Times New Roman" w:eastAsia="仿宋_GB2312" w:cs="Times New Roman"/>
          <w:color w:val="auto"/>
          <w:sz w:val="32"/>
          <w:szCs w:val="32"/>
          <w:highlight w:val="none"/>
          <w:lang w:val="en-US" w:eastAsia="zh-CN"/>
        </w:rPr>
        <w:t>形成主城区“</w:t>
      </w:r>
      <w:r>
        <w:rPr>
          <w:rFonts w:hint="default" w:ascii="Times New Roman" w:hAnsi="Times New Roman" w:eastAsia="仿宋_GB2312" w:cs="Times New Roman"/>
          <w:color w:val="auto"/>
          <w:sz w:val="32"/>
          <w:szCs w:val="32"/>
          <w:highlight w:val="none"/>
          <w:lang w:eastAsia="zh-CN"/>
        </w:rPr>
        <w:t>六横七纵</w:t>
      </w:r>
      <w:r>
        <w:rPr>
          <w:rFonts w:hint="default" w:ascii="Times New Roman" w:hAnsi="Times New Roman" w:eastAsia="仿宋_GB2312" w:cs="Times New Roman"/>
          <w:color w:val="auto"/>
          <w:sz w:val="32"/>
          <w:szCs w:val="32"/>
          <w:highlight w:val="none"/>
          <w:lang w:val="en-US" w:eastAsia="zh-CN"/>
        </w:rPr>
        <w:t>”主干路网布局。</w:t>
      </w:r>
      <w:r>
        <w:rPr>
          <w:rFonts w:hint="default" w:ascii="Times New Roman" w:hAnsi="Times New Roman" w:eastAsia="仿宋_GB2312" w:cs="Times New Roman"/>
          <w:color w:val="auto"/>
          <w:sz w:val="32"/>
          <w:szCs w:val="32"/>
          <w:highlight w:val="none"/>
          <w:lang w:eastAsia="zh-CN"/>
        </w:rPr>
        <w:t>优化交通运输结构，推广应用新能源交通工具，推进绿色公路、绿色港口、绿色航道建设。</w:t>
      </w:r>
    </w:p>
    <w:p>
      <w:pPr>
        <w:pStyle w:val="23"/>
        <w:keepLines w:val="0"/>
        <w:pageBreakBefore w:val="0"/>
        <w:widowControl w:val="0"/>
        <w:kinsoku/>
        <w:wordWrap/>
        <w:overflowPunct/>
        <w:topLinePunct w:val="0"/>
        <w:bidi w:val="0"/>
        <w:spacing w:line="570" w:lineRule="exact"/>
        <w:ind w:firstLine="640" w:firstLineChars="200"/>
        <w:rPr>
          <w:rFonts w:hint="default" w:ascii="Times New Roman" w:hAnsi="Times New Roman" w:eastAsia="仿宋_GB2312" w:cs="Times New Roman"/>
          <w:color w:val="auto"/>
          <w:spacing w:val="0"/>
          <w:kern w:val="0"/>
          <w:sz w:val="32"/>
          <w:szCs w:val="32"/>
          <w:highlight w:val="none"/>
          <w:lang w:val="en-US" w:eastAsia="zh-CN" w:bidi="ar-SA"/>
        </w:rPr>
      </w:pPr>
      <w:r>
        <w:rPr>
          <w:rFonts w:hint="default" w:ascii="Times New Roman" w:hAnsi="Times New Roman" w:eastAsia="楷体_GB2312" w:cs="Times New Roman"/>
          <w:b w:val="0"/>
          <w:bCs w:val="0"/>
          <w:color w:val="auto"/>
          <w:sz w:val="32"/>
          <w:szCs w:val="32"/>
          <w:highlight w:val="none"/>
          <w:lang w:val="en-US" w:eastAsia="zh-CN"/>
        </w:rPr>
        <w:t>建设新型能源基础设施</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以“绿色低碳、多元互补、安全高效”为导向，统筹推进“源网荷储”现代能源基础设施，推动南黄500千伏变电站高效利用，争取1000千伏输变电工程落户乳山，塑强清洁能源新优势。同步发力储能与能源输配网络建设，</w:t>
      </w:r>
      <w:r>
        <w:rPr>
          <w:rFonts w:hint="default" w:ascii="Times New Roman" w:hAnsi="Times New Roman" w:eastAsia="仿宋_GB2312" w:cs="Times New Roman"/>
          <w:color w:val="auto"/>
          <w:spacing w:val="0"/>
          <w:kern w:val="0"/>
          <w:sz w:val="32"/>
          <w:szCs w:val="32"/>
          <w:highlight w:val="none"/>
          <w:lang w:val="en-US" w:eastAsia="zh-CN" w:bidi="ar-SA"/>
        </w:rPr>
        <w:t>推进城乡电网升级，实现工业园区、重点乡镇双电源供电，加大公共区域充电场地投建力度，建设综合充电服务站、能源港，打造集光、储、充、放、检于一体的综合能源示范站，构建“源网荷储”协同的新型能源基础设施体系。</w:t>
      </w:r>
    </w:p>
    <w:p>
      <w:pPr>
        <w:keepLines w:val="0"/>
        <w:pageBreakBefore w:val="0"/>
        <w:widowControl w:val="0"/>
        <w:kinsoku/>
        <w:wordWrap/>
        <w:overflowPunct/>
        <w:topLinePunct w:val="0"/>
        <w:bidi w:val="0"/>
        <w:adjustRightInd/>
        <w:spacing w:line="570" w:lineRule="exact"/>
        <w:ind w:firstLine="640" w:firstLineChars="20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加快建设现代化水网</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统筹“供水、防洪、生态”功能，构建“多源互补、全域覆盖”的现代化水网体系。优化输配水网络，</w:t>
      </w:r>
      <w:r>
        <w:rPr>
          <w:rFonts w:hint="default" w:ascii="Times New Roman" w:hAnsi="Times New Roman" w:eastAsia="仿宋_GB2312" w:cs="Times New Roman"/>
          <w:b w:val="0"/>
          <w:bCs w:val="0"/>
          <w:color w:val="auto"/>
          <w:w w:val="100"/>
          <w:sz w:val="32"/>
          <w:szCs w:val="32"/>
          <w:highlight w:val="none"/>
          <w:lang w:val="en-US" w:eastAsia="zh-CN"/>
        </w:rPr>
        <w:t>强化水质安全保障，</w:t>
      </w:r>
      <w:r>
        <w:rPr>
          <w:rFonts w:hint="default" w:ascii="Times New Roman" w:hAnsi="Times New Roman" w:eastAsia="仿宋_GB2312" w:cs="Times New Roman"/>
          <w:color w:val="auto"/>
          <w:sz w:val="32"/>
          <w:szCs w:val="32"/>
          <w:highlight w:val="none"/>
          <w:lang w:val="en-US" w:eastAsia="zh-CN"/>
        </w:rPr>
        <w:t>重点实施</w:t>
      </w:r>
      <w:r>
        <w:rPr>
          <w:rFonts w:hint="default" w:ascii="Times New Roman" w:hAnsi="Times New Roman" w:eastAsia="仿宋_GB2312" w:cs="Times New Roman"/>
          <w:color w:val="auto"/>
          <w:sz w:val="32"/>
          <w:szCs w:val="32"/>
          <w:highlight w:val="none"/>
          <w:u w:val="none"/>
          <w:lang w:val="en-US" w:eastAsia="zh-CN"/>
        </w:rPr>
        <w:t>城市小区供水管网及设施更新改造项目，</w:t>
      </w:r>
      <w:r>
        <w:rPr>
          <w:rFonts w:hint="default" w:ascii="Times New Roman" w:hAnsi="Times New Roman" w:eastAsia="仿宋_GB2312" w:cs="Times New Roman"/>
          <w:color w:val="auto"/>
          <w:sz w:val="32"/>
          <w:szCs w:val="32"/>
          <w:highlight w:val="none"/>
          <w:lang w:eastAsia="zh-CN"/>
        </w:rPr>
        <w:t>新建小型水库及水库增容、清淤工程</w:t>
      </w:r>
      <w:r>
        <w:rPr>
          <w:rFonts w:hint="default" w:ascii="Times New Roman" w:hAnsi="Times New Roman" w:eastAsia="仿宋_GB2312" w:cs="Times New Roman"/>
          <w:color w:val="auto"/>
          <w:sz w:val="32"/>
          <w:szCs w:val="32"/>
          <w:highlight w:val="none"/>
        </w:rPr>
        <w:t>，新增水资源开发利用能力</w:t>
      </w:r>
      <w:r>
        <w:rPr>
          <w:rFonts w:hint="default" w:ascii="Times New Roman" w:hAnsi="Times New Roman" w:eastAsia="仿宋_GB2312" w:cs="Times New Roman"/>
          <w:color w:val="auto"/>
          <w:sz w:val="32"/>
          <w:szCs w:val="32"/>
          <w:highlight w:val="none"/>
          <w:lang w:val="en-US" w:eastAsia="zh-CN"/>
        </w:rPr>
        <w:t>3490</w:t>
      </w:r>
      <w:r>
        <w:rPr>
          <w:rFonts w:hint="default" w:ascii="Times New Roman" w:hAnsi="Times New Roman" w:eastAsia="仿宋_GB2312" w:cs="Times New Roman"/>
          <w:color w:val="auto"/>
          <w:sz w:val="32"/>
          <w:szCs w:val="32"/>
          <w:highlight w:val="none"/>
        </w:rPr>
        <w:t>万立方米</w:t>
      </w:r>
      <w:r>
        <w:rPr>
          <w:rFonts w:hint="default" w:ascii="Times New Roman" w:hAnsi="Times New Roman" w:eastAsia="仿宋_GB2312" w:cs="Times New Roman"/>
          <w:b w:val="0"/>
          <w:bCs w:val="0"/>
          <w:color w:val="auto"/>
          <w:w w:val="100"/>
          <w:sz w:val="32"/>
          <w:szCs w:val="32"/>
          <w:highlight w:val="none"/>
          <w:lang w:val="en-US" w:eastAsia="zh-CN"/>
        </w:rPr>
        <w:t>，确保城市供水水质达标率98%以上。</w:t>
      </w:r>
      <w:r>
        <w:rPr>
          <w:rFonts w:hint="default" w:ascii="Times New Roman" w:hAnsi="Times New Roman" w:eastAsia="仿宋_GB2312" w:cs="Times New Roman"/>
          <w:color w:val="auto"/>
          <w:sz w:val="32"/>
          <w:szCs w:val="32"/>
          <w:highlight w:val="none"/>
          <w:lang w:val="en-US" w:eastAsia="zh-CN"/>
        </w:rPr>
        <w:t>协同推进防洪排涝与生态治理，</w:t>
      </w:r>
      <w:r>
        <w:rPr>
          <w:rFonts w:hint="default" w:ascii="Times New Roman" w:hAnsi="Times New Roman" w:eastAsia="仿宋_GB2312" w:cs="Times New Roman"/>
          <w:color w:val="auto"/>
          <w:sz w:val="32"/>
          <w:szCs w:val="32"/>
          <w:highlight w:val="none"/>
          <w:lang w:eastAsia="zh-CN"/>
        </w:rPr>
        <w:t>有序实施水库工程维修养护和除险加固，</w:t>
      </w:r>
      <w:r>
        <w:rPr>
          <w:rFonts w:hint="default" w:ascii="Times New Roman" w:hAnsi="Times New Roman" w:eastAsia="仿宋_GB2312" w:cs="Times New Roman"/>
          <w:color w:val="auto"/>
          <w:sz w:val="32"/>
          <w:szCs w:val="32"/>
          <w:highlight w:val="none"/>
          <w:lang w:val="en-US" w:eastAsia="zh-CN"/>
        </w:rPr>
        <w:t>加强城市排水管网系统改造，</w:t>
      </w:r>
      <w:r>
        <w:rPr>
          <w:rFonts w:hint="default" w:ascii="Times New Roman" w:hAnsi="Times New Roman" w:eastAsia="仿宋_GB2312" w:cs="Times New Roman"/>
          <w:color w:val="auto"/>
          <w:sz w:val="32"/>
          <w:szCs w:val="32"/>
          <w:highlight w:val="none"/>
        </w:rPr>
        <w:t>加大水土流失预防和治理力度，重要河道、海堤达到20年一遇防洪（潮）标准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推进智慧水网建设，</w:t>
      </w:r>
      <w:r>
        <w:rPr>
          <w:rFonts w:hint="default" w:ascii="Times New Roman" w:hAnsi="Times New Roman" w:eastAsia="仿宋_GB2312" w:cs="Times New Roman"/>
          <w:color w:val="auto"/>
          <w:sz w:val="32"/>
          <w:szCs w:val="32"/>
          <w:highlight w:val="none"/>
        </w:rPr>
        <w:t>实现</w:t>
      </w:r>
      <w:r>
        <w:rPr>
          <w:rFonts w:hint="default" w:ascii="Times New Roman" w:hAnsi="Times New Roman" w:eastAsia="仿宋_GB2312" w:cs="Times New Roman"/>
          <w:color w:val="auto"/>
          <w:sz w:val="32"/>
          <w:szCs w:val="32"/>
          <w:highlight w:val="none"/>
          <w:lang w:eastAsia="zh-CN"/>
        </w:rPr>
        <w:t>多功能</w:t>
      </w:r>
      <w:r>
        <w:rPr>
          <w:rFonts w:hint="default" w:ascii="Times New Roman" w:hAnsi="Times New Roman" w:eastAsia="仿宋_GB2312" w:cs="Times New Roman"/>
          <w:color w:val="auto"/>
          <w:sz w:val="32"/>
          <w:szCs w:val="32"/>
          <w:highlight w:val="none"/>
          <w:lang w:val="en-US" w:eastAsia="zh-CN"/>
        </w:rPr>
        <w:t>有机整合</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构建“六库交织、两河为廊、多点促兴、蓝绿安澜”的现代水网格局。</w:t>
      </w:r>
      <w:bookmarkStart w:id="199" w:name="_Toc24313"/>
      <w:bookmarkStart w:id="200" w:name="_Toc19420"/>
      <w:bookmarkStart w:id="201" w:name="_Toc28552"/>
      <w:bookmarkStart w:id="202" w:name="_Toc9287"/>
    </w:p>
    <w:bookmarkEnd w:id="199"/>
    <w:bookmarkEnd w:id="200"/>
    <w:bookmarkEnd w:id="201"/>
    <w:bookmarkEnd w:id="202"/>
    <w:p>
      <w:pPr>
        <w:pStyle w:val="2"/>
        <w:pageBreakBefore w:val="0"/>
        <w:kinsoku/>
        <w:wordWrap/>
        <w:overflowPunct/>
        <w:topLinePunct w:val="0"/>
        <w:autoSpaceDE/>
        <w:autoSpaceDN/>
        <w:bidi w:val="0"/>
        <w:adjustRightInd/>
        <w:snapToGrid/>
        <w:spacing w:before="100" w:beforeLines="100" w:after="100" w:afterLines="100" w:line="56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203" w:name="_Toc5191"/>
      <w:bookmarkStart w:id="204" w:name="_Toc12152"/>
      <w:bookmarkStart w:id="205" w:name="_Toc6949"/>
      <w:bookmarkStart w:id="206" w:name="_Toc27379"/>
      <w:bookmarkStart w:id="207" w:name="_Toc28591"/>
      <w:bookmarkStart w:id="208" w:name="_Toc8561"/>
      <w:bookmarkStart w:id="209" w:name="_Toc9562"/>
      <w:bookmarkStart w:id="210" w:name="_Toc11358"/>
    </w:p>
    <w:p>
      <w:pPr>
        <w:pStyle w:val="2"/>
        <w:keepNext w:val="0"/>
        <w:keepLines w:val="0"/>
        <w:pageBreakBefore w:val="0"/>
        <w:widowControl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211" w:name="_Toc22550"/>
      <w:r>
        <w:rPr>
          <w:rFonts w:hint="default" w:ascii="Times New Roman" w:hAnsi="Times New Roman" w:eastAsia="黑体" w:cs="Times New Roman"/>
          <w:b w:val="0"/>
          <w:bCs w:val="0"/>
          <w:color w:val="auto"/>
          <w:sz w:val="32"/>
          <w:szCs w:val="32"/>
          <w:highlight w:val="none"/>
          <w:lang w:val="en-US" w:eastAsia="zh-CN"/>
        </w:rPr>
        <w:t>第六章 全面深化改革开放，</w:t>
      </w:r>
      <w:bookmarkEnd w:id="203"/>
      <w:bookmarkEnd w:id="204"/>
      <w:bookmarkEnd w:id="205"/>
      <w:bookmarkEnd w:id="206"/>
      <w:bookmarkEnd w:id="207"/>
      <w:bookmarkEnd w:id="208"/>
      <w:bookmarkEnd w:id="209"/>
      <w:bookmarkEnd w:id="210"/>
      <w:r>
        <w:rPr>
          <w:rFonts w:hint="default" w:ascii="Times New Roman" w:hAnsi="Times New Roman" w:eastAsia="黑体" w:cs="Times New Roman"/>
          <w:b w:val="0"/>
          <w:bCs w:val="0"/>
          <w:color w:val="auto"/>
          <w:sz w:val="32"/>
          <w:szCs w:val="32"/>
          <w:highlight w:val="none"/>
          <w:lang w:val="en-US" w:eastAsia="zh-CN"/>
        </w:rPr>
        <w:t>增强高质量发展内生动力</w:t>
      </w:r>
      <w:bookmarkEnd w:id="211"/>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i w:val="0"/>
          <w:iCs w:val="0"/>
          <w:caps w:val="0"/>
          <w:color w:val="auto"/>
          <w:spacing w:val="0"/>
          <w:kern w:val="0"/>
          <w:sz w:val="32"/>
          <w:szCs w:val="32"/>
          <w:highlight w:val="none"/>
          <w:u w:val="none" w:color="auto"/>
          <w:shd w:val="clear"/>
          <w:lang w:val="en-US" w:eastAsia="zh-CN"/>
        </w:rPr>
      </w:pPr>
      <w:bookmarkStart w:id="212" w:name="_Toc4845"/>
      <w:bookmarkStart w:id="213" w:name="_Toc23495"/>
      <w:r>
        <w:rPr>
          <w:rFonts w:hint="default" w:ascii="Times New Roman" w:hAnsi="Times New Roman" w:eastAsia="仿宋_GB2312" w:cs="Times New Roman"/>
          <w:i w:val="0"/>
          <w:iCs w:val="0"/>
          <w:caps w:val="0"/>
          <w:color w:val="auto"/>
          <w:spacing w:val="0"/>
          <w:kern w:val="0"/>
          <w:sz w:val="32"/>
          <w:szCs w:val="32"/>
          <w:highlight w:val="none"/>
          <w:u w:val="none" w:color="auto"/>
          <w:shd w:val="clear"/>
          <w:lang w:val="en-US" w:eastAsia="zh-CN"/>
        </w:rPr>
        <w:t>深入实施市场活力和开放能级提升工程，全面深化体制机制改革，努力拓展开放发展空间，塑强开放发展优势，为经济高质量发展注入澎湃动力。</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i w:val="0"/>
          <w:iCs w:val="0"/>
          <w:caps w:val="0"/>
          <w:color w:val="auto"/>
          <w:spacing w:val="0"/>
          <w:kern w:val="0"/>
          <w:sz w:val="32"/>
          <w:szCs w:val="32"/>
          <w:highlight w:val="none"/>
          <w:u w:val="none" w:color="auto"/>
          <w:shd w:val="clear"/>
          <w:lang w:val="en-US" w:eastAsia="zh-CN"/>
        </w:rPr>
      </w:pPr>
    </w:p>
    <w:bookmarkEnd w:id="212"/>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214" w:name="_Toc25660"/>
      <w:bookmarkStart w:id="215" w:name="_Toc20502"/>
      <w:bookmarkStart w:id="216" w:name="_Toc20064"/>
      <w:bookmarkStart w:id="217" w:name="_Toc22959"/>
      <w:bookmarkStart w:id="218" w:name="_Toc1012"/>
      <w:bookmarkStart w:id="219" w:name="_Toc267"/>
      <w:bookmarkStart w:id="220" w:name="_Toc13152"/>
      <w:bookmarkStart w:id="221" w:name="_Toc17875"/>
      <w:r>
        <w:rPr>
          <w:rFonts w:hint="default" w:ascii="Times New Roman" w:hAnsi="Times New Roman" w:cs="Times New Roman"/>
          <w:snapToGrid w:val="0"/>
          <w:color w:val="auto"/>
          <w:sz w:val="32"/>
          <w:highlight w:val="none"/>
          <w:lang w:val="en-US" w:eastAsia="zh-CN"/>
        </w:rPr>
        <w:t>第一节 持续激发市场主体活力</w:t>
      </w:r>
      <w:bookmarkEnd w:id="213"/>
      <w:bookmarkEnd w:id="214"/>
      <w:bookmarkEnd w:id="215"/>
      <w:bookmarkEnd w:id="216"/>
      <w:bookmarkEnd w:id="217"/>
      <w:bookmarkEnd w:id="218"/>
      <w:bookmarkEnd w:id="219"/>
      <w:bookmarkEnd w:id="220"/>
      <w:bookmarkEnd w:id="221"/>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b w:val="0"/>
          <w:bCs w:val="0"/>
          <w:color w:val="auto"/>
          <w:spacing w:val="0"/>
          <w:kern w:val="21"/>
          <w:sz w:val="32"/>
          <w:szCs w:val="32"/>
          <w:highlight w:val="none"/>
          <w:u w:val="none"/>
          <w:lang w:val="en-US" w:eastAsia="zh-CN"/>
        </w:rPr>
      </w:pPr>
      <w:bookmarkStart w:id="222" w:name="_Toc9410"/>
      <w:r>
        <w:rPr>
          <w:rFonts w:hint="default" w:ascii="Times New Roman" w:hAnsi="Times New Roman" w:eastAsia="仿宋_GB2312" w:cs="Times New Roman"/>
          <w:b w:val="0"/>
          <w:bCs w:val="0"/>
          <w:color w:val="auto"/>
          <w:spacing w:val="0"/>
          <w:kern w:val="21"/>
          <w:sz w:val="32"/>
          <w:szCs w:val="32"/>
          <w:highlight w:val="none"/>
          <w:u w:val="none"/>
          <w:lang w:val="en-US" w:eastAsia="zh-CN"/>
        </w:rPr>
        <w:t>坚持和落实“两个毫不动摇”，培育更多充满活力和创造力的市场主体，促进各种所有制经济优势互补、共同发展。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color w:val="auto"/>
          <w:kern w:val="0"/>
          <w:sz w:val="32"/>
          <w:szCs w:val="32"/>
          <w:highlight w:val="none"/>
          <w:u w:val="none" w:color="auto"/>
          <w:lang w:eastAsia="zh-CN" w:bidi="ar-SA"/>
        </w:rPr>
      </w:pPr>
      <w:r>
        <w:rPr>
          <w:rFonts w:hint="default" w:ascii="Times New Roman" w:hAnsi="Times New Roman" w:eastAsia="楷体_GB2312" w:cs="Times New Roman"/>
          <w:b w:val="0"/>
          <w:bCs w:val="0"/>
          <w:color w:val="auto"/>
          <w:kern w:val="2"/>
          <w:sz w:val="32"/>
          <w:szCs w:val="32"/>
          <w:highlight w:val="none"/>
          <w:u w:val="none"/>
          <w:lang w:bidi="ar-SA"/>
        </w:rPr>
        <w:t>深化国资国企改革</w:t>
      </w:r>
      <w:r>
        <w:rPr>
          <w:rFonts w:hint="default" w:ascii="Times New Roman" w:hAnsi="Times New Roman" w:eastAsia="楷体_GB2312" w:cs="Times New Roman"/>
          <w:b w:val="0"/>
          <w:bCs w:val="0"/>
          <w:color w:val="auto"/>
          <w:kern w:val="2"/>
          <w:sz w:val="32"/>
          <w:szCs w:val="32"/>
          <w:highlight w:val="none"/>
          <w:u w:val="none"/>
          <w:lang w:eastAsia="zh-CN" w:bidi="ar-SA"/>
        </w:rPr>
        <w:t>。</w:t>
      </w:r>
      <w:r>
        <w:rPr>
          <w:rFonts w:hint="default" w:ascii="Times New Roman" w:hAnsi="Times New Roman" w:eastAsia="仿宋_GB2312" w:cs="Times New Roman"/>
          <w:color w:val="auto"/>
          <w:kern w:val="0"/>
          <w:sz w:val="32"/>
          <w:szCs w:val="32"/>
          <w:highlight w:val="none"/>
          <w:u w:val="none" w:color="auto"/>
          <w:lang w:val="en-US" w:eastAsia="zh-CN" w:bidi="ar-SA"/>
        </w:rPr>
        <w:t>做强做优做大国有资本和国有企业，支持国资国企</w:t>
      </w:r>
      <w:r>
        <w:rPr>
          <w:rFonts w:hint="default" w:ascii="Times New Roman" w:hAnsi="Times New Roman" w:eastAsia="仿宋_GB2312" w:cs="Times New Roman"/>
          <w:b w:val="0"/>
          <w:bCs w:val="0"/>
          <w:color w:val="auto"/>
          <w:kern w:val="0"/>
          <w:sz w:val="32"/>
          <w:szCs w:val="32"/>
          <w:highlight w:val="none"/>
          <w:u w:val="none" w:color="auto"/>
          <w:lang w:eastAsia="zh-CN" w:bidi="ar-SA"/>
        </w:rPr>
        <w:t>聚焦主责主业，推进国有经济布局优化和结构调整，</w:t>
      </w:r>
      <w:r>
        <w:rPr>
          <w:rFonts w:hint="default" w:ascii="Times New Roman" w:hAnsi="Times New Roman" w:eastAsia="仿宋_GB2312" w:cs="Times New Roman"/>
          <w:color w:val="auto"/>
          <w:kern w:val="0"/>
          <w:sz w:val="32"/>
          <w:szCs w:val="32"/>
          <w:highlight w:val="none"/>
          <w:u w:val="none" w:color="auto"/>
          <w:lang w:bidi="ar-SA"/>
        </w:rPr>
        <w:t>推动国有资本向新能源、</w:t>
      </w:r>
      <w:r>
        <w:rPr>
          <w:rFonts w:hint="default" w:ascii="Times New Roman" w:hAnsi="Times New Roman" w:eastAsia="仿宋_GB2312" w:cs="Times New Roman"/>
          <w:color w:val="auto"/>
          <w:kern w:val="0"/>
          <w:sz w:val="32"/>
          <w:szCs w:val="32"/>
          <w:highlight w:val="none"/>
          <w:u w:val="none" w:color="auto"/>
          <w:lang w:eastAsia="zh-CN" w:bidi="ar-SA"/>
        </w:rPr>
        <w:t>城市公共服务、特色文旅</w:t>
      </w:r>
      <w:r>
        <w:rPr>
          <w:rFonts w:hint="default" w:ascii="Times New Roman" w:hAnsi="Times New Roman" w:eastAsia="仿宋_GB2312" w:cs="Times New Roman"/>
          <w:color w:val="auto"/>
          <w:kern w:val="0"/>
          <w:sz w:val="32"/>
          <w:szCs w:val="32"/>
          <w:highlight w:val="none"/>
          <w:u w:val="none" w:color="auto"/>
          <w:lang w:bidi="ar-SA"/>
        </w:rPr>
        <w:t>等重点产业集中，</w:t>
      </w:r>
      <w:r>
        <w:rPr>
          <w:rFonts w:hint="default" w:ascii="Times New Roman" w:hAnsi="Times New Roman" w:eastAsia="仿宋_GB2312" w:cs="Times New Roman"/>
          <w:color w:val="auto"/>
          <w:kern w:val="0"/>
          <w:sz w:val="32"/>
          <w:szCs w:val="32"/>
          <w:highlight w:val="none"/>
          <w:u w:val="none" w:color="auto"/>
          <w:lang w:eastAsia="zh-CN" w:bidi="ar-SA"/>
        </w:rPr>
        <w:t>稳步推进战略性重组和专业化整合，盘活国有存量资产，</w:t>
      </w:r>
      <w:r>
        <w:rPr>
          <w:rFonts w:hint="default" w:ascii="Times New Roman" w:hAnsi="Times New Roman" w:eastAsia="仿宋_GB2312" w:cs="Times New Roman"/>
          <w:color w:val="auto"/>
          <w:kern w:val="0"/>
          <w:sz w:val="32"/>
          <w:szCs w:val="32"/>
          <w:highlight w:val="none"/>
          <w:u w:val="none" w:color="auto"/>
          <w:lang w:val="en-US" w:eastAsia="zh-CN" w:bidi="ar-SA"/>
        </w:rPr>
        <w:t>推动国企资源配置效率最优化和效益最大化，增强国有企业核心功能和竞争力。</w:t>
      </w:r>
      <w:r>
        <w:rPr>
          <w:rFonts w:hint="default" w:ascii="Times New Roman" w:hAnsi="Times New Roman" w:eastAsia="仿宋_GB2312" w:cs="Times New Roman"/>
          <w:color w:val="auto"/>
          <w:kern w:val="0"/>
          <w:sz w:val="32"/>
          <w:szCs w:val="32"/>
          <w:highlight w:val="none"/>
          <w:u w:val="none" w:color="auto"/>
          <w:lang w:bidi="ar-SA"/>
        </w:rPr>
        <w:t>夯实国有企业管理基础，完善国有企业法人治理结构，</w:t>
      </w:r>
      <w:r>
        <w:rPr>
          <w:rFonts w:hint="default" w:ascii="Times New Roman" w:hAnsi="Times New Roman" w:eastAsia="仿宋_GB2312" w:cs="Times New Roman"/>
          <w:color w:val="auto"/>
          <w:kern w:val="0"/>
          <w:sz w:val="32"/>
          <w:szCs w:val="32"/>
          <w:highlight w:val="none"/>
          <w:u w:val="none" w:color="auto"/>
          <w:lang w:val="en-US" w:eastAsia="zh-CN" w:bidi="ar-SA"/>
        </w:rPr>
        <w:t>建立现代企业制度、考核评价体系，</w:t>
      </w:r>
      <w:r>
        <w:rPr>
          <w:rFonts w:hint="default" w:ascii="Times New Roman" w:hAnsi="Times New Roman" w:eastAsia="仿宋_GB2312" w:cs="Times New Roman"/>
          <w:color w:val="auto"/>
          <w:kern w:val="0"/>
          <w:sz w:val="32"/>
          <w:szCs w:val="32"/>
          <w:highlight w:val="none"/>
          <w:u w:val="none" w:color="auto"/>
          <w:lang w:bidi="ar-SA"/>
        </w:rPr>
        <w:t>加快构建灵活高效的市场化运营机制</w:t>
      </w:r>
      <w:r>
        <w:rPr>
          <w:rFonts w:hint="default" w:ascii="Times New Roman" w:hAnsi="Times New Roman" w:eastAsia="仿宋_GB2312" w:cs="Times New Roman"/>
          <w:color w:val="auto"/>
          <w:kern w:val="0"/>
          <w:sz w:val="32"/>
          <w:szCs w:val="32"/>
          <w:highlight w:val="none"/>
          <w:u w:val="none" w:color="auto"/>
          <w:lang w:eastAsia="zh-CN" w:bidi="ar-SA"/>
        </w:rPr>
        <w:t>。</w:t>
      </w:r>
      <w:r>
        <w:rPr>
          <w:rFonts w:hint="default" w:ascii="Times New Roman" w:hAnsi="Times New Roman" w:eastAsia="仿宋_GB2312" w:cs="Times New Roman"/>
          <w:color w:val="auto"/>
          <w:kern w:val="0"/>
          <w:sz w:val="32"/>
          <w:szCs w:val="32"/>
          <w:highlight w:val="none"/>
          <w:u w:val="none" w:color="auto"/>
          <w:lang w:val="en-US" w:eastAsia="zh-CN" w:bidi="ar-SA"/>
        </w:rPr>
        <w:t>强化国有企业重点领域风险防控，</w:t>
      </w:r>
      <w:r>
        <w:rPr>
          <w:rFonts w:hint="default" w:ascii="Times New Roman" w:hAnsi="Times New Roman" w:eastAsia="仿宋_GB2312" w:cs="Times New Roman"/>
          <w:color w:val="auto"/>
          <w:kern w:val="0"/>
          <w:sz w:val="32"/>
          <w:szCs w:val="32"/>
          <w:highlight w:val="none"/>
          <w:u w:val="none" w:color="auto"/>
          <w:lang w:eastAsia="zh-CN" w:bidi="ar-SA"/>
        </w:rPr>
        <w:t>加强出资人监督和各类监督贯通协同，有序建立智能化穿透式监管</w:t>
      </w:r>
      <w:r>
        <w:rPr>
          <w:rFonts w:hint="default" w:ascii="Times New Roman" w:hAnsi="Times New Roman" w:eastAsia="仿宋_GB2312" w:cs="Times New Roman"/>
          <w:color w:val="auto"/>
          <w:kern w:val="0"/>
          <w:sz w:val="32"/>
          <w:szCs w:val="32"/>
          <w:highlight w:val="none"/>
          <w:u w:val="none" w:color="auto"/>
          <w:lang w:val="en-US" w:eastAsia="zh-CN" w:bidi="ar-SA"/>
        </w:rPr>
        <w:t>模式</w:t>
      </w:r>
      <w:r>
        <w:rPr>
          <w:rFonts w:hint="default" w:ascii="Times New Roman" w:hAnsi="Times New Roman" w:eastAsia="仿宋_GB2312" w:cs="Times New Roman"/>
          <w:color w:val="auto"/>
          <w:kern w:val="0"/>
          <w:sz w:val="32"/>
          <w:szCs w:val="32"/>
          <w:highlight w:val="none"/>
          <w:u w:val="none" w:color="auto"/>
          <w:lang w:eastAsia="zh-CN" w:bidi="ar-SA"/>
        </w:rPr>
        <w:t>，持续提升国企价值创造能力和国有资产保值增值能力。</w:t>
      </w:r>
      <w:bookmarkEnd w:id="222"/>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b w:val="0"/>
          <w:bCs w:val="0"/>
          <w:color w:val="auto"/>
          <w:kern w:val="2"/>
          <w:sz w:val="32"/>
          <w:szCs w:val="32"/>
          <w:highlight w:val="none"/>
          <w:u w:val="none"/>
          <w:lang w:val="en-US" w:eastAsia="zh-CN" w:bidi="ar-SA"/>
        </w:rPr>
        <w:t>支持民营经济发展壮大</w:t>
      </w:r>
      <w:r>
        <w:rPr>
          <w:rFonts w:hint="default" w:ascii="Times New Roman" w:hAnsi="Times New Roman" w:eastAsia="仿宋_GB2312" w:cs="Times New Roman"/>
          <w:color w:val="auto"/>
          <w:spacing w:val="0"/>
          <w:sz w:val="32"/>
          <w:szCs w:val="32"/>
          <w:highlight w:val="none"/>
          <w:lang w:val="en-US" w:eastAsia="zh-CN"/>
        </w:rPr>
        <w:t>。贯彻落实民营经济促进法，</w:t>
      </w:r>
      <w:r>
        <w:rPr>
          <w:rFonts w:hint="default" w:ascii="Times New Roman" w:hAnsi="Times New Roman" w:eastAsia="仿宋_GB2312" w:cs="Times New Roman"/>
          <w:color w:val="auto"/>
          <w:spacing w:val="0"/>
          <w:sz w:val="32"/>
          <w:szCs w:val="32"/>
          <w:highlight w:val="none"/>
        </w:rPr>
        <w:t>完善激发民营经济发展活力的政策体系，促进非公有制经济健康发展。完善民营企业公平参与市场竞争的保障机制，从法律和制度上保障平等使用生产要素、公平参与市场竞争、有效保护合法权益，</w:t>
      </w:r>
      <w:r>
        <w:rPr>
          <w:rFonts w:hint="default" w:ascii="Times New Roman" w:hAnsi="Times New Roman" w:eastAsia="仿宋_GB2312" w:cs="Times New Roman"/>
          <w:color w:val="auto"/>
          <w:sz w:val="32"/>
          <w:szCs w:val="32"/>
          <w:highlight w:val="none"/>
          <w:lang w:val="en-US" w:eastAsia="zh-CN" w:bidi="ar"/>
        </w:rPr>
        <w:t>消除要素获取、资质认定、招标投标、政府采购等方面壁垒</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z w:val="32"/>
          <w:szCs w:val="32"/>
          <w:highlight w:val="none"/>
        </w:rPr>
        <w:t>建立民营企业参与重点项目建设的长效机制，鼓励民营企业通过PPP模式、股权投资等方式参与基础设施、产业园区、公共服务等重点项目建设。引导民营企业建立现代企业制度，</w:t>
      </w:r>
      <w:r>
        <w:rPr>
          <w:rFonts w:hint="default" w:ascii="Times New Roman" w:hAnsi="Times New Roman" w:eastAsia="仿宋_GB2312" w:cs="Times New Roman"/>
          <w:color w:val="auto"/>
          <w:sz w:val="32"/>
          <w:szCs w:val="32"/>
          <w:highlight w:val="none"/>
          <w:lang w:val="en-US" w:eastAsia="zh-CN"/>
        </w:rPr>
        <w:t>弘扬新时代企业家精神，一体推进清廉民企、法治民企、诚信民企建设，提升民营经济核心竞争力</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rPr>
        <w:t>完善要素市场化配置体制机制。</w:t>
      </w:r>
      <w:r>
        <w:rPr>
          <w:rFonts w:hint="default" w:ascii="Times New Roman" w:hAnsi="Times New Roman" w:eastAsia="仿宋_GB2312" w:cs="Times New Roman"/>
          <w:color w:val="auto"/>
          <w:sz w:val="32"/>
          <w:szCs w:val="32"/>
          <w:highlight w:val="none"/>
          <w:lang w:val="en-US" w:eastAsia="zh-CN"/>
        </w:rPr>
        <w:t>探索建立生产要素向新质生产力集聚机制，促进各类要素资源顺畅流转、高效配置。建立健全城乡统一的建设用地市场，深化“亩产效益”综合评价、“标准地”等改革，推进低效用地、闲置房产、存量基础设施盘活利用。健全统一规范的人力资源市场体系，提升公共就业服务能力，促进人才和劳动力流动顺畅、合理分布。</w:t>
      </w:r>
      <w:r>
        <w:rPr>
          <w:rFonts w:hint="default" w:ascii="Times New Roman" w:hAnsi="Times New Roman" w:eastAsia="仿宋_GB2312" w:cs="Times New Roman"/>
          <w:color w:val="auto"/>
          <w:sz w:val="32"/>
          <w:szCs w:val="32"/>
          <w:highlight w:val="none"/>
        </w:rPr>
        <w:t>优化金融资源配置，扩大直接融资比重，提高制造业、中小微企业及</w:t>
      </w:r>
      <w:r>
        <w:rPr>
          <w:rFonts w:hint="default" w:ascii="Times New Roman" w:hAnsi="Times New Roman" w:eastAsia="仿宋_GB2312" w:cs="Times New Roman"/>
          <w:color w:val="auto"/>
          <w:sz w:val="32"/>
          <w:szCs w:val="32"/>
          <w:highlight w:val="none"/>
          <w:lang w:eastAsia="zh-CN"/>
        </w:rPr>
        <w:t>“三农”</w:t>
      </w:r>
      <w:r>
        <w:rPr>
          <w:rFonts w:hint="default" w:ascii="Times New Roman" w:hAnsi="Times New Roman" w:eastAsia="仿宋_GB2312" w:cs="Times New Roman"/>
          <w:color w:val="auto"/>
          <w:sz w:val="32"/>
          <w:szCs w:val="32"/>
          <w:highlight w:val="none"/>
        </w:rPr>
        <w:t>融资可得性。拓展公共资源交易平台功能，健全科技成果交易平台，培育大数据交易市场，研究制定各类要素市场交易管理制度。</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223" w:name="_Toc31512"/>
      <w:bookmarkStart w:id="224" w:name="_Toc18255"/>
      <w:bookmarkStart w:id="225" w:name="_Toc21471"/>
      <w:bookmarkStart w:id="226" w:name="_Toc24107"/>
      <w:bookmarkStart w:id="227" w:name="_Toc17227"/>
      <w:bookmarkStart w:id="228" w:name="_Toc32039"/>
      <w:bookmarkStart w:id="229" w:name="_Toc19647"/>
      <w:bookmarkStart w:id="230" w:name="_Toc30195"/>
      <w:bookmarkStart w:id="231" w:name="_Toc15051"/>
      <w:r>
        <w:rPr>
          <w:rFonts w:hint="default" w:ascii="Times New Roman" w:hAnsi="Times New Roman" w:cs="Times New Roman"/>
          <w:snapToGrid w:val="0"/>
          <w:color w:val="auto"/>
          <w:sz w:val="32"/>
          <w:highlight w:val="none"/>
          <w:lang w:val="en-US" w:eastAsia="zh-CN"/>
        </w:rPr>
        <w:t>第二节 着力打造一流营商环境</w:t>
      </w:r>
      <w:bookmarkEnd w:id="223"/>
      <w:bookmarkEnd w:id="224"/>
      <w:bookmarkEnd w:id="225"/>
      <w:bookmarkEnd w:id="226"/>
      <w:bookmarkEnd w:id="227"/>
      <w:bookmarkEnd w:id="228"/>
      <w:bookmarkEnd w:id="229"/>
      <w:bookmarkEnd w:id="230"/>
      <w:bookmarkEnd w:id="231"/>
    </w:p>
    <w:p>
      <w:pPr>
        <w:pStyle w:val="27"/>
        <w:keepNext w:val="0"/>
        <w:keepLines w:val="0"/>
        <w:pageBreakBefore w:val="0"/>
        <w:widowControl w:val="0"/>
        <w:kinsoku/>
        <w:wordWrap/>
        <w:overflowPunct/>
        <w:topLinePunct w:val="0"/>
        <w:autoSpaceDE/>
        <w:autoSpaceDN/>
        <w:bidi w:val="0"/>
        <w:adjustRightInd/>
        <w:snapToGrid/>
        <w:spacing w:line="570" w:lineRule="exact"/>
        <w:ind w:firstLineChars="200"/>
        <w:jc w:val="left"/>
        <w:textAlignment w:val="auto"/>
        <w:rPr>
          <w:rFonts w:hint="default" w:ascii="Times New Roman" w:hAnsi="Times New Roman" w:eastAsia="仿宋_GB2312" w:cs="Times New Roman"/>
          <w:b w:val="0"/>
          <w:bCs w:val="0"/>
          <w:color w:val="auto"/>
          <w:spacing w:val="0"/>
          <w:kern w:val="2"/>
          <w:sz w:val="32"/>
          <w:szCs w:val="32"/>
          <w:highlight w:val="none"/>
          <w:lang w:val="en-US" w:eastAsia="zh-CN" w:bidi="ar-SA"/>
        </w:rPr>
      </w:pPr>
      <w:r>
        <w:rPr>
          <w:rFonts w:hint="default" w:ascii="Times New Roman" w:hAnsi="Times New Roman" w:eastAsia="仿宋_GB2312" w:cs="Times New Roman"/>
          <w:b w:val="0"/>
          <w:bCs w:val="0"/>
          <w:color w:val="auto"/>
          <w:spacing w:val="0"/>
          <w:kern w:val="2"/>
          <w:sz w:val="32"/>
          <w:szCs w:val="32"/>
          <w:highlight w:val="none"/>
          <w:lang w:val="en-US" w:eastAsia="zh-CN" w:bidi="ar-SA"/>
        </w:rPr>
        <w:t>深入开展营商环境创新提升行动，推出一批具有示范性、实效性的改革措施，全力打造稳定、公平、透明、可预期的市场化、法治化、国际化一流营商环境。</w:t>
      </w:r>
    </w:p>
    <w:p>
      <w:pPr>
        <w:pStyle w:val="27"/>
        <w:keepNext w:val="0"/>
        <w:keepLines w:val="0"/>
        <w:pageBreakBefore w:val="0"/>
        <w:widowControl w:val="0"/>
        <w:kinsoku/>
        <w:wordWrap/>
        <w:overflowPunct/>
        <w:topLinePunct w:val="0"/>
        <w:autoSpaceDE/>
        <w:autoSpaceDN/>
        <w:bidi w:val="0"/>
        <w:adjustRightInd/>
        <w:snapToGrid/>
        <w:spacing w:line="570" w:lineRule="exact"/>
        <w:ind w:firstLineChars="200"/>
        <w:jc w:val="left"/>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SA"/>
        </w:rPr>
        <w:t>全面</w:t>
      </w:r>
      <w:r>
        <w:rPr>
          <w:rFonts w:hint="default" w:ascii="Times New Roman" w:hAnsi="Times New Roman" w:eastAsia="楷体_GB2312" w:cs="Times New Roman"/>
          <w:b w:val="0"/>
          <w:bCs w:val="0"/>
          <w:color w:val="auto"/>
          <w:kern w:val="2"/>
          <w:sz w:val="32"/>
          <w:szCs w:val="32"/>
          <w:highlight w:val="none"/>
          <w:lang w:val="en-US" w:eastAsia="zh-CN"/>
        </w:rPr>
        <w:t>提升政务服务效能</w:t>
      </w:r>
      <w:r>
        <w:rPr>
          <w:rFonts w:hint="default" w:ascii="Times New Roman" w:hAnsi="Times New Roman" w:eastAsia="楷体_GB2312" w:cs="Times New Roman"/>
          <w:b w:val="0"/>
          <w:bCs w:val="0"/>
          <w:color w:val="auto"/>
          <w:kern w:val="2"/>
          <w:sz w:val="32"/>
          <w:szCs w:val="32"/>
          <w:highlight w:val="none"/>
          <w:lang w:eastAsia="zh-CN"/>
        </w:rPr>
        <w:t>。</w:t>
      </w:r>
      <w:r>
        <w:rPr>
          <w:rFonts w:hint="default" w:ascii="Times New Roman" w:hAnsi="Times New Roman" w:eastAsia="仿宋_GB2312" w:cs="Times New Roman"/>
          <w:color w:val="auto"/>
          <w:spacing w:val="0"/>
          <w:sz w:val="32"/>
          <w:szCs w:val="32"/>
          <w:highlight w:val="none"/>
        </w:rPr>
        <w:t>坚持系统性思维、整体式覆盖、全流程再造、数字化引领，持续推动</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高效办成一件事</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改革，</w:t>
      </w:r>
      <w:r>
        <w:rPr>
          <w:rFonts w:hint="default" w:ascii="Times New Roman" w:hAnsi="Times New Roman" w:eastAsia="仿宋_GB2312" w:cs="Times New Roman"/>
          <w:color w:val="auto"/>
          <w:spacing w:val="0"/>
          <w:sz w:val="32"/>
          <w:szCs w:val="32"/>
          <w:highlight w:val="none"/>
          <w:lang w:val="en-US" w:eastAsia="zh-CN"/>
        </w:rPr>
        <w:t>深化“无证明城市”建设，延伸“跨域通办”服务领域，开展“惠策直达</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益企赋能”行动，</w:t>
      </w:r>
      <w:r>
        <w:rPr>
          <w:rFonts w:hint="default" w:ascii="Times New Roman" w:hAnsi="Times New Roman" w:eastAsia="仿宋_GB2312" w:cs="Times New Roman"/>
          <w:color w:val="auto"/>
          <w:spacing w:val="0"/>
          <w:sz w:val="32"/>
          <w:szCs w:val="32"/>
          <w:highlight w:val="none"/>
        </w:rPr>
        <w:t>打造</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民事无忧·企事有解·政事高效</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服务品牌。全面实施行政许可事项清单管理，规范和约束行政许可实施裁量权，</w:t>
      </w:r>
      <w:r>
        <w:rPr>
          <w:rFonts w:hint="default" w:ascii="Times New Roman" w:hAnsi="Times New Roman" w:eastAsia="仿宋_GB2312" w:cs="Times New Roman"/>
          <w:color w:val="auto"/>
          <w:spacing w:val="0"/>
          <w:sz w:val="32"/>
          <w:szCs w:val="32"/>
          <w:highlight w:val="none"/>
          <w:lang w:val="en-US" w:eastAsia="zh-CN"/>
        </w:rPr>
        <w:t>健全</w:t>
      </w:r>
      <w:r>
        <w:rPr>
          <w:rFonts w:hint="default" w:ascii="Times New Roman" w:hAnsi="Times New Roman" w:eastAsia="仿宋_GB2312" w:cs="Times New Roman"/>
          <w:color w:val="auto"/>
          <w:spacing w:val="0"/>
          <w:sz w:val="32"/>
          <w:szCs w:val="32"/>
          <w:highlight w:val="none"/>
        </w:rPr>
        <w:t>新设行政许可的论证审查机制，防止许可事项</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减后再增</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。持续推进</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互联网+政务服务</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z w:val="32"/>
          <w:szCs w:val="32"/>
          <w:highlight w:val="none"/>
        </w:rPr>
        <w:t>完善</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集成服务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模式，</w:t>
      </w:r>
      <w:r>
        <w:rPr>
          <w:rFonts w:hint="default" w:ascii="Times New Roman" w:hAnsi="Times New Roman" w:eastAsia="仿宋_GB2312" w:cs="Times New Roman"/>
          <w:color w:val="auto"/>
          <w:sz w:val="32"/>
          <w:szCs w:val="32"/>
          <w:highlight w:val="none"/>
          <w:lang w:bidi="ar"/>
        </w:rPr>
        <w:t>实现政务服务事项</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bidi="ar"/>
        </w:rPr>
        <w:t>一网通办</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val="en-US" w:eastAsia="zh-CN" w:bidi="ar"/>
        </w:rPr>
        <w:t>打造务实暖心、优质高效、规范清廉的服务环境。</w:t>
      </w:r>
      <w:r>
        <w:rPr>
          <w:rFonts w:hint="default" w:ascii="Times New Roman" w:hAnsi="Times New Roman" w:eastAsia="仿宋_GB2312" w:cs="Times New Roman"/>
          <w:color w:val="auto"/>
          <w:spacing w:val="0"/>
          <w:sz w:val="32"/>
          <w:szCs w:val="32"/>
          <w:highlight w:val="none"/>
        </w:rPr>
        <w:t>全面梳理政府权责事项，</w:t>
      </w:r>
      <w:r>
        <w:rPr>
          <w:rFonts w:hint="default" w:ascii="Times New Roman" w:hAnsi="Times New Roman" w:eastAsia="仿宋_GB2312" w:cs="Times New Roman"/>
          <w:color w:val="auto"/>
          <w:sz w:val="32"/>
          <w:szCs w:val="32"/>
          <w:highlight w:val="none"/>
          <w:lang w:bidi="ar"/>
        </w:rPr>
        <w:t>清理规范事项下沉，厘清市、乡（镇）两级政务服务职责边界，确保下沉事项</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bidi="ar"/>
        </w:rPr>
        <w:t>接得住、办得好</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pacing w:val="0"/>
          <w:sz w:val="32"/>
          <w:szCs w:val="32"/>
          <w:highlight w:val="none"/>
          <w:lang w:val="en-US" w:eastAsia="zh-CN"/>
        </w:rPr>
        <w:t>着眼服务民营经济，开展“企业家日”活动，推动形成亲清统一、良性互动的新型政商关系。</w:t>
      </w:r>
    </w:p>
    <w:p>
      <w:pPr>
        <w:pStyle w:val="27"/>
        <w:keepNext w:val="0"/>
        <w:keepLines w:val="0"/>
        <w:pageBreakBefore w:val="0"/>
        <w:widowControl w:val="0"/>
        <w:kinsoku/>
        <w:wordWrap/>
        <w:overflowPunct/>
        <w:topLinePunct w:val="0"/>
        <w:autoSpaceDE/>
        <w:autoSpaceDN/>
        <w:bidi w:val="0"/>
        <w:adjustRightInd/>
        <w:snapToGrid/>
        <w:spacing w:line="570" w:lineRule="exact"/>
        <w:ind w:firstLineChars="200"/>
        <w:jc w:val="left"/>
        <w:textAlignment w:val="auto"/>
        <w:rPr>
          <w:rFonts w:hint="default" w:ascii="Times New Roman" w:hAnsi="Times New Roman" w:eastAsia="仿宋_GB2312" w:cs="Times New Roman"/>
          <w:b/>
          <w:bCs/>
          <w:color w:val="auto"/>
          <w:spacing w:val="0"/>
          <w:sz w:val="32"/>
          <w:szCs w:val="32"/>
          <w:highlight w:val="none"/>
          <w:lang w:val="en-US" w:eastAsia="zh-CN"/>
        </w:rPr>
      </w:pPr>
      <w:r>
        <w:rPr>
          <w:rFonts w:hint="default" w:ascii="Times New Roman" w:hAnsi="Times New Roman" w:eastAsia="楷体_GB2312" w:cs="Times New Roman"/>
          <w:b w:val="0"/>
          <w:bCs w:val="0"/>
          <w:color w:val="auto"/>
          <w:spacing w:val="0"/>
          <w:kern w:val="2"/>
          <w:sz w:val="32"/>
          <w:szCs w:val="32"/>
          <w:highlight w:val="none"/>
          <w:lang w:val="en-US" w:eastAsia="zh-CN"/>
        </w:rPr>
        <w:t>持续构建公平竞争环境。</w:t>
      </w:r>
      <w:r>
        <w:rPr>
          <w:rFonts w:hint="default" w:ascii="Times New Roman" w:hAnsi="Times New Roman" w:eastAsia="仿宋_GB2312" w:cs="Times New Roman"/>
          <w:b w:val="0"/>
          <w:bCs w:val="0"/>
          <w:color w:val="auto"/>
          <w:spacing w:val="0"/>
          <w:sz w:val="32"/>
          <w:szCs w:val="32"/>
          <w:highlight w:val="none"/>
          <w:lang w:val="en-US" w:eastAsia="zh-CN"/>
        </w:rPr>
        <w:t>全面落实“五统一、一开放”要求，完善产权保护、市场准入、信息披露、社会信用、兼并重组、市场退出等制度规则，消除要素获取、资质认证、招标投标、政府采购等方面壁垒，系统、深入、全面推进全国统一大市场建设。严格落实市场准入“全国一张清单”，常态化开展市场准入壁垒排查整治，推动“非禁即入”普遍落实。</w:t>
      </w:r>
      <w:r>
        <w:rPr>
          <w:rFonts w:hint="default" w:ascii="Times New Roman" w:hAnsi="Times New Roman" w:eastAsia="仿宋_GB2312" w:cs="Times New Roman"/>
          <w:b w:val="0"/>
          <w:bCs w:val="0"/>
          <w:color w:val="auto"/>
          <w:spacing w:val="0"/>
          <w:sz w:val="32"/>
          <w:szCs w:val="32"/>
          <w:highlight w:val="none"/>
          <w:lang w:eastAsia="zh-CN"/>
        </w:rPr>
        <w:t>深入实施公平竞争政策，</w:t>
      </w:r>
      <w:r>
        <w:rPr>
          <w:rFonts w:hint="default" w:ascii="Times New Roman" w:hAnsi="Times New Roman" w:eastAsia="仿宋_GB2312" w:cs="Times New Roman"/>
          <w:b w:val="0"/>
          <w:bCs w:val="0"/>
          <w:color w:val="auto"/>
          <w:spacing w:val="0"/>
          <w:sz w:val="32"/>
          <w:szCs w:val="32"/>
          <w:highlight w:val="none"/>
          <w:lang w:val="en-US" w:eastAsia="zh-CN"/>
        </w:rPr>
        <w:t>围绕破除地方保护、市场分割突出问题，进一步健全公平竞争审查抽查、会审、举报等机制，加大对重点领域、特定行业政策措施的抽查力度，推动实施重大政策措施会同审查。严厉打击不正当竞争行为，聚焦医药、保健品、网络直播等重点领域和重点行业，扎实开展反不正当竞争执法，营造公平竞争的市场环境，推动建立统一开放、竞争有序的现代市场体系。</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rPr>
        <w:t>加强知识产权保护。</w:t>
      </w:r>
      <w:r>
        <w:rPr>
          <w:rFonts w:hint="default" w:ascii="Times New Roman" w:hAnsi="Times New Roman" w:eastAsia="仿宋_GB2312" w:cs="Times New Roman"/>
          <w:color w:val="auto"/>
          <w:kern w:val="2"/>
          <w:sz w:val="32"/>
          <w:szCs w:val="32"/>
          <w:highlight w:val="none"/>
          <w:lang w:val="en-US" w:eastAsia="zh-CN"/>
        </w:rPr>
        <w:t>高标准组建</w:t>
      </w:r>
      <w:r>
        <w:rPr>
          <w:rFonts w:hint="default" w:ascii="Times New Roman" w:hAnsi="Times New Roman" w:eastAsia="仿宋_GB2312" w:cs="Times New Roman"/>
          <w:b w:val="0"/>
          <w:bCs w:val="0"/>
          <w:color w:val="auto"/>
          <w:sz w:val="32"/>
          <w:szCs w:val="32"/>
          <w:highlight w:val="none"/>
        </w:rPr>
        <w:t>乳山市知识产权维权援助工作站</w:t>
      </w:r>
      <w:r>
        <w:rPr>
          <w:rFonts w:hint="default"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bidi="ar"/>
        </w:rPr>
        <w:t>加大对重点领域、关键环节和重点群体的知识产权执法力度，严厉打击侵权假冒行为。加强行政执法与刑事司法的衔接，建立健全案件移送、信息共享、联合执法等工作机制，形成打击侵权假冒合力。</w:t>
      </w:r>
      <w:r>
        <w:rPr>
          <w:rFonts w:hint="default" w:ascii="Times New Roman" w:hAnsi="Times New Roman" w:eastAsia="仿宋_GB2312" w:cs="Times New Roman"/>
          <w:b w:val="0"/>
          <w:bCs w:val="0"/>
          <w:color w:val="auto"/>
          <w:sz w:val="32"/>
          <w:szCs w:val="32"/>
          <w:highlight w:val="none"/>
          <w:lang w:val="en-US" w:eastAsia="zh-CN"/>
        </w:rPr>
        <w:t>提升知识产权服务能力，严格落实各项知识产权代理信用监管规定，</w:t>
      </w:r>
      <w:r>
        <w:rPr>
          <w:rFonts w:hint="default" w:ascii="Times New Roman" w:hAnsi="Times New Roman" w:eastAsia="仿宋_GB2312" w:cs="Times New Roman"/>
          <w:b w:val="0"/>
          <w:bCs w:val="0"/>
          <w:color w:val="auto"/>
          <w:kern w:val="0"/>
          <w:sz w:val="32"/>
          <w:szCs w:val="32"/>
          <w:highlight w:val="none"/>
          <w:lang w:val="en-US" w:eastAsia="zh-CN" w:bidi="ar"/>
        </w:rPr>
        <w:t>开展知识产权培训和咨询服务，</w:t>
      </w:r>
      <w:r>
        <w:rPr>
          <w:rFonts w:hint="default" w:ascii="Times New Roman" w:hAnsi="Times New Roman" w:eastAsia="仿宋_GB2312" w:cs="Times New Roman"/>
          <w:color w:val="auto"/>
          <w:kern w:val="2"/>
          <w:sz w:val="32"/>
          <w:szCs w:val="32"/>
          <w:highlight w:val="none"/>
          <w:lang w:val="en-US" w:eastAsia="zh-CN"/>
        </w:rPr>
        <w:t>鼓励企业加大发明专利、PCT国际专利申请力度，全面提升企业知识产权保护意识和核心竞争力。</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232" w:name="_Toc10382"/>
      <w:bookmarkStart w:id="233" w:name="_Toc19192"/>
      <w:bookmarkStart w:id="234" w:name="_Toc21963"/>
      <w:bookmarkStart w:id="235" w:name="_Toc19898"/>
      <w:bookmarkStart w:id="236" w:name="_Toc6214"/>
      <w:bookmarkStart w:id="237" w:name="_Toc16906"/>
      <w:bookmarkStart w:id="238" w:name="_Toc16482"/>
      <w:bookmarkStart w:id="239" w:name="_Toc18672"/>
      <w:bookmarkStart w:id="240" w:name="_Toc19209"/>
      <w:r>
        <w:rPr>
          <w:rFonts w:hint="default" w:ascii="Times New Roman" w:hAnsi="Times New Roman" w:cs="Times New Roman"/>
          <w:snapToGrid w:val="0"/>
          <w:color w:val="auto"/>
          <w:sz w:val="32"/>
          <w:highlight w:val="none"/>
          <w:lang w:val="en-US" w:eastAsia="zh-CN"/>
        </w:rPr>
        <w:t>第三节 全面深化财税金融改革</w:t>
      </w:r>
      <w:bookmarkEnd w:id="232"/>
      <w:bookmarkEnd w:id="233"/>
      <w:bookmarkEnd w:id="234"/>
      <w:bookmarkEnd w:id="235"/>
      <w:bookmarkEnd w:id="236"/>
      <w:bookmarkEnd w:id="237"/>
      <w:bookmarkEnd w:id="238"/>
      <w:bookmarkEnd w:id="239"/>
      <w:bookmarkEnd w:id="240"/>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围绕高质量发展目标，加快构建高效协同的财政金融体系，优化资源配置、畅通融资渠道、筑牢安全防线，全面提升服务实体经济质效。</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楷体_GB2312" w:cs="Times New Roman"/>
          <w:b w:val="0"/>
          <w:bCs w:val="0"/>
          <w:color w:val="auto"/>
          <w:kern w:val="2"/>
          <w:sz w:val="32"/>
          <w:szCs w:val="32"/>
          <w:highlight w:val="none"/>
          <w:lang w:bidi="ar"/>
        </w:rPr>
        <w:t>深化财税体制改革</w:t>
      </w:r>
      <w:r>
        <w:rPr>
          <w:rFonts w:hint="default" w:ascii="Times New Roman" w:hAnsi="Times New Roman" w:eastAsia="楷体_GB2312" w:cs="Times New Roman"/>
          <w:color w:val="auto"/>
          <w:kern w:val="2"/>
          <w:sz w:val="32"/>
          <w:szCs w:val="32"/>
          <w:highlight w:val="none"/>
          <w:lang w:eastAsia="zh-CN" w:bidi="ar"/>
        </w:rPr>
        <w:t>。</w:t>
      </w:r>
      <w:r>
        <w:rPr>
          <w:rFonts w:hint="default" w:ascii="Times New Roman" w:hAnsi="Times New Roman" w:eastAsia="仿宋_GB2312" w:cs="Times New Roman"/>
          <w:color w:val="auto"/>
          <w:spacing w:val="0"/>
          <w:kern w:val="0"/>
          <w:sz w:val="32"/>
          <w:szCs w:val="32"/>
          <w:highlight w:val="none"/>
          <w:lang w:bidi="ar"/>
        </w:rPr>
        <w:t>健全预算制度，</w:t>
      </w:r>
      <w:r>
        <w:rPr>
          <w:rFonts w:hint="default" w:ascii="Times New Roman" w:hAnsi="Times New Roman" w:eastAsia="仿宋_GB2312" w:cs="Times New Roman"/>
          <w:color w:val="auto"/>
          <w:kern w:val="0"/>
          <w:sz w:val="32"/>
          <w:szCs w:val="32"/>
          <w:highlight w:val="none"/>
          <w:lang w:bidi="ar"/>
        </w:rPr>
        <w:t>持续完善财政预算管理制度</w:t>
      </w:r>
      <w:r>
        <w:rPr>
          <w:rFonts w:hint="default" w:ascii="Times New Roman" w:hAnsi="Times New Roman" w:eastAsia="仿宋_GB2312" w:cs="Times New Roman"/>
          <w:color w:val="auto"/>
          <w:kern w:val="0"/>
          <w:sz w:val="32"/>
          <w:szCs w:val="32"/>
          <w:highlight w:val="none"/>
          <w:lang w:val="en-US" w:eastAsia="zh-CN" w:bidi="ar"/>
        </w:rPr>
        <w:t>，推进零基预算改革</w:t>
      </w:r>
      <w:r>
        <w:rPr>
          <w:rFonts w:hint="default" w:ascii="Times New Roman" w:hAnsi="Times New Roman" w:eastAsia="仿宋_GB2312" w:cs="Times New Roman"/>
          <w:color w:val="auto"/>
          <w:kern w:val="0"/>
          <w:sz w:val="32"/>
          <w:szCs w:val="32"/>
          <w:highlight w:val="none"/>
          <w:lang w:eastAsia="zh-CN" w:bidi="ar"/>
        </w:rPr>
        <w:t>，</w:t>
      </w:r>
      <w:r>
        <w:rPr>
          <w:rFonts w:hint="default" w:ascii="Times New Roman" w:hAnsi="Times New Roman" w:eastAsia="仿宋_GB2312" w:cs="Times New Roman"/>
          <w:color w:val="auto"/>
          <w:spacing w:val="0"/>
          <w:kern w:val="0"/>
          <w:sz w:val="32"/>
          <w:szCs w:val="32"/>
          <w:highlight w:val="none"/>
          <w:lang w:bidi="ar"/>
        </w:rPr>
        <w:t>加强财政资源和预算统筹，统一预算分配权，健全财政支出分类保障机制，强化重大战略任务和基本民生财力保障</w:t>
      </w:r>
      <w:r>
        <w:rPr>
          <w:rFonts w:hint="default" w:ascii="Times New Roman" w:hAnsi="Times New Roman" w:eastAsia="仿宋_GB2312" w:cs="Times New Roman"/>
          <w:color w:val="auto"/>
          <w:spacing w:val="0"/>
          <w:kern w:val="0"/>
          <w:sz w:val="32"/>
          <w:szCs w:val="32"/>
          <w:highlight w:val="none"/>
          <w:lang w:eastAsia="zh-CN" w:bidi="ar"/>
        </w:rPr>
        <w:t>，</w:t>
      </w:r>
      <w:r>
        <w:rPr>
          <w:rFonts w:hint="default" w:ascii="Times New Roman" w:hAnsi="Times New Roman" w:eastAsia="仿宋_GB2312" w:cs="Times New Roman"/>
          <w:color w:val="auto"/>
          <w:sz w:val="32"/>
          <w:szCs w:val="32"/>
          <w:highlight w:val="none"/>
          <w:lang w:eastAsia="zh-CN"/>
        </w:rPr>
        <w:t>确保</w:t>
      </w:r>
      <w:r>
        <w:rPr>
          <w:rFonts w:hint="default" w:ascii="Times New Roman" w:hAnsi="Times New Roman" w:eastAsia="仿宋_GB2312" w:cs="Times New Roman"/>
          <w:color w:val="auto"/>
          <w:sz w:val="32"/>
          <w:szCs w:val="32"/>
          <w:highlight w:val="none"/>
        </w:rPr>
        <w:t>民生支出占</w:t>
      </w:r>
      <w:r>
        <w:rPr>
          <w:rFonts w:hint="default" w:ascii="Times New Roman" w:hAnsi="Times New Roman" w:eastAsia="仿宋_GB2312" w:cs="Times New Roman"/>
          <w:color w:val="auto"/>
          <w:sz w:val="32"/>
          <w:szCs w:val="32"/>
          <w:highlight w:val="none"/>
          <w:lang w:eastAsia="zh-CN"/>
        </w:rPr>
        <w:t>一般</w:t>
      </w:r>
      <w:r>
        <w:rPr>
          <w:rFonts w:hint="default" w:ascii="Times New Roman" w:hAnsi="Times New Roman" w:eastAsia="仿宋_GB2312" w:cs="Times New Roman"/>
          <w:color w:val="auto"/>
          <w:sz w:val="32"/>
          <w:szCs w:val="32"/>
          <w:highlight w:val="none"/>
        </w:rPr>
        <w:t>公共预算支出</w:t>
      </w:r>
      <w:r>
        <w:rPr>
          <w:rFonts w:hint="default" w:ascii="Times New Roman" w:hAnsi="Times New Roman" w:eastAsia="仿宋_GB2312" w:cs="Times New Roman"/>
          <w:color w:val="auto"/>
          <w:sz w:val="32"/>
          <w:szCs w:val="32"/>
          <w:highlight w:val="none"/>
          <w:lang w:eastAsia="zh-CN"/>
        </w:rPr>
        <w:t>的</w:t>
      </w:r>
      <w:r>
        <w:rPr>
          <w:rFonts w:hint="default" w:ascii="Times New Roman" w:hAnsi="Times New Roman" w:eastAsia="仿宋_GB2312" w:cs="Times New Roman"/>
          <w:color w:val="auto"/>
          <w:sz w:val="32"/>
          <w:szCs w:val="32"/>
          <w:highlight w:val="none"/>
        </w:rPr>
        <w:t>80%以上</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bidi="ar"/>
        </w:rPr>
        <w:t>强化财政政策与</w:t>
      </w:r>
      <w:r>
        <w:rPr>
          <w:rFonts w:hint="default" w:ascii="Times New Roman" w:hAnsi="Times New Roman" w:eastAsia="仿宋_GB2312" w:cs="Times New Roman"/>
          <w:color w:val="auto"/>
          <w:spacing w:val="0"/>
          <w:kern w:val="0"/>
          <w:sz w:val="32"/>
          <w:szCs w:val="32"/>
          <w:highlight w:val="none"/>
          <w:lang w:val="en-US" w:eastAsia="zh-CN" w:bidi="ar"/>
        </w:rPr>
        <w:t>金融</w:t>
      </w:r>
      <w:r>
        <w:rPr>
          <w:rFonts w:hint="default" w:ascii="Times New Roman" w:hAnsi="Times New Roman" w:eastAsia="仿宋_GB2312" w:cs="Times New Roman"/>
          <w:color w:val="auto"/>
          <w:spacing w:val="0"/>
          <w:kern w:val="0"/>
          <w:sz w:val="32"/>
          <w:szCs w:val="32"/>
          <w:highlight w:val="none"/>
          <w:lang w:bidi="ar"/>
        </w:rPr>
        <w:t>、产业、科技、</w:t>
      </w:r>
      <w:r>
        <w:rPr>
          <w:rFonts w:hint="default" w:ascii="Times New Roman" w:hAnsi="Times New Roman" w:eastAsia="仿宋_GB2312" w:cs="Times New Roman"/>
          <w:color w:val="auto"/>
          <w:spacing w:val="0"/>
          <w:kern w:val="0"/>
          <w:sz w:val="32"/>
          <w:szCs w:val="32"/>
          <w:highlight w:val="none"/>
          <w:lang w:val="en-US" w:eastAsia="zh-CN" w:bidi="ar"/>
        </w:rPr>
        <w:t>民生</w:t>
      </w:r>
      <w:r>
        <w:rPr>
          <w:rFonts w:hint="default" w:ascii="Times New Roman" w:hAnsi="Times New Roman" w:eastAsia="仿宋_GB2312" w:cs="Times New Roman"/>
          <w:color w:val="auto"/>
          <w:spacing w:val="0"/>
          <w:kern w:val="0"/>
          <w:sz w:val="32"/>
          <w:szCs w:val="32"/>
          <w:highlight w:val="none"/>
          <w:lang w:bidi="ar"/>
        </w:rPr>
        <w:t>政策协调配合，建立健全政策实施、项目立项评估评价结果与预算安排挂钩机制</w:t>
      </w:r>
      <w:r>
        <w:rPr>
          <w:rFonts w:hint="default" w:ascii="Times New Roman" w:hAnsi="Times New Roman" w:eastAsia="仿宋_GB2312" w:cs="Times New Roman"/>
          <w:color w:val="auto"/>
          <w:spacing w:val="0"/>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健全政府债务管理制度，用好地方政府专项债等政策，合理控制政府债务规模，防范政府债务风险，提高资金使用绩效。</w:t>
      </w:r>
    </w:p>
    <w:p>
      <w:pPr>
        <w:pStyle w:val="27"/>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深化金融体制改革。</w:t>
      </w:r>
      <w:r>
        <w:rPr>
          <w:rFonts w:hint="default" w:ascii="Times New Roman" w:hAnsi="Times New Roman" w:eastAsia="仿宋_GB2312" w:cs="Times New Roman"/>
          <w:color w:val="auto"/>
          <w:spacing w:val="0"/>
          <w:sz w:val="32"/>
          <w:szCs w:val="32"/>
          <w:highlight w:val="none"/>
        </w:rPr>
        <w:t>加强和完善现代金融监管，健全金融服务实体经济激励约束机制，构建具有</w:t>
      </w:r>
      <w:r>
        <w:rPr>
          <w:rFonts w:hint="default" w:ascii="Times New Roman" w:hAnsi="Times New Roman" w:eastAsia="仿宋_GB2312" w:cs="Times New Roman"/>
          <w:color w:val="auto"/>
          <w:spacing w:val="0"/>
          <w:sz w:val="32"/>
          <w:szCs w:val="32"/>
          <w:highlight w:val="none"/>
          <w:lang w:val="en-US" w:eastAsia="zh-CN"/>
        </w:rPr>
        <w:t>乳山</w:t>
      </w:r>
      <w:r>
        <w:rPr>
          <w:rFonts w:hint="default" w:ascii="Times New Roman" w:hAnsi="Times New Roman" w:eastAsia="仿宋_GB2312" w:cs="Times New Roman"/>
          <w:color w:val="auto"/>
          <w:spacing w:val="0"/>
          <w:sz w:val="32"/>
          <w:szCs w:val="32"/>
          <w:highlight w:val="none"/>
        </w:rPr>
        <w:t>特色的金融政策体系。</w:t>
      </w:r>
      <w:r>
        <w:rPr>
          <w:rFonts w:hint="default" w:ascii="Times New Roman" w:hAnsi="Times New Roman" w:eastAsia="仿宋_GB2312" w:cs="Times New Roman"/>
          <w:color w:val="auto"/>
          <w:spacing w:val="0"/>
          <w:sz w:val="32"/>
          <w:szCs w:val="32"/>
          <w:highlight w:val="none"/>
          <w:lang w:val="en-US" w:eastAsia="zh-CN"/>
        </w:rPr>
        <w:t>深化中小金融机构改革，提升金融服务实体经济质效，大力发展科技金融、绿色金融、普惠金融、养老金融、数字金融，积极争创国家绿色金融改革创新试验区。</w:t>
      </w:r>
      <w:r>
        <w:rPr>
          <w:rFonts w:hint="default" w:ascii="Times New Roman" w:hAnsi="Times New Roman" w:eastAsia="仿宋_GB2312" w:cs="Times New Roman"/>
          <w:color w:val="auto"/>
          <w:sz w:val="32"/>
          <w:szCs w:val="32"/>
          <w:highlight w:val="none"/>
        </w:rPr>
        <w:t>深化投融资体制改革，</w:t>
      </w:r>
      <w:r>
        <w:rPr>
          <w:rFonts w:hint="default" w:ascii="Times New Roman" w:hAnsi="Times New Roman" w:eastAsia="仿宋_GB2312" w:cs="Times New Roman"/>
          <w:color w:val="auto"/>
          <w:sz w:val="32"/>
          <w:szCs w:val="32"/>
          <w:highlight w:val="none"/>
          <w:lang w:val="en-US" w:eastAsia="zh-CN"/>
        </w:rPr>
        <w:t>稳步推进企业上市培育计划，建立企业上市后备资源库，鼓励企业通过发行债券、中期票据、短期融资券等多元化融资渠道募集资金。</w:t>
      </w:r>
      <w:r>
        <w:rPr>
          <w:rFonts w:hint="default" w:ascii="Times New Roman" w:hAnsi="Times New Roman" w:eastAsia="仿宋_GB2312" w:cs="Times New Roman"/>
          <w:color w:val="auto"/>
          <w:spacing w:val="0"/>
          <w:sz w:val="32"/>
          <w:szCs w:val="32"/>
          <w:highlight w:val="none"/>
        </w:rPr>
        <w:t>鼓励发展天使投资、风险投资、私募股权投资，聚焦战略性新兴产业、未来产业，分级分类构建市场化规模化体系化基金群</w:t>
      </w:r>
      <w:r>
        <w:rPr>
          <w:rFonts w:hint="default" w:ascii="Times New Roman" w:hAnsi="Times New Roman" w:eastAsia="仿宋_GB2312" w:cs="Times New Roman"/>
          <w:color w:val="auto"/>
          <w:spacing w:val="0"/>
          <w:sz w:val="32"/>
          <w:szCs w:val="32"/>
          <w:highlight w:val="none"/>
          <w:lang w:eastAsia="zh-CN"/>
        </w:rPr>
        <w:t>，以基金巩固优势产业发展基础，参与未来新兴产业布局，稳步优化区域财源结构</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z w:val="32"/>
          <w:szCs w:val="32"/>
          <w:highlight w:val="none"/>
          <w:lang w:val="en-US" w:eastAsia="zh-CN"/>
        </w:rPr>
        <w:t>积极对接全省碳金融政策措施，丰富碳金融产品供给，支持金融机构开展碳排放权质押贷款、碳配额托管等业务。</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241" w:name="_Toc3912"/>
      <w:bookmarkStart w:id="242" w:name="_Toc12252"/>
      <w:bookmarkStart w:id="243" w:name="_Toc11737"/>
      <w:bookmarkStart w:id="244" w:name="_Toc16538"/>
      <w:bookmarkStart w:id="245" w:name="_Toc16457"/>
      <w:bookmarkStart w:id="246" w:name="_Toc4189"/>
      <w:bookmarkStart w:id="247" w:name="_Toc19696"/>
      <w:bookmarkStart w:id="248" w:name="_Toc29392"/>
      <w:bookmarkStart w:id="249" w:name="_Toc1926"/>
      <w:r>
        <w:rPr>
          <w:rFonts w:hint="default" w:ascii="Times New Roman" w:hAnsi="Times New Roman" w:cs="Times New Roman"/>
          <w:snapToGrid w:val="0"/>
          <w:color w:val="auto"/>
          <w:sz w:val="32"/>
          <w:highlight w:val="none"/>
          <w:lang w:val="en-US" w:eastAsia="zh-CN"/>
        </w:rPr>
        <w:t>第四节 加快推进高水平对外开放</w:t>
      </w:r>
      <w:bookmarkEnd w:id="241"/>
      <w:bookmarkEnd w:id="242"/>
      <w:bookmarkEnd w:id="243"/>
      <w:bookmarkEnd w:id="244"/>
      <w:bookmarkEnd w:id="245"/>
      <w:bookmarkEnd w:id="246"/>
      <w:bookmarkEnd w:id="247"/>
      <w:bookmarkEnd w:id="248"/>
      <w:bookmarkEnd w:id="249"/>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坚持开放合作、互利共赢，主动融入高水平开放大局，着力打造服务国内国际双循环的重要节点城市，以高水平开放赋能高质量发展，开创合作共赢新局面。</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培育外贸竞争新优势。</w:t>
      </w:r>
      <w:r>
        <w:rPr>
          <w:rFonts w:hint="default" w:ascii="Times New Roman" w:hAnsi="Times New Roman" w:eastAsia="仿宋_GB2312" w:cs="Times New Roman"/>
          <w:color w:val="auto"/>
          <w:sz w:val="32"/>
          <w:szCs w:val="32"/>
          <w:highlight w:val="none"/>
          <w:lang w:val="en-US" w:eastAsia="zh-CN"/>
        </w:rPr>
        <w:t>坚持深耕日韩、巩固欧美，持续扩展非洲、拉美等新兴市场。实施外贸转型升级工程，持续壮大中间品贸易，围绕新能源、食品加工、机电汽配、纺织服装、精细化工等产业，引导企业向价值链高端延伸，壮大一般贸易进出口规模，鼓励高新技术产品出口，支持企业通过跨境电商、海外仓、离岸贸易等新业态新模式拓展对外经贸合作。大力</w:t>
      </w:r>
      <w:r>
        <w:rPr>
          <w:rFonts w:hint="default" w:ascii="Times New Roman" w:hAnsi="Times New Roman" w:eastAsia="仿宋_GB2312" w:cs="Times New Roman"/>
          <w:color w:val="auto"/>
          <w:sz w:val="32"/>
          <w:szCs w:val="32"/>
          <w:highlight w:val="none"/>
        </w:rPr>
        <w:t>发展数字贸易，</w:t>
      </w:r>
      <w:r>
        <w:rPr>
          <w:rFonts w:hint="default" w:ascii="Times New Roman" w:hAnsi="Times New Roman" w:eastAsia="仿宋_GB2312" w:cs="Times New Roman"/>
          <w:color w:val="auto"/>
          <w:sz w:val="32"/>
          <w:szCs w:val="32"/>
          <w:highlight w:val="none"/>
          <w:lang w:val="en-US" w:eastAsia="zh-CN"/>
        </w:rPr>
        <w:t>完善跨境电商产业生态，招引跨境物流、品牌孵化等运营平台，打通特色产品出海新通道，培育形成跨境电商特色出口产业集群。</w:t>
      </w:r>
      <w:r>
        <w:rPr>
          <w:rFonts w:hint="default" w:ascii="Times New Roman" w:hAnsi="Times New Roman" w:eastAsia="仿宋_GB2312" w:cs="Times New Roman"/>
          <w:color w:val="auto"/>
          <w:spacing w:val="0"/>
          <w:sz w:val="32"/>
          <w:szCs w:val="32"/>
          <w:highlight w:val="none"/>
          <w:lang w:val="en-US" w:eastAsia="zh-CN"/>
        </w:rPr>
        <w:t>贯彻落实</w:t>
      </w:r>
      <w:r>
        <w:rPr>
          <w:rFonts w:hint="default" w:ascii="Times New Roman" w:hAnsi="Times New Roman" w:eastAsia="仿宋_GB2312" w:cs="Times New Roman"/>
          <w:color w:val="auto"/>
          <w:spacing w:val="0"/>
          <w:sz w:val="32"/>
          <w:szCs w:val="32"/>
          <w:highlight w:val="none"/>
        </w:rPr>
        <w:t>绿色贸易支持政策，加大绿色低碳产品国际市场开拓力度，提升出口企业碳壁垒应对能力</w:t>
      </w:r>
      <w:r>
        <w:rPr>
          <w:rFonts w:hint="default" w:ascii="Times New Roman" w:hAnsi="Times New Roman" w:eastAsia="仿宋_GB2312" w:cs="Times New Roman"/>
          <w:color w:val="auto"/>
          <w:sz w:val="32"/>
          <w:szCs w:val="32"/>
          <w:highlight w:val="none"/>
          <w:lang w:val="en-US" w:eastAsia="zh-CN"/>
        </w:rPr>
        <w:t>。坚持内外贸一体谋划、国内国际市场一同开拓，畅通出口产品转内销渠道。</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提升利用外资规模和质量。</w:t>
      </w:r>
      <w:bookmarkStart w:id="250" w:name="OLE_LINK17"/>
      <w:r>
        <w:rPr>
          <w:rFonts w:hint="default" w:ascii="Times New Roman" w:hAnsi="Times New Roman" w:eastAsia="仿宋_GB2312" w:cs="Times New Roman"/>
          <w:color w:val="auto"/>
          <w:sz w:val="32"/>
          <w:szCs w:val="32"/>
          <w:highlight w:val="none"/>
          <w:lang w:eastAsia="zh-CN"/>
        </w:rPr>
        <w:t>深度</w:t>
      </w:r>
      <w:r>
        <w:rPr>
          <w:rFonts w:hint="default" w:ascii="Times New Roman" w:hAnsi="Times New Roman" w:eastAsia="仿宋_GB2312" w:cs="Times New Roman"/>
          <w:color w:val="auto"/>
          <w:sz w:val="32"/>
          <w:szCs w:val="32"/>
          <w:highlight w:val="none"/>
          <w:lang w:val="en-US" w:eastAsia="zh-CN"/>
        </w:rPr>
        <w:t>挖掘</w:t>
      </w:r>
      <w:r>
        <w:rPr>
          <w:rFonts w:hint="default" w:ascii="Times New Roman" w:hAnsi="Times New Roman" w:eastAsia="仿宋_GB2312" w:cs="Times New Roman"/>
          <w:color w:val="auto"/>
          <w:sz w:val="32"/>
          <w:szCs w:val="32"/>
          <w:highlight w:val="none"/>
          <w:lang w:eastAsia="zh-CN"/>
        </w:rPr>
        <w:t>国企、民企的海外资源，进一步拓宽利用外资渠道，持续推动</w:t>
      </w:r>
      <w:r>
        <w:rPr>
          <w:rFonts w:hint="default" w:ascii="Times New Roman" w:hAnsi="Times New Roman" w:eastAsia="仿宋_GB2312" w:cs="Times New Roman"/>
          <w:color w:val="auto"/>
          <w:sz w:val="32"/>
          <w:szCs w:val="32"/>
          <w:highlight w:val="none"/>
          <w:lang w:val="en-US" w:eastAsia="zh-CN"/>
        </w:rPr>
        <w:t>已登记</w:t>
      </w:r>
      <w:r>
        <w:rPr>
          <w:rFonts w:hint="default" w:ascii="Times New Roman" w:hAnsi="Times New Roman" w:eastAsia="仿宋_GB2312" w:cs="Times New Roman"/>
          <w:color w:val="auto"/>
          <w:sz w:val="32"/>
          <w:szCs w:val="32"/>
          <w:highlight w:val="none"/>
          <w:lang w:eastAsia="zh-CN"/>
        </w:rPr>
        <w:t>外债转增注册资本、利润再投资等创新利用外资方式。</w:t>
      </w:r>
      <w:bookmarkEnd w:id="250"/>
      <w:r>
        <w:rPr>
          <w:rFonts w:hint="default" w:ascii="Times New Roman" w:hAnsi="Times New Roman" w:eastAsia="仿宋_GB2312" w:cs="Times New Roman"/>
          <w:color w:val="auto"/>
          <w:sz w:val="32"/>
          <w:szCs w:val="32"/>
          <w:highlight w:val="none"/>
          <w:lang w:val="en-US" w:eastAsia="zh-CN"/>
        </w:rPr>
        <w:t>积极参与跨国公司领导人青岛峰会、港澳山东周、威海市市长国际经济咨询委员会年会等活动，</w:t>
      </w:r>
      <w:r>
        <w:rPr>
          <w:rFonts w:hint="default" w:ascii="Times New Roman" w:hAnsi="Times New Roman" w:eastAsia="仿宋_GB2312" w:cs="Times New Roman"/>
          <w:color w:val="auto"/>
          <w:sz w:val="32"/>
          <w:szCs w:val="32"/>
          <w:highlight w:val="none"/>
          <w:lang w:eastAsia="zh-CN"/>
        </w:rPr>
        <w:t>聚焦澳大利亚、新加坡、韩国</w:t>
      </w:r>
      <w:r>
        <w:rPr>
          <w:rFonts w:hint="default" w:ascii="Times New Roman" w:hAnsi="Times New Roman" w:eastAsia="仿宋_GB2312" w:cs="Times New Roman"/>
          <w:color w:val="auto"/>
          <w:sz w:val="32"/>
          <w:szCs w:val="32"/>
          <w:highlight w:val="none"/>
          <w:lang w:val="en-US" w:eastAsia="zh-CN"/>
        </w:rPr>
        <w:t>及</w:t>
      </w:r>
      <w:r>
        <w:rPr>
          <w:rFonts w:hint="default" w:ascii="Times New Roman" w:hAnsi="Times New Roman" w:eastAsia="仿宋_GB2312" w:cs="Times New Roman"/>
          <w:color w:val="auto"/>
          <w:sz w:val="32"/>
          <w:szCs w:val="32"/>
          <w:highlight w:val="none"/>
          <w:lang w:eastAsia="zh-CN"/>
        </w:rPr>
        <w:t>中国香港等主要外资来源地，瞄准制造业、新能源等优势产业，</w:t>
      </w:r>
      <w:r>
        <w:rPr>
          <w:rFonts w:hint="default" w:ascii="Times New Roman" w:hAnsi="Times New Roman" w:eastAsia="仿宋_GB2312" w:cs="Times New Roman"/>
          <w:color w:val="auto"/>
          <w:kern w:val="0"/>
          <w:sz w:val="32"/>
          <w:szCs w:val="32"/>
          <w:highlight w:val="none"/>
          <w:lang w:val="en-US" w:eastAsia="zh-CN"/>
        </w:rPr>
        <w:t>引进一批技术含量高、带动作用强的外资项目，力争到2030年实际利用外资累计达到5.2亿美元。优化外资服务环境，建立外资项目“一站式”服务机制，全程跟踪服务外资项目落地建设，保障外资企业国民待遇，依法保护外资企业知识产权和合法权益，营造公平、透明、可预期的投资环境。</w:t>
      </w:r>
    </w:p>
    <w:p>
      <w:pPr>
        <w:pStyle w:val="27"/>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拓展国内国际市场空间。</w:t>
      </w:r>
      <w:r>
        <w:rPr>
          <w:rFonts w:hint="default" w:ascii="Times New Roman" w:hAnsi="Times New Roman" w:eastAsia="仿宋_GB2312" w:cs="Times New Roman"/>
          <w:color w:val="auto"/>
          <w:spacing w:val="0"/>
          <w:sz w:val="32"/>
          <w:szCs w:val="32"/>
          <w:highlight w:val="none"/>
        </w:rPr>
        <w:t>组织实施国际市场开拓计划，</w:t>
      </w:r>
      <w:r>
        <w:rPr>
          <w:rFonts w:hint="default" w:ascii="Times New Roman" w:hAnsi="Times New Roman" w:eastAsia="仿宋_GB2312" w:cs="Times New Roman"/>
          <w:color w:val="auto"/>
          <w:sz w:val="32"/>
          <w:szCs w:val="32"/>
          <w:highlight w:val="none"/>
          <w:u w:val="none"/>
        </w:rPr>
        <w:t>深度参与中韩自贸区地方经济合作示范区建设，扩大与日韩、</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一带一路</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、RCEP</w:t>
      </w:r>
      <w:r>
        <w:rPr>
          <w:rFonts w:hint="default" w:ascii="Times New Roman" w:hAnsi="Times New Roman" w:eastAsia="仿宋_GB2312" w:cs="Times New Roman"/>
          <w:color w:val="auto"/>
          <w:sz w:val="32"/>
          <w:szCs w:val="32"/>
          <w:highlight w:val="none"/>
          <w:u w:val="none"/>
        </w:rPr>
        <w:t>沿线国家和地区贸易规模，实现更大范围、更深层次</w:t>
      </w:r>
      <w:r>
        <w:rPr>
          <w:rFonts w:hint="default" w:ascii="Times New Roman" w:hAnsi="Times New Roman" w:eastAsia="仿宋_GB2312" w:cs="Times New Roman"/>
          <w:color w:val="auto"/>
          <w:sz w:val="32"/>
          <w:szCs w:val="32"/>
          <w:highlight w:val="none"/>
          <w:u w:val="none"/>
          <w:lang w:eastAsia="zh-CN"/>
        </w:rPr>
        <w:t>的</w:t>
      </w:r>
      <w:r>
        <w:rPr>
          <w:rFonts w:hint="default" w:ascii="Times New Roman" w:hAnsi="Times New Roman" w:eastAsia="仿宋_GB2312" w:cs="Times New Roman"/>
          <w:color w:val="auto"/>
          <w:sz w:val="32"/>
          <w:szCs w:val="32"/>
          <w:highlight w:val="none"/>
          <w:u w:val="none"/>
        </w:rPr>
        <w:t>对外开放。</w:t>
      </w:r>
      <w:r>
        <w:rPr>
          <w:rFonts w:hint="default" w:ascii="Times New Roman" w:hAnsi="Times New Roman" w:eastAsia="仿宋_GB2312" w:cs="Times New Roman"/>
          <w:color w:val="auto"/>
          <w:spacing w:val="0"/>
          <w:sz w:val="32"/>
          <w:szCs w:val="32"/>
          <w:highlight w:val="none"/>
        </w:rPr>
        <w:t>积极开拓东欧、中东、中亚、南</w:t>
      </w:r>
      <w:r>
        <w:rPr>
          <w:rFonts w:hint="default" w:ascii="Times New Roman" w:hAnsi="Times New Roman" w:eastAsia="仿宋_GB2312" w:cs="Times New Roman"/>
          <w:color w:val="auto"/>
          <w:sz w:val="32"/>
          <w:szCs w:val="32"/>
          <w:highlight w:val="none"/>
        </w:rPr>
        <w:t>美、东盟、非洲等新兴市场，稳定美国、欧盟、日韩等传统市场。</w:t>
      </w:r>
      <w:r>
        <w:rPr>
          <w:rFonts w:hint="default" w:ascii="Times New Roman" w:hAnsi="Times New Roman" w:eastAsia="仿宋_GB2312" w:cs="Times New Roman"/>
          <w:color w:val="auto"/>
          <w:sz w:val="32"/>
          <w:szCs w:val="32"/>
          <w:highlight w:val="none"/>
          <w:lang w:val="en-US" w:eastAsia="zh-CN"/>
        </w:rPr>
        <w:t>强化与威海、青岛、潍坊、烟台等区域中心城市联系，主动融入青岛都市圈，积极“借青兴乳”，主动承接其产业转移。常态化组织企业参与进博会、广交会、东盟博览会等国际展销对接会，深化与跨国商协会、知名企业的精准对接。深化境外资源合作，引导企业</w:t>
      </w:r>
      <w:r>
        <w:rPr>
          <w:rFonts w:hint="default" w:ascii="Times New Roman" w:hAnsi="Times New Roman" w:eastAsia="仿宋_GB2312" w:cs="Times New Roman"/>
          <w:color w:val="auto"/>
          <w:sz w:val="32"/>
          <w:szCs w:val="32"/>
          <w:highlight w:val="none"/>
          <w:lang w:eastAsia="zh-CN"/>
        </w:rPr>
        <w:t>开展跨境投资、研发合作、工程承包、跨国并购等境外活动</w:t>
      </w:r>
      <w:r>
        <w:rPr>
          <w:rFonts w:hint="default" w:ascii="Times New Roman" w:hAnsi="Times New Roman" w:eastAsia="仿宋_GB2312" w:cs="Times New Roman"/>
          <w:color w:val="auto"/>
          <w:sz w:val="32"/>
          <w:szCs w:val="32"/>
          <w:highlight w:val="none"/>
          <w:lang w:val="en-US" w:eastAsia="zh-CN"/>
        </w:rPr>
        <w:t>，为企业提供投资、承包、劳务合作政策咨询等综合服务。</w:t>
      </w:r>
    </w:p>
    <w:p>
      <w:pPr>
        <w:pStyle w:val="2"/>
        <w:pageBreakBefore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251" w:name="_Toc2071"/>
      <w:bookmarkStart w:id="252" w:name="_Toc25866"/>
      <w:bookmarkStart w:id="253" w:name="_Toc5153"/>
      <w:bookmarkStart w:id="254" w:name="_Toc9196"/>
      <w:bookmarkStart w:id="255" w:name="_Toc17326"/>
      <w:bookmarkStart w:id="256" w:name="_Toc21612"/>
      <w:bookmarkStart w:id="257" w:name="_Toc22630"/>
      <w:bookmarkStart w:id="258" w:name="_Toc27720"/>
      <w:bookmarkStart w:id="259" w:name="_Toc14982"/>
      <w:bookmarkStart w:id="260" w:name="_Toc31790"/>
      <w:bookmarkStart w:id="261" w:name="_Toc26002"/>
      <w:bookmarkStart w:id="262" w:name="_Toc553"/>
      <w:r>
        <w:rPr>
          <w:rFonts w:hint="default" w:ascii="Times New Roman" w:hAnsi="Times New Roman" w:eastAsia="黑体" w:cs="Times New Roman"/>
          <w:b w:val="0"/>
          <w:bCs w:val="0"/>
          <w:color w:val="auto"/>
          <w:sz w:val="32"/>
          <w:szCs w:val="32"/>
          <w:highlight w:val="none"/>
          <w:lang w:val="en-US" w:eastAsia="zh-CN"/>
        </w:rPr>
        <w:t>第七章 加快农业农村现代化，扎实推进乡村全面振兴</w:t>
      </w:r>
      <w:bookmarkEnd w:id="251"/>
      <w:bookmarkEnd w:id="252"/>
      <w:bookmarkEnd w:id="253"/>
      <w:bookmarkEnd w:id="254"/>
      <w:bookmarkEnd w:id="255"/>
      <w:bookmarkEnd w:id="256"/>
      <w:bookmarkEnd w:id="257"/>
      <w:bookmarkEnd w:id="258"/>
      <w:bookmarkEnd w:id="259"/>
    </w:p>
    <w:p>
      <w:pPr>
        <w:keepNext w:val="0"/>
        <w:keepLines w:val="0"/>
        <w:pageBreakBefore w:val="0"/>
        <w:widowControl/>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strike w:val="0"/>
          <w:dstrike w:val="0"/>
          <w:color w:val="auto"/>
          <w:spacing w:val="0"/>
          <w:sz w:val="32"/>
          <w:szCs w:val="32"/>
          <w:highlight w:val="none"/>
          <w:lang w:val="en-US" w:eastAsia="zh-CN"/>
        </w:rPr>
      </w:pPr>
      <w:bookmarkStart w:id="263" w:name="_Toc14430"/>
      <w:r>
        <w:rPr>
          <w:rFonts w:hint="default" w:ascii="Times New Roman" w:hAnsi="Times New Roman" w:eastAsia="仿宋_GB2312" w:cs="Times New Roman"/>
          <w:strike w:val="0"/>
          <w:dstrike w:val="0"/>
          <w:color w:val="auto"/>
          <w:spacing w:val="0"/>
          <w:sz w:val="32"/>
          <w:szCs w:val="32"/>
          <w:highlight w:val="none"/>
          <w:lang w:val="en-US" w:eastAsia="zh-CN"/>
        </w:rPr>
        <w:t>坚持以“千万工程”牵引城乡融合发展，以片区化为抓手推进乡村全面振兴，因地制宜加快农业农村现代化，实现农业增效益、农村增活力、农民增收入。</w:t>
      </w:r>
    </w:p>
    <w:p>
      <w:pPr>
        <w:pStyle w:val="3"/>
        <w:keepNext w:val="0"/>
        <w:keepLines w:val="0"/>
        <w:pageBreakBefore w:val="0"/>
        <w:kinsoku/>
        <w:wordWrap/>
        <w:overflowPunct/>
        <w:topLinePunct w:val="0"/>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264" w:name="_Toc7966"/>
      <w:bookmarkStart w:id="265" w:name="_Toc13265"/>
      <w:bookmarkStart w:id="266" w:name="_Toc3667"/>
      <w:bookmarkStart w:id="267" w:name="_Toc15466"/>
      <w:bookmarkStart w:id="268" w:name="_Toc30357"/>
      <w:bookmarkStart w:id="269" w:name="_Toc9515"/>
      <w:bookmarkStart w:id="270" w:name="_Toc25893"/>
      <w:bookmarkStart w:id="271" w:name="_Toc6875"/>
      <w:r>
        <w:rPr>
          <w:rFonts w:hint="default" w:ascii="Times New Roman" w:hAnsi="Times New Roman" w:cs="Times New Roman"/>
          <w:snapToGrid w:val="0"/>
          <w:color w:val="auto"/>
          <w:sz w:val="32"/>
          <w:highlight w:val="none"/>
          <w:lang w:val="en-US" w:eastAsia="zh-CN"/>
        </w:rPr>
        <w:t>第一节 聚力提升产业发展质量</w:t>
      </w:r>
      <w:bookmarkEnd w:id="263"/>
      <w:bookmarkEnd w:id="264"/>
      <w:bookmarkEnd w:id="265"/>
      <w:bookmarkEnd w:id="266"/>
      <w:bookmarkEnd w:id="267"/>
      <w:bookmarkEnd w:id="268"/>
      <w:bookmarkEnd w:id="269"/>
      <w:bookmarkEnd w:id="270"/>
      <w:bookmarkEnd w:id="271"/>
    </w:p>
    <w:p>
      <w:pPr>
        <w:keepNext w:val="0"/>
        <w:keepLines w:val="0"/>
        <w:pageBreakBefore w:val="0"/>
        <w:kinsoku/>
        <w:wordWrap/>
        <w:overflowPunct/>
        <w:topLinePunct w:val="0"/>
        <w:bidi w:val="0"/>
        <w:adjustRightInd w:val="0"/>
        <w:snapToGrid w:val="0"/>
        <w:spacing w:line="570" w:lineRule="exact"/>
        <w:ind w:firstLine="640"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以服务国家农业强国战略为己任，以保障粮食安全和重要农产品供给为底线，以产业升级为路径，加快构建高质高效、绿色安全、融合协调、竞争力强的现代农业产业体系。</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保障粮食安全和重要农产品供给。</w:t>
      </w:r>
      <w:r>
        <w:rPr>
          <w:rFonts w:hint="default" w:ascii="Times New Roman" w:hAnsi="Times New Roman" w:eastAsia="仿宋_GB2312" w:cs="Times New Roman"/>
          <w:b w:val="0"/>
          <w:bCs w:val="0"/>
          <w:color w:val="auto"/>
          <w:sz w:val="32"/>
          <w:szCs w:val="32"/>
          <w:highlight w:val="none"/>
          <w:lang w:val="en-US" w:eastAsia="zh-CN"/>
        </w:rPr>
        <w:t>全面助力“齐鲁粮仓”建设，严格落实耕地保护和粮食安全党政同责，守牢耕地红线与永久基本农田控制线，持续抓好耕地“非农化”“非粮化”整治，保持耕地总量稳定。持续推动高标准农田建设提标扩面，推动高标准农田建设资产纳入农村集体“三资”管理，力争2030年新增建设高标准农田10万亩</w:t>
      </w:r>
      <w:r>
        <w:rPr>
          <w:rFonts w:hint="default" w:ascii="Times New Roman" w:hAnsi="Times New Roman" w:eastAsia="仿宋_GB2312" w:cs="Times New Roman"/>
          <w:color w:val="auto"/>
          <w:sz w:val="32"/>
          <w:szCs w:val="32"/>
          <w:highlight w:val="none"/>
          <w:lang w:val="en-US" w:eastAsia="zh-CN"/>
        </w:rPr>
        <w:t>，确保粮食播种面积稳定在55万亩以上，粮食综合生产能力稳定在23万吨以上，蔬菜、肉蛋奶、水产品年产量分别稳定在45万吨、12万吨、70万吨以上。实施种业振兴行动，大力发展草莓、蓝莓、茶叶等组培育苗产业，积极申报山东省重点研发计划（农业良种工程）项目，到2030年主要农作物良种覆盖率达到98.5%以上。加快农业基础设施现代化进程，大力发展节水农业，完善“平急两用”农机调配机制，全面提升农业防灾减灾救灾能力，确保粮食和重要农产品优质稳定供给。</w:t>
      </w:r>
    </w:p>
    <w:p>
      <w:pPr>
        <w:pStyle w:val="9"/>
        <w:keepNext w:val="0"/>
        <w:keepLines w:val="0"/>
        <w:pageBreakBefore w:val="0"/>
        <w:widowControl w:val="0"/>
        <w:kinsoku/>
        <w:wordWrap/>
        <w:overflowPunct/>
        <w:topLinePunct w:val="0"/>
        <w:autoSpaceDE w:val="0"/>
        <w:autoSpaceDN w:val="0"/>
        <w:bidi w:val="0"/>
        <w:adjustRightInd/>
        <w:snapToGrid/>
        <w:spacing w:line="570" w:lineRule="exact"/>
        <w:ind w:firstLine="640" w:firstLineChars="200"/>
        <w:textAlignment w:val="baseline"/>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发展特色优势农业</w:t>
      </w:r>
      <w:r>
        <w:rPr>
          <w:rFonts w:hint="default" w:ascii="Times New Roman" w:hAnsi="Times New Roman" w:eastAsia="仿宋_GB2312" w:cs="Times New Roman"/>
          <w:color w:val="auto"/>
          <w:sz w:val="32"/>
          <w:szCs w:val="32"/>
          <w:highlight w:val="none"/>
          <w:lang w:val="en-US" w:eastAsia="zh-CN"/>
        </w:rPr>
        <w:t>。坚持以工业化思维抓农业，实施乡村特色产业升级工程，承接威海市“五朵金花”培育任务，融入“5+N”产业培育体系，示范推广现代果园、基质姜、智慧茶园、基质蓝莓、基质高架草莓等现代化高效模式，大力实施农产品加工提升行动，完善冷链物流体系，</w:t>
      </w:r>
      <w:r>
        <w:rPr>
          <w:rFonts w:hint="default" w:ascii="Times New Roman" w:hAnsi="Times New Roman" w:eastAsia="仿宋_GB2312" w:cs="Times New Roman"/>
          <w:b w:val="0"/>
          <w:bCs w:val="0"/>
          <w:color w:val="auto"/>
          <w:sz w:val="32"/>
          <w:szCs w:val="32"/>
          <w:highlight w:val="none"/>
          <w:lang w:val="en-US" w:eastAsia="zh-CN"/>
        </w:rPr>
        <w:t>形成全环节提升、全链条增值、全产业融合发展格局</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争取“国家级现代农业产业园”“优势特色产业集群”“农业产业强镇”落户乳山。</w:t>
      </w:r>
      <w:r>
        <w:rPr>
          <w:rFonts w:hint="default" w:ascii="Times New Roman" w:hAnsi="Times New Roman" w:eastAsia="仿宋_GB2312" w:cs="Times New Roman"/>
          <w:color w:val="auto"/>
          <w:sz w:val="32"/>
          <w:szCs w:val="32"/>
          <w:highlight w:val="none"/>
          <w:lang w:val="en-US" w:eastAsia="zh-CN"/>
        </w:rPr>
        <w:t>积极发展品牌农业，深化“三品一标”农产品培育，以“搭平台、汇优品、聚直播、销全国”为主线，构建线上线下融合的品牌农产品营销体系，聚焦乳山大花生、大姜、茶叶及特色海产品等优势品类，打造“乳山好品”区域公用品牌矩阵。践行大农业观、大食物观，深度融入“威海八鲜”精致渔业发展布局，实施牡蛎产业扶优培强行动，发挥牡蛎研究院带动效应，开展海水养殖“深蓝行动”，提升渔业机械化、专业化、现代化发展水平，打造牡蛎产业融合发展示范区。</w:t>
      </w:r>
    </w:p>
    <w:p>
      <w:pPr>
        <w:keepNext w:val="0"/>
        <w:keepLines w:val="0"/>
        <w:pageBreakBefore w:val="0"/>
        <w:widowControl w:val="0"/>
        <w:kinsoku/>
        <w:wordWrap/>
        <w:overflowPunct/>
        <w:topLinePunct w:val="0"/>
        <w:autoSpaceDE/>
        <w:autoSpaceDN/>
        <w:bidi w:val="0"/>
        <w:adjustRightInd w:val="0"/>
        <w:snapToGrid w:val="0"/>
        <w:spacing w:after="157" w:afterLines="50"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提高农业现代化水平。</w:t>
      </w:r>
      <w:r>
        <w:rPr>
          <w:rFonts w:hint="default" w:ascii="Times New Roman" w:hAnsi="Times New Roman" w:eastAsia="仿宋_GB2312" w:cs="Times New Roman"/>
          <w:b w:val="0"/>
          <w:bCs w:val="0"/>
          <w:color w:val="auto"/>
          <w:sz w:val="32"/>
          <w:szCs w:val="32"/>
          <w:highlight w:val="none"/>
          <w:lang w:val="en-US" w:eastAsia="zh-CN"/>
        </w:rPr>
        <w:t>稳步推动设施农业、高效节水农业、数字农业发展，加大新技术、新设备推广应用力度，释放农业科技潜力。开展农机装备补短板行动，加强高端智能、丘陵山区使用农机装备推广应用，到“十五五”末，主要农作物耕种收综合机械化率达到97.7%。</w:t>
      </w:r>
      <w:r>
        <w:rPr>
          <w:rFonts w:hint="default" w:ascii="Times New Roman" w:hAnsi="Times New Roman" w:eastAsia="仿宋_GB2312" w:cs="Times New Roman"/>
          <w:color w:val="auto"/>
          <w:sz w:val="32"/>
          <w:szCs w:val="32"/>
          <w:highlight w:val="none"/>
          <w:lang w:val="en-US" w:eastAsia="zh-CN"/>
        </w:rPr>
        <w:t>大力推广水肥一体化技术，实现节水节肥、增产增效，力争“十五五”期间推广粮油果蔬作物水肥一体化10万亩次、推广主粮作物单产提升面积5万亩次。建设现代农事综合服务中心，培育新型农业经营主体，加快构建以农户家庭经营为基础、合作与联合为纽带、社会服务为支撑的立体式复合型现代农业经营体系。到2030年，农业合作社达到1300家、家庭农场达到1000家、农业产业化龙头企业达到50家。</w:t>
      </w:r>
    </w:p>
    <w:tbl>
      <w:tblPr>
        <w:tblStyle w:val="19"/>
        <w:tblW w:w="0" w:type="auto"/>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930" w:type="dxa"/>
            <w:vAlign w:val="top"/>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楷体_GB2312" w:cs="Times New Roman"/>
                <w:b w:val="0"/>
                <w:bCs w:val="0"/>
                <w:color w:val="auto"/>
                <w:sz w:val="32"/>
                <w:szCs w:val="32"/>
                <w:highlight w:val="none"/>
                <w:vertAlign w:val="baseline"/>
                <w:lang w:val="en-US" w:eastAsia="zh-CN"/>
              </w:rPr>
            </w:pPr>
            <w:bookmarkStart w:id="272" w:name="_Toc9994"/>
            <w:bookmarkStart w:id="273" w:name="_Toc29144"/>
            <w:bookmarkStart w:id="274" w:name="_Toc27994"/>
            <w:bookmarkStart w:id="275" w:name="_Toc32014"/>
            <w:r>
              <w:rPr>
                <w:rFonts w:hint="default" w:ascii="Times New Roman" w:hAnsi="Times New Roman" w:eastAsia="黑体" w:cs="Times New Roman"/>
                <w:b w:val="0"/>
                <w:bCs w:val="0"/>
                <w:color w:val="auto"/>
                <w:sz w:val="28"/>
                <w:szCs w:val="28"/>
                <w:highlight w:val="none"/>
                <w:vertAlign w:val="baseline"/>
                <w:lang w:val="en-US" w:eastAsia="zh-CN"/>
              </w:rPr>
              <w:t>专栏12：农业高质量发展重点项目</w:t>
            </w:r>
            <w:bookmarkEnd w:id="272"/>
            <w:bookmarkEnd w:id="273"/>
            <w:bookmarkEnd w:id="274"/>
            <w:bookmarkEnd w:id="27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0" w:leftChars="0" w:firstLine="560" w:firstLineChars="200"/>
              <w:textAlignment w:val="auto"/>
              <w:outlineLvl w:val="9"/>
              <w:rPr>
                <w:rFonts w:hint="default" w:ascii="Times New Roman" w:hAnsi="Times New Roman" w:eastAsia="楷体_GB2312" w:cs="Times New Roman"/>
                <w:b w:val="0"/>
                <w:bCs w:val="0"/>
                <w:color w:val="auto"/>
                <w:sz w:val="32"/>
                <w:szCs w:val="32"/>
                <w:highlight w:val="none"/>
                <w:vertAlign w:val="baseline"/>
                <w:lang w:val="en-US" w:eastAsia="zh-CN"/>
              </w:rPr>
            </w:pPr>
            <w:bookmarkStart w:id="276" w:name="_Toc28178"/>
            <w:r>
              <w:rPr>
                <w:rFonts w:hint="default" w:ascii="Times New Roman" w:hAnsi="Times New Roman" w:eastAsia="仿宋_GB2312" w:cs="Times New Roman"/>
                <w:b w:val="0"/>
                <w:bCs w:val="0"/>
                <w:color w:val="auto"/>
                <w:sz w:val="28"/>
                <w:szCs w:val="28"/>
                <w:highlight w:val="none"/>
                <w:lang w:val="en-US" w:eastAsia="en-US"/>
              </w:rPr>
              <w:t>国家现代农业产业园建设项目</w:t>
            </w:r>
            <w:r>
              <w:rPr>
                <w:rFonts w:hint="default" w:ascii="Times New Roman" w:hAnsi="Times New Roman" w:eastAsia="仿宋_GB2312" w:cs="Times New Roman"/>
                <w:b w:val="0"/>
                <w:bCs w:val="0"/>
                <w:color w:val="auto"/>
                <w:sz w:val="28"/>
                <w:szCs w:val="28"/>
                <w:highlight w:val="none"/>
                <w:lang w:val="en-US" w:eastAsia="zh-CN"/>
              </w:rPr>
              <w:t>，乳山市酸化耕地治理项目，高标准农田建设项目，乳山市经济作物绿色高产高效行动项目，国家农业产业强镇建设项目，</w:t>
            </w:r>
            <w:r>
              <w:rPr>
                <w:rFonts w:hint="default" w:ascii="Times New Roman" w:hAnsi="Times New Roman" w:eastAsia="仿宋_GB2312" w:cs="Times New Roman"/>
                <w:b w:val="0"/>
                <w:bCs w:val="0"/>
                <w:strike w:val="0"/>
                <w:dstrike w:val="0"/>
                <w:color w:val="auto"/>
                <w:sz w:val="28"/>
                <w:szCs w:val="28"/>
                <w:highlight w:val="none"/>
                <w:lang w:val="en-US" w:eastAsia="zh-CN"/>
              </w:rPr>
              <w:t>乳山市优势产业全链数字化赋能项目，</w:t>
            </w:r>
            <w:r>
              <w:rPr>
                <w:rFonts w:hint="default" w:ascii="Times New Roman" w:hAnsi="Times New Roman" w:eastAsia="仿宋_GB2312" w:cs="Times New Roman"/>
                <w:b w:val="0"/>
                <w:bCs w:val="0"/>
                <w:color w:val="auto"/>
                <w:sz w:val="28"/>
                <w:szCs w:val="28"/>
                <w:highlight w:val="none"/>
                <w:lang w:val="en-US" w:eastAsia="zh-CN"/>
              </w:rPr>
              <w:t>威豪田园综合体项目等</w:t>
            </w:r>
            <w:r>
              <w:rPr>
                <w:rFonts w:hint="default" w:ascii="Times New Roman" w:hAnsi="Times New Roman" w:eastAsia="仿宋_GB2312" w:cs="Times New Roman"/>
                <w:b w:val="0"/>
                <w:bCs w:val="0"/>
                <w:color w:val="auto"/>
                <w:sz w:val="28"/>
                <w:szCs w:val="28"/>
                <w:highlight w:val="none"/>
                <w:lang w:val="en-US" w:eastAsia="en-US"/>
              </w:rPr>
              <w:t>。</w:t>
            </w:r>
            <w:bookmarkEnd w:id="276"/>
          </w:p>
        </w:tc>
      </w:tr>
    </w:tbl>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277" w:name="_Toc8014"/>
      <w:bookmarkStart w:id="278" w:name="_Toc2254"/>
      <w:bookmarkStart w:id="279" w:name="_Toc18323"/>
      <w:bookmarkStart w:id="280" w:name="_Toc25751"/>
      <w:bookmarkStart w:id="281" w:name="_Toc9913"/>
      <w:bookmarkStart w:id="282" w:name="_Toc22282"/>
      <w:bookmarkStart w:id="283" w:name="_Toc28845"/>
      <w:bookmarkStart w:id="284" w:name="_Toc3287"/>
      <w:bookmarkStart w:id="285" w:name="_Toc22510"/>
      <w:r>
        <w:rPr>
          <w:rFonts w:hint="default" w:ascii="Times New Roman" w:hAnsi="Times New Roman" w:cs="Times New Roman"/>
          <w:snapToGrid w:val="0"/>
          <w:color w:val="auto"/>
          <w:sz w:val="32"/>
          <w:highlight w:val="none"/>
          <w:lang w:val="en-US" w:eastAsia="zh-CN"/>
        </w:rPr>
        <w:t>第二节 打造宜居宜业和美乡村</w:t>
      </w:r>
      <w:bookmarkEnd w:id="277"/>
      <w:bookmarkEnd w:id="278"/>
      <w:bookmarkEnd w:id="279"/>
      <w:bookmarkEnd w:id="280"/>
      <w:bookmarkEnd w:id="281"/>
      <w:bookmarkEnd w:id="282"/>
      <w:bookmarkEnd w:id="283"/>
      <w:bookmarkEnd w:id="284"/>
      <w:bookmarkEnd w:id="285"/>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坚持分类梯次实施、全要素协同发展，抓好乡村振兴样板片区扩面提质升级，全面建设人与自然和谐共生、生产生活生态融合的新型乡村。</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片区化推进乡村振兴</w:t>
      </w:r>
      <w:r>
        <w:rPr>
          <w:rFonts w:hint="default" w:ascii="Times New Roman" w:hAnsi="Times New Roman" w:eastAsia="仿宋_GB2312" w:cs="Times New Roman"/>
          <w:color w:val="auto"/>
          <w:kern w:val="2"/>
          <w:sz w:val="32"/>
          <w:szCs w:val="32"/>
          <w:highlight w:val="none"/>
          <w:lang w:val="en-US" w:eastAsia="zh-CN" w:bidi="ar-SA"/>
        </w:rPr>
        <w:t>。坚持“全域布局、梯次培育、特色定位、要素整合”思路，优化乡村振兴片区总体规划布局，统筹实</w:t>
      </w:r>
      <w:r>
        <w:rPr>
          <w:rFonts w:hint="default" w:ascii="Times New Roman" w:hAnsi="Times New Roman" w:eastAsia="仿宋_GB2312" w:cs="Times New Roman"/>
          <w:color w:val="auto"/>
          <w:sz w:val="32"/>
          <w:szCs w:val="32"/>
          <w:highlight w:val="none"/>
          <w:lang w:val="en-US" w:eastAsia="zh-CN"/>
        </w:rPr>
        <w:t>施以城郊融合类、集聚提升类、特色保护类、搬迁撤并类等为重点的村庄建设与差异化发展，强化骨干村引领带动，聚焦农村现代生活条件短板，打造“一站式”便民服务综合体。深化“万企兴万村行动”，鼓励金融机构、国企、民企及科研院所等多元主体参与片区建设，探索群众参与片区建设发展的制度举措，统筹推进组织联建、资源整合、产业融合、人才聚合，实现村庄产业、治理、民生整体提升</w:t>
      </w:r>
      <w:r>
        <w:rPr>
          <w:rFonts w:hint="default" w:ascii="Times New Roman" w:hAnsi="Times New Roman" w:eastAsia="仿宋_GB2312" w:cs="Times New Roman"/>
          <w:color w:val="auto"/>
          <w:spacing w:val="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trike/>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全面优化农村人居环境。</w:t>
      </w:r>
      <w:r>
        <w:rPr>
          <w:rFonts w:hint="default" w:ascii="Times New Roman" w:hAnsi="Times New Roman" w:eastAsia="仿宋_GB2312" w:cs="Times New Roman"/>
          <w:b w:val="0"/>
          <w:bCs w:val="0"/>
          <w:color w:val="auto"/>
          <w:sz w:val="32"/>
          <w:szCs w:val="32"/>
          <w:highlight w:val="none"/>
          <w:lang w:val="en-US" w:eastAsia="zh-CN"/>
        </w:rPr>
        <w:t>持续开展农村人居环境整治提升，建立健全村庄保洁长效机制，全面提升农村人居环境质量。</w:t>
      </w:r>
      <w:r>
        <w:rPr>
          <w:rFonts w:hint="default" w:ascii="Times New Roman" w:hAnsi="Times New Roman" w:eastAsia="仿宋_GB2312" w:cs="Times New Roman"/>
          <w:strike w:val="0"/>
          <w:color w:val="auto"/>
          <w:sz w:val="32"/>
          <w:szCs w:val="32"/>
          <w:highlight w:val="none"/>
          <w:lang w:val="en-US" w:eastAsia="zh-CN"/>
        </w:rPr>
        <w:t>实施村庄清洁和绿化行动，健全农村厕所管护服务体系和生活垃圾转运处置体系，推进农村生活污水处理，保持全域农村黑臭水体动态清零，全面提升农村人居环境。深入开展“万村千河”行动，全力争创升级幸福河湖。开展特色乡村风貌提升行动，强化历史文化名村和传统村落、农业文化遗产、乡村特色风貌保护，</w:t>
      </w:r>
      <w:r>
        <w:rPr>
          <w:rFonts w:hint="default" w:ascii="Times New Roman" w:hAnsi="Times New Roman" w:eastAsia="仿宋_GB2312" w:cs="Times New Roman"/>
          <w:bCs w:val="0"/>
          <w:strike w:val="0"/>
          <w:color w:val="auto"/>
          <w:sz w:val="32"/>
          <w:szCs w:val="32"/>
          <w:highlight w:val="none"/>
          <w:lang w:val="en-US" w:eastAsia="zh-CN"/>
        </w:rPr>
        <w:t>打造农村美好家园。</w:t>
      </w:r>
    </w:p>
    <w:p>
      <w:pPr>
        <w:keepNext w:val="0"/>
        <w:keepLines w:val="0"/>
        <w:pageBreakBefore w:val="0"/>
        <w:widowControl w:val="0"/>
        <w:kinsoku/>
        <w:wordWrap/>
        <w:overflowPunct/>
        <w:topLinePunct w:val="0"/>
        <w:autoSpaceDE/>
        <w:autoSpaceDN/>
        <w:bidi w:val="0"/>
        <w:adjustRightInd w:val="0"/>
        <w:snapToGrid w:val="0"/>
        <w:spacing w:after="157" w:afterLines="50"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提升农村公共服务水平</w:t>
      </w:r>
      <w:r>
        <w:rPr>
          <w:rFonts w:hint="default" w:ascii="Times New Roman" w:hAnsi="Times New Roman" w:eastAsia="楷体_GB2312" w:cs="Times New Roman"/>
          <w:color w:val="auto"/>
          <w:sz w:val="32"/>
          <w:szCs w:val="32"/>
          <w:highlight w:val="none"/>
          <w:lang w:val="en-US" w:eastAsia="zh-CN" w:bidi="ar"/>
        </w:rPr>
        <w:t>。</w:t>
      </w:r>
      <w:r>
        <w:rPr>
          <w:rFonts w:hint="default" w:ascii="Times New Roman" w:hAnsi="Times New Roman" w:eastAsia="仿宋_GB2312" w:cs="Times New Roman"/>
          <w:color w:val="auto"/>
          <w:sz w:val="32"/>
          <w:szCs w:val="32"/>
          <w:highlight w:val="none"/>
          <w:lang w:val="en-US" w:eastAsia="zh-CN"/>
        </w:rPr>
        <w:t>健全县乡村统筹的基础设施和公共服务体系，</w:t>
      </w:r>
      <w:r>
        <w:rPr>
          <w:rFonts w:hint="default" w:ascii="Times New Roman" w:hAnsi="Times New Roman" w:eastAsia="仿宋_GB2312" w:cs="Times New Roman"/>
          <w:color w:val="auto"/>
          <w:spacing w:val="0"/>
          <w:sz w:val="32"/>
          <w:szCs w:val="32"/>
          <w:highlight w:val="none"/>
        </w:rPr>
        <w:t>推动</w:t>
      </w:r>
      <w:r>
        <w:rPr>
          <w:rFonts w:hint="default" w:ascii="Times New Roman" w:hAnsi="Times New Roman" w:eastAsia="仿宋_GB2312" w:cs="Times New Roman"/>
          <w:color w:val="auto"/>
          <w:sz w:val="32"/>
          <w:szCs w:val="32"/>
          <w:highlight w:val="none"/>
          <w:lang w:val="en-US" w:eastAsia="zh-CN"/>
        </w:rPr>
        <w:t>农村基本具备现代生活条件。稳慎优化农村中小学校、幼儿园布局，全域推广城乡学校共同体。提升基层医疗卫生服务水平，加强农村医疗卫生设施建设，提升乡镇卫生院和村卫生室的医疗服务能力，实现规划村卫生室“五有三提升”全覆盖。健全农村养老服务设施，建设农村幸福院、敬老院等养老机构，发展居家养老服务。实施乡村文化设施提质工程，推进乡村综合文化站、村级文化服务中心、农家书屋等建设，实现村级文化设施全覆盖，每年组织开展各类群众性文化活动100场次以上。</w:t>
      </w:r>
    </w:p>
    <w:tbl>
      <w:tblPr>
        <w:tblStyle w:val="18"/>
        <w:tblW w:w="0" w:type="auto"/>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8880" w:type="dxa"/>
            <w:vAlign w:val="top"/>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楷体_GB2312" w:cs="Times New Roman"/>
                <w:b w:val="0"/>
                <w:bCs w:val="0"/>
                <w:color w:val="auto"/>
                <w:sz w:val="32"/>
                <w:szCs w:val="32"/>
                <w:highlight w:val="none"/>
                <w:vertAlign w:val="baseline"/>
                <w:lang w:val="en-US" w:eastAsia="zh-CN"/>
              </w:rPr>
            </w:pPr>
            <w:bookmarkStart w:id="286" w:name="_Toc25805"/>
            <w:bookmarkStart w:id="287" w:name="_Toc31891"/>
            <w:bookmarkStart w:id="288" w:name="_Toc8663"/>
            <w:bookmarkStart w:id="289" w:name="_Toc9128"/>
            <w:r>
              <w:rPr>
                <w:rFonts w:hint="default" w:ascii="Times New Roman" w:hAnsi="Times New Roman" w:eastAsia="黑体" w:cs="Times New Roman"/>
                <w:b w:val="0"/>
                <w:bCs w:val="0"/>
                <w:color w:val="auto"/>
                <w:sz w:val="28"/>
                <w:szCs w:val="28"/>
                <w:highlight w:val="none"/>
                <w:vertAlign w:val="baseline"/>
                <w:lang w:val="en-US" w:eastAsia="zh-CN"/>
              </w:rPr>
              <w:t>专栏13：和美乡村建设重点项目</w:t>
            </w:r>
            <w:bookmarkEnd w:id="286"/>
            <w:bookmarkEnd w:id="287"/>
            <w:bookmarkEnd w:id="288"/>
            <w:bookmarkEnd w:id="28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0" w:type="dxa"/>
            <w:vAlign w:val="top"/>
          </w:tcPr>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cs="Times New Roman"/>
                <w:color w:val="auto"/>
                <w:highlight w:val="none"/>
                <w:lang w:val="en-US" w:eastAsia="zh-CN"/>
              </w:rPr>
            </w:pPr>
            <w:bookmarkStart w:id="290" w:name="_Toc7406"/>
            <w:bookmarkStart w:id="291" w:name="_Toc31886"/>
            <w:bookmarkStart w:id="292" w:name="_Toc27933"/>
            <w:bookmarkStart w:id="293" w:name="_Toc12073"/>
            <w:r>
              <w:rPr>
                <w:rFonts w:hint="default" w:ascii="Times New Roman" w:hAnsi="Times New Roman" w:eastAsia="仿宋_GB2312" w:cs="Times New Roman"/>
                <w:b w:val="0"/>
                <w:bCs w:val="0"/>
                <w:strike w:val="0"/>
                <w:dstrike w:val="0"/>
                <w:color w:val="auto"/>
                <w:kern w:val="44"/>
                <w:sz w:val="28"/>
                <w:szCs w:val="28"/>
                <w:highlight w:val="none"/>
                <w:lang w:val="en-US" w:eastAsia="zh-CN" w:bidi="ar-SA"/>
              </w:rPr>
              <w:t>乡村振兴片区建设项目，“五好两宜”和美乡村试点试验项目，乱占耕地建房住宅类房屋专项整治国家级试点项目，农村人居环境整治提升项目，</w:t>
            </w:r>
            <w:r>
              <w:rPr>
                <w:rFonts w:hint="default" w:ascii="Times New Roman" w:hAnsi="Times New Roman" w:eastAsia="仿宋_GB2312" w:cs="Times New Roman"/>
                <w:b w:val="0"/>
                <w:bCs w:val="0"/>
                <w:color w:val="auto"/>
                <w:kern w:val="44"/>
                <w:sz w:val="28"/>
                <w:szCs w:val="28"/>
                <w:highlight w:val="none"/>
                <w:lang w:val="en-US" w:eastAsia="zh-CN" w:bidi="ar-SA"/>
              </w:rPr>
              <w:t>农村公路改造项目，乳山口镇择村安置区项目，白沙滩镇白沙滩村安置区项目，农村供水保障工程项目，农村电网改造项目</w:t>
            </w:r>
            <w:bookmarkEnd w:id="290"/>
            <w:bookmarkEnd w:id="291"/>
            <w:bookmarkEnd w:id="292"/>
            <w:bookmarkEnd w:id="293"/>
            <w:r>
              <w:rPr>
                <w:rFonts w:hint="default" w:ascii="Times New Roman" w:hAnsi="Times New Roman" w:eastAsia="仿宋_GB2312" w:cs="Times New Roman"/>
                <w:b w:val="0"/>
                <w:bCs w:val="0"/>
                <w:color w:val="auto"/>
                <w:kern w:val="44"/>
                <w:sz w:val="28"/>
                <w:szCs w:val="28"/>
                <w:highlight w:val="none"/>
                <w:lang w:val="en-US" w:eastAsia="zh-CN" w:bidi="ar-SA"/>
              </w:rPr>
              <w:t>等。</w:t>
            </w:r>
          </w:p>
        </w:tc>
      </w:tr>
    </w:tbl>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294" w:name="_Toc9028"/>
      <w:bookmarkStart w:id="295" w:name="_Toc21803"/>
      <w:bookmarkStart w:id="296" w:name="_Toc26073"/>
      <w:bookmarkStart w:id="297" w:name="_Toc4979"/>
      <w:bookmarkStart w:id="298" w:name="_Toc29640"/>
      <w:bookmarkStart w:id="299" w:name="_Toc15086"/>
      <w:bookmarkStart w:id="300" w:name="_Toc2587"/>
      <w:bookmarkStart w:id="301" w:name="_Toc19628"/>
      <w:bookmarkStart w:id="302" w:name="_Toc1137"/>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r>
        <w:rPr>
          <w:rFonts w:hint="default" w:ascii="Times New Roman" w:hAnsi="Times New Roman" w:cs="Times New Roman"/>
          <w:snapToGrid w:val="0"/>
          <w:color w:val="auto"/>
          <w:sz w:val="32"/>
          <w:highlight w:val="none"/>
          <w:lang w:val="en-US" w:eastAsia="zh-CN"/>
        </w:rPr>
        <w:t>第三节 拓宽共同富裕有效路径</w:t>
      </w:r>
      <w:bookmarkEnd w:id="294"/>
      <w:bookmarkEnd w:id="295"/>
      <w:bookmarkEnd w:id="296"/>
      <w:bookmarkEnd w:id="297"/>
      <w:bookmarkEnd w:id="298"/>
      <w:bookmarkEnd w:id="299"/>
      <w:bookmarkEnd w:id="300"/>
      <w:bookmarkEnd w:id="301"/>
      <w:bookmarkEnd w:id="302"/>
    </w:p>
    <w:p>
      <w:pPr>
        <w:pStyle w:val="9"/>
        <w:keepNext w:val="0"/>
        <w:keepLines w:val="0"/>
        <w:pageBreakBefore w:val="0"/>
        <w:widowControl w:val="0"/>
        <w:kinsoku/>
        <w:wordWrap/>
        <w:overflowPunct/>
        <w:topLinePunct w:val="0"/>
        <w:autoSpaceDE/>
        <w:autoSpaceDN/>
        <w:bidi w:val="0"/>
        <w:adjustRightInd w:val="0"/>
        <w:snapToGrid w:val="0"/>
        <w:spacing w:line="570" w:lineRule="exact"/>
        <w:ind w:right="0" w:firstLine="640" w:firstLineChars="200"/>
        <w:jc w:val="both"/>
        <w:textAlignment w:val="baseline"/>
        <w:rPr>
          <w:rFonts w:hint="default" w:ascii="Times New Roman" w:hAnsi="Times New Roman" w:eastAsia="仿宋_GB2312" w:cs="Times New Roman"/>
          <w:color w:val="auto"/>
          <w:spacing w:val="0"/>
          <w:sz w:val="32"/>
          <w:szCs w:val="32"/>
          <w:highlight w:val="none"/>
        </w:rPr>
      </w:pPr>
      <w:bookmarkStart w:id="303" w:name="OLE_LINK72"/>
      <w:r>
        <w:rPr>
          <w:rFonts w:hint="default" w:ascii="Times New Roman" w:hAnsi="Times New Roman" w:eastAsia="仿宋_GB2312" w:cs="Times New Roman"/>
          <w:color w:val="auto"/>
          <w:spacing w:val="0"/>
          <w:sz w:val="32"/>
          <w:szCs w:val="32"/>
          <w:highlight w:val="none"/>
        </w:rPr>
        <w:t>深化</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三农</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领域制度改革，健全城乡一体</w:t>
      </w:r>
      <w:r>
        <w:rPr>
          <w:rFonts w:hint="default" w:ascii="Times New Roman" w:hAnsi="Times New Roman" w:eastAsia="仿宋_GB2312" w:cs="Times New Roman"/>
          <w:color w:val="auto"/>
          <w:spacing w:val="0"/>
          <w:sz w:val="32"/>
          <w:szCs w:val="32"/>
          <w:highlight w:val="none"/>
          <w:lang w:val="en-US" w:eastAsia="zh-CN"/>
        </w:rPr>
        <w:t>发展</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强村富民的长效机制，促进生产要素城乡双向流动，构建融合发展的新型城乡关系。</w:t>
      </w:r>
      <w:bookmarkEnd w:id="303"/>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深化农村制度改革。</w:t>
      </w:r>
      <w:r>
        <w:rPr>
          <w:rFonts w:hint="default" w:ascii="Times New Roman" w:hAnsi="Times New Roman" w:eastAsia="仿宋_GB2312" w:cs="Times New Roman"/>
          <w:color w:val="auto"/>
          <w:sz w:val="32"/>
          <w:szCs w:val="32"/>
          <w:highlight w:val="none"/>
          <w:lang w:val="en-US" w:eastAsia="zh-CN"/>
        </w:rPr>
        <w:t>巩固农村产权流转交易规范化国家级试点建设成果，优化农村集体“三资”管理分类分级监管机制，提升规范化管理水平。</w:t>
      </w:r>
      <w:r>
        <w:rPr>
          <w:rFonts w:hint="default" w:ascii="Times New Roman" w:hAnsi="Times New Roman" w:eastAsia="仿宋_GB2312" w:cs="Times New Roman"/>
          <w:b w:val="0"/>
          <w:bCs w:val="0"/>
          <w:color w:val="auto"/>
          <w:sz w:val="32"/>
          <w:szCs w:val="32"/>
          <w:highlight w:val="none"/>
          <w:lang w:val="en-US" w:eastAsia="zh-CN"/>
        </w:rPr>
        <w:t>完善“三权分置”，稳妥有序推进</w:t>
      </w:r>
      <w:r>
        <w:rPr>
          <w:rFonts w:hint="default" w:ascii="Times New Roman" w:hAnsi="Times New Roman" w:eastAsia="仿宋_GB2312" w:cs="Times New Roman"/>
          <w:color w:val="auto"/>
          <w:sz w:val="32"/>
          <w:szCs w:val="32"/>
          <w:highlight w:val="none"/>
          <w:lang w:val="en-US" w:eastAsia="zh-CN"/>
        </w:rPr>
        <w:t>第二轮土地承包到期后再延长30年试点。有序推进集体经营性建设用地入市改革，推动农村各类产权合理有序规范流转，形成归属清晰、权能完整、流转顺畅、保护严格的农村集体产权制度体系，分类保障乡村发展用地。持续推进解决承包地细碎化改革，节约集约利用土地资源，提高农业生产效率和农民收入。聚焦“保障居住、管住乱建、盘活闲置”总要求，强化农村宅基地规范管理，开展乱占耕地建房住宅类房屋专项整治国家级试点，探索闲置农户住房盘活利用的有效实现形式，更好维护和实现宅基地财产权益。</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spacing w:val="0"/>
          <w:position w:val="0"/>
          <w:sz w:val="32"/>
          <w:szCs w:val="32"/>
          <w:highlight w:val="none"/>
          <w:lang w:val="en-US" w:eastAsia="zh-CN" w:bidi="ar"/>
        </w:rPr>
        <w:t>增强农民增收致富能力。</w:t>
      </w:r>
      <w:r>
        <w:rPr>
          <w:rFonts w:hint="default" w:ascii="Times New Roman" w:hAnsi="Times New Roman" w:eastAsia="仿宋_GB2312" w:cs="Times New Roman"/>
          <w:color w:val="auto"/>
          <w:spacing w:val="0"/>
          <w:sz w:val="32"/>
          <w:szCs w:val="32"/>
          <w:highlight w:val="none"/>
        </w:rPr>
        <w:t>发展壮大新一代乡村企业家队伍、科技特派员队伍，实施高素质农民培育计划、乡村产业振兴带头人培育</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头雁</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项目、新生代农民工职业技能提升行动</w:t>
      </w:r>
      <w:r>
        <w:rPr>
          <w:rFonts w:hint="default" w:ascii="Times New Roman" w:hAnsi="Times New Roman" w:eastAsia="仿宋_GB2312" w:cs="Times New Roman"/>
          <w:color w:val="auto"/>
          <w:spacing w:val="0"/>
          <w:position w:val="0"/>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支持农民发展乡村旅游、农村电商、家庭手工业等新业态，将资源优势转化为富民优势，以产业活力拓宽增收路径。提高强农惠农富农政策效能，落实粮食补贴、农机补贴、农业保险等，强化补贴精准性与实效性，切实稳住农民信心与底气。发展农业产业化经营，鼓励龙头企业与农民签订产销合同，以保底收购筑牢农业生产“安全网”，用分红返利搭建利益“共同体”，让农民深度嵌入产业链增值环节，助力农民增收致富。统筹建立常态化防止返贫致贫机制，坚持精准帮扶，持续巩固拓展脱贫攻坚成果，确保不发生规模性返贫致贫。</w:t>
      </w:r>
    </w:p>
    <w:p>
      <w:pPr>
        <w:pStyle w:val="27"/>
        <w:keepNext w:val="0"/>
        <w:keepLines w:val="0"/>
        <w:pageBreakBefore w:val="0"/>
        <w:widowControl w:val="0"/>
        <w:kinsoku/>
        <w:wordWrap/>
        <w:overflowPunct/>
        <w:topLinePunct w:val="0"/>
        <w:autoSpaceDE/>
        <w:autoSpaceDN/>
        <w:bidi w:val="0"/>
        <w:spacing w:line="570" w:lineRule="exact"/>
        <w:ind w:firstLine="640" w:firstLineChars="200"/>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推动城乡要素双向流动</w:t>
      </w:r>
      <w:r>
        <w:rPr>
          <w:rFonts w:hint="default" w:ascii="Times New Roman" w:hAnsi="Times New Roman" w:eastAsia="楷体_GB2312" w:cs="Times New Roman"/>
          <w:color w:val="auto"/>
          <w:kern w:val="2"/>
          <w:sz w:val="32"/>
          <w:szCs w:val="32"/>
          <w:highlight w:val="none"/>
          <w:lang w:val="en-US" w:eastAsia="zh-CN" w:bidi="ar"/>
        </w:rPr>
        <w:t>。</w:t>
      </w:r>
      <w:r>
        <w:rPr>
          <w:rFonts w:hint="default" w:ascii="Times New Roman" w:hAnsi="Times New Roman" w:eastAsia="仿宋_GB2312" w:cs="Times New Roman"/>
          <w:color w:val="auto"/>
          <w:kern w:val="2"/>
          <w:sz w:val="32"/>
          <w:szCs w:val="32"/>
          <w:highlight w:val="none"/>
          <w:lang w:val="en-US" w:eastAsia="zh-CN"/>
        </w:rPr>
        <w:t>扎实推进城乡融合发展，优化村镇布局，促进基础设施与公共服务向乡村覆盖延伸，畅通人才、技术、资本等要素城乡流动渠道。破除城乡要素流动壁垒，健全城乡统一的建设用地市场、劳动力市场、资本市场、技术市场、数据市场，促进城乡要素自由流动、平等交换。</w:t>
      </w:r>
      <w:r>
        <w:rPr>
          <w:rFonts w:hint="default" w:ascii="Times New Roman" w:hAnsi="Times New Roman" w:eastAsia="仿宋_GB2312" w:cs="Times New Roman"/>
          <w:color w:val="auto"/>
          <w:spacing w:val="0"/>
          <w:sz w:val="32"/>
          <w:szCs w:val="32"/>
          <w:highlight w:val="none"/>
          <w:lang w:val="en-US" w:eastAsia="zh-CN"/>
        </w:rPr>
        <w:t>以户籍制度改革为突破点，着力破除身份壁垒，</w:t>
      </w:r>
      <w:r>
        <w:rPr>
          <w:rFonts w:hint="default" w:ascii="Times New Roman" w:hAnsi="Times New Roman" w:eastAsia="仿宋_GB2312" w:cs="Times New Roman"/>
          <w:color w:val="auto"/>
          <w:kern w:val="2"/>
          <w:sz w:val="32"/>
          <w:szCs w:val="32"/>
          <w:highlight w:val="none"/>
          <w:lang w:val="en-US" w:eastAsia="zh-CN"/>
        </w:rPr>
        <w:t>取消城乡户籍差异。</w:t>
      </w:r>
      <w:r>
        <w:rPr>
          <w:rFonts w:hint="default" w:ascii="Times New Roman" w:hAnsi="Times New Roman" w:eastAsia="仿宋_GB2312" w:cs="Times New Roman"/>
          <w:color w:val="auto"/>
          <w:spacing w:val="0"/>
          <w:sz w:val="32"/>
          <w:szCs w:val="32"/>
          <w:highlight w:val="none"/>
          <w:lang w:val="en-US" w:eastAsia="zh-CN"/>
        </w:rPr>
        <w:t>聚焦</w:t>
      </w:r>
      <w:r>
        <w:rPr>
          <w:rFonts w:hint="default" w:ascii="Times New Roman" w:hAnsi="Times New Roman" w:eastAsia="仿宋_GB2312" w:cs="Times New Roman"/>
          <w:color w:val="auto"/>
          <w:spacing w:val="0"/>
          <w:sz w:val="32"/>
          <w:szCs w:val="32"/>
          <w:highlight w:val="none"/>
        </w:rPr>
        <w:t>进城农民工及其随迁家属</w:t>
      </w:r>
      <w:r>
        <w:rPr>
          <w:rFonts w:hint="default" w:ascii="Times New Roman" w:hAnsi="Times New Roman" w:eastAsia="仿宋_GB2312" w:cs="Times New Roman"/>
          <w:color w:val="auto"/>
          <w:spacing w:val="0"/>
          <w:sz w:val="32"/>
          <w:szCs w:val="32"/>
          <w:highlight w:val="none"/>
          <w:lang w:val="en-US" w:eastAsia="zh-CN"/>
        </w:rPr>
        <w:t>群体</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兼顾城市间流动人口，</w:t>
      </w:r>
      <w:r>
        <w:rPr>
          <w:rFonts w:hint="default" w:ascii="Times New Roman" w:hAnsi="Times New Roman" w:eastAsia="仿宋_GB2312" w:cs="Times New Roman"/>
          <w:color w:val="auto"/>
          <w:spacing w:val="0"/>
          <w:sz w:val="32"/>
          <w:szCs w:val="32"/>
          <w:highlight w:val="none"/>
          <w:lang w:val="en-US" w:eastAsia="zh-CN"/>
        </w:rPr>
        <w:t>深化“常住地登记户口+基本公共服务供给”机制，</w:t>
      </w:r>
      <w:r>
        <w:rPr>
          <w:rFonts w:hint="default" w:ascii="Times New Roman" w:hAnsi="Times New Roman" w:eastAsia="仿宋_GB2312" w:cs="Times New Roman"/>
          <w:color w:val="auto"/>
          <w:spacing w:val="0"/>
          <w:sz w:val="32"/>
          <w:szCs w:val="32"/>
          <w:highlight w:val="none"/>
        </w:rPr>
        <w:t>推动符合条件的农业转移人口</w:t>
      </w:r>
      <w:r>
        <w:rPr>
          <w:rFonts w:hint="default" w:ascii="Times New Roman" w:hAnsi="Times New Roman" w:eastAsia="仿宋_GB2312" w:cs="Times New Roman"/>
          <w:color w:val="auto"/>
          <w:spacing w:val="0"/>
          <w:sz w:val="32"/>
          <w:szCs w:val="32"/>
          <w:highlight w:val="none"/>
          <w:lang w:val="en-US" w:eastAsia="zh-CN"/>
        </w:rPr>
        <w:t>享受与</w:t>
      </w:r>
      <w:r>
        <w:rPr>
          <w:rFonts w:hint="default" w:ascii="Times New Roman" w:hAnsi="Times New Roman" w:eastAsia="仿宋_GB2312" w:cs="Times New Roman"/>
          <w:color w:val="auto"/>
          <w:spacing w:val="0"/>
          <w:sz w:val="32"/>
          <w:szCs w:val="32"/>
          <w:highlight w:val="none"/>
        </w:rPr>
        <w:t>迁入地户籍人口同等权利</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稳步推进基本公共服务均等化要求，加快构建城乡统一的教育、医疗、养老等公共服务体系，以制度创新推动城乡共同繁荣。</w:t>
      </w:r>
    </w:p>
    <w:p>
      <w:pPr>
        <w:pageBreakBefore w:val="0"/>
        <w:kinsoku/>
        <w:wordWrap/>
        <w:topLinePunct w:val="0"/>
        <w:autoSpaceDE/>
        <w:autoSpaceDN/>
        <w:bidi w:val="0"/>
        <w:spacing w:line="560" w:lineRule="exact"/>
        <w:rPr>
          <w:rFonts w:hint="default" w:ascii="Times New Roman" w:hAnsi="Times New Roman" w:cs="Times New Roman"/>
          <w:snapToGrid w:val="0"/>
          <w:color w:val="auto"/>
          <w:sz w:val="32"/>
          <w:highlight w:val="none"/>
          <w:lang w:val="en-US" w:eastAsia="zh-CN"/>
        </w:rPr>
      </w:pPr>
      <w:bookmarkStart w:id="304" w:name="_Toc22503"/>
      <w:bookmarkStart w:id="305" w:name="_Toc6155"/>
      <w:bookmarkStart w:id="306" w:name="_Toc9202"/>
      <w:bookmarkStart w:id="307" w:name="_Toc21221"/>
    </w:p>
    <w:p>
      <w:pPr>
        <w:pStyle w:val="2"/>
        <w:keepNext w:val="0"/>
        <w:keepLines w:val="0"/>
        <w:pageBreakBefore w:val="0"/>
        <w:widowControl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308" w:name="_Toc21381"/>
      <w:bookmarkStart w:id="309" w:name="_Toc7409"/>
      <w:bookmarkStart w:id="310" w:name="_Toc13942"/>
      <w:r>
        <w:rPr>
          <w:rFonts w:hint="default" w:ascii="Times New Roman" w:hAnsi="Times New Roman" w:eastAsia="黑体" w:cs="Times New Roman"/>
          <w:b w:val="0"/>
          <w:bCs w:val="0"/>
          <w:color w:val="auto"/>
          <w:sz w:val="32"/>
          <w:szCs w:val="32"/>
          <w:highlight w:val="none"/>
          <w:lang w:val="en-US" w:eastAsia="zh-CN"/>
        </w:rPr>
        <w:t>第八章</w:t>
      </w:r>
      <w:bookmarkEnd w:id="304"/>
      <w:bookmarkEnd w:id="305"/>
      <w:bookmarkEnd w:id="306"/>
      <w:bookmarkEnd w:id="307"/>
      <w:bookmarkEnd w:id="308"/>
      <w:bookmarkEnd w:id="309"/>
      <w:r>
        <w:rPr>
          <w:rFonts w:hint="default" w:ascii="Times New Roman" w:hAnsi="Times New Roman" w:eastAsia="黑体" w:cs="Times New Roman"/>
          <w:b w:val="0"/>
          <w:bCs w:val="0"/>
          <w:color w:val="auto"/>
          <w:sz w:val="32"/>
          <w:szCs w:val="32"/>
          <w:highlight w:val="none"/>
          <w:lang w:val="en-US" w:eastAsia="zh-CN"/>
        </w:rPr>
        <w:t xml:space="preserve"> 完善区域发展布局，建设品质宜居精致城市</w:t>
      </w:r>
      <w:bookmarkEnd w:id="310"/>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深入落实区域协调发展战略、主体功能区战略、新型城镇化战略，推动市域一体化布局、精致化建设，高水平建设现代化精致城市。</w:t>
      </w:r>
    </w:p>
    <w:p>
      <w:pPr>
        <w:pStyle w:val="3"/>
        <w:keepNext w:val="0"/>
        <w:keepLines w:val="0"/>
        <w:pageBreakBefore w:val="0"/>
        <w:widowControl w:val="0"/>
        <w:kinsoku/>
        <w:wordWrap/>
        <w:topLinePunct w:val="0"/>
        <w:autoSpaceDE/>
        <w:autoSpaceDN/>
        <w:bidi w:val="0"/>
        <w:adjustRightInd/>
        <w:snapToGrid/>
        <w:spacing w:before="50" w:beforeLines="50" w:after="50" w:afterLines="50" w:line="570" w:lineRule="exact"/>
        <w:ind w:firstLine="0" w:firstLineChars="0"/>
        <w:textAlignment w:val="auto"/>
        <w:rPr>
          <w:rFonts w:hint="default" w:ascii="Times New Roman" w:hAnsi="Times New Roman" w:eastAsia="楷体_GB2312" w:cs="Times New Roman"/>
          <w:snapToGrid w:val="0"/>
          <w:color w:val="auto"/>
          <w:kern w:val="2"/>
          <w:sz w:val="32"/>
          <w:szCs w:val="32"/>
          <w:highlight w:val="none"/>
          <w:lang w:val="en-US" w:eastAsia="zh-CN"/>
        </w:rPr>
      </w:pPr>
      <w:bookmarkStart w:id="311" w:name="_Toc2427"/>
      <w:bookmarkStart w:id="312" w:name="_Toc2520"/>
      <w:bookmarkStart w:id="313" w:name="_Toc32345"/>
      <w:r>
        <w:rPr>
          <w:rFonts w:hint="default" w:ascii="Times New Roman" w:hAnsi="Times New Roman" w:eastAsia="楷体_GB2312" w:cs="Times New Roman"/>
          <w:snapToGrid w:val="0"/>
          <w:color w:val="auto"/>
          <w:kern w:val="2"/>
          <w:sz w:val="32"/>
          <w:szCs w:val="32"/>
          <w:highlight w:val="none"/>
          <w:lang w:val="en-US" w:eastAsia="zh-CN" w:bidi="ar-SA"/>
        </w:rPr>
        <w:t>第一节</w:t>
      </w:r>
      <w:r>
        <w:rPr>
          <w:rFonts w:hint="default" w:ascii="Times New Roman" w:hAnsi="Times New Roman" w:cs="Times New Roman"/>
          <w:snapToGrid w:val="0"/>
          <w:color w:val="auto"/>
          <w:kern w:val="2"/>
          <w:sz w:val="32"/>
          <w:szCs w:val="32"/>
          <w:highlight w:val="none"/>
          <w:lang w:val="en-US" w:eastAsia="zh-CN" w:bidi="ar-SA"/>
        </w:rPr>
        <w:t xml:space="preserve"> </w:t>
      </w:r>
      <w:r>
        <w:rPr>
          <w:rFonts w:hint="default" w:ascii="Times New Roman" w:hAnsi="Times New Roman" w:cs="Times New Roman"/>
          <w:snapToGrid w:val="0"/>
          <w:color w:val="auto"/>
          <w:kern w:val="2"/>
          <w:sz w:val="32"/>
          <w:szCs w:val="32"/>
          <w:highlight w:val="none"/>
          <w:lang w:val="en-US" w:eastAsia="zh-CN"/>
        </w:rPr>
        <w:t>优化城市协同发展格局</w:t>
      </w:r>
      <w:bookmarkEnd w:id="311"/>
      <w:bookmarkEnd w:id="312"/>
      <w:bookmarkEnd w:id="313"/>
    </w:p>
    <w:p>
      <w:pPr>
        <w:keepNext w:val="0"/>
        <w:keepLines w:val="0"/>
        <w:pageBreakBefore w:val="0"/>
        <w:widowControl w:val="0"/>
        <w:kinsoku/>
        <w:wordWrap/>
        <w:overflowPunct/>
        <w:topLinePunct w:val="0"/>
        <w:autoSpaceDE/>
        <w:autoSpaceDN/>
        <w:bidi w:val="0"/>
        <w:adjustRightInd/>
        <w:snapToGrid/>
        <w:spacing w:afterLines="0"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color="auto"/>
          <w:lang w:val="en-US" w:eastAsia="zh-CN"/>
        </w:rPr>
        <w:t>全面</w:t>
      </w:r>
      <w:r>
        <w:rPr>
          <w:rFonts w:hint="default" w:ascii="Times New Roman" w:hAnsi="Times New Roman" w:eastAsia="仿宋_GB2312" w:cs="Times New Roman"/>
          <w:bCs/>
          <w:color w:val="auto"/>
          <w:sz w:val="32"/>
          <w:szCs w:val="32"/>
          <w:highlight w:val="none"/>
          <w:lang w:val="en-US" w:eastAsia="zh-CN"/>
        </w:rPr>
        <w:t>推进产业体系</w:t>
      </w:r>
      <w:r>
        <w:rPr>
          <w:rFonts w:hint="default" w:ascii="Times New Roman" w:hAnsi="Times New Roman" w:eastAsia="仿宋_GB2312" w:cs="Times New Roman"/>
          <w:color w:val="auto"/>
          <w:sz w:val="32"/>
          <w:szCs w:val="32"/>
          <w:highlight w:val="none"/>
          <w:u w:val="none" w:color="auto"/>
        </w:rPr>
        <w:t>协同共兴</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bCs/>
          <w:color w:val="auto"/>
          <w:sz w:val="32"/>
          <w:szCs w:val="32"/>
          <w:highlight w:val="none"/>
          <w:lang w:val="en-US" w:eastAsia="zh-CN"/>
        </w:rPr>
        <w:t>基础设施</w:t>
      </w:r>
      <w:r>
        <w:rPr>
          <w:rFonts w:hint="default" w:ascii="Times New Roman" w:hAnsi="Times New Roman" w:eastAsia="仿宋_GB2312" w:cs="Times New Roman"/>
          <w:color w:val="auto"/>
          <w:sz w:val="32"/>
          <w:szCs w:val="32"/>
          <w:highlight w:val="none"/>
          <w:u w:val="none" w:color="auto"/>
        </w:rPr>
        <w:t>互联互通</w:t>
      </w:r>
      <w:r>
        <w:rPr>
          <w:rFonts w:hint="default" w:ascii="Times New Roman" w:hAnsi="Times New Roman" w:eastAsia="仿宋_GB2312" w:cs="Times New Roman"/>
          <w:bCs/>
          <w:color w:val="auto"/>
          <w:sz w:val="32"/>
          <w:szCs w:val="32"/>
          <w:highlight w:val="none"/>
          <w:lang w:val="en-US" w:eastAsia="zh-CN"/>
        </w:rPr>
        <w:t>、公共服务</w:t>
      </w:r>
      <w:r>
        <w:rPr>
          <w:rFonts w:hint="default" w:ascii="Times New Roman" w:hAnsi="Times New Roman" w:eastAsia="仿宋_GB2312" w:cs="Times New Roman"/>
          <w:color w:val="auto"/>
          <w:sz w:val="32"/>
          <w:szCs w:val="32"/>
          <w:highlight w:val="none"/>
          <w:u w:val="none" w:color="auto"/>
        </w:rPr>
        <w:t>均等普惠</w:t>
      </w:r>
      <w:r>
        <w:rPr>
          <w:rFonts w:hint="default" w:ascii="Times New Roman" w:hAnsi="Times New Roman" w:eastAsia="仿宋_GB2312" w:cs="Times New Roman"/>
          <w:bCs/>
          <w:color w:val="auto"/>
          <w:sz w:val="32"/>
          <w:szCs w:val="32"/>
          <w:highlight w:val="none"/>
          <w:lang w:val="en-US" w:eastAsia="zh-CN"/>
        </w:rPr>
        <w:t>，提升</w:t>
      </w:r>
      <w:r>
        <w:rPr>
          <w:rFonts w:hint="default" w:ascii="Times New Roman" w:hAnsi="Times New Roman" w:eastAsia="仿宋_GB2312" w:cs="Times New Roman"/>
          <w:color w:val="auto"/>
          <w:sz w:val="32"/>
          <w:szCs w:val="32"/>
          <w:highlight w:val="none"/>
          <w:u w:val="none" w:color="auto"/>
        </w:rPr>
        <w:t>主城区</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滨海新区</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经济开发区产业和人口承载能力，加快</w:t>
      </w:r>
      <w:r>
        <w:rPr>
          <w:rFonts w:hint="default" w:ascii="Times New Roman" w:hAnsi="Times New Roman" w:eastAsia="仿宋_GB2312" w:cs="Times New Roman"/>
          <w:color w:val="auto"/>
          <w:sz w:val="32"/>
          <w:szCs w:val="32"/>
          <w:highlight w:val="none"/>
          <w:lang w:val="en-US" w:eastAsia="zh-CN"/>
        </w:rPr>
        <w:t>构建“三区”对接融合，主城区、滨海新区相向聚合的整体城市发展格局。</w:t>
      </w:r>
    </w:p>
    <w:p>
      <w:pPr>
        <w:pStyle w:val="27"/>
        <w:keepNext w:val="0"/>
        <w:keepLines w:val="0"/>
        <w:pageBreakBefore w:val="0"/>
        <w:widowControl w:val="0"/>
        <w:numPr>
          <w:ilvl w:val="-1"/>
          <w:numId w:val="0"/>
        </w:numPr>
        <w:kinsoku/>
        <w:wordWrap/>
        <w:overflowPunct/>
        <w:topLinePunct w:val="0"/>
        <w:autoSpaceDE/>
        <w:autoSpaceDN/>
        <w:bidi w:val="0"/>
        <w:adjustRightInd/>
        <w:snapToGrid/>
        <w:spacing w:after="0" w:afterLines="0" w:line="570" w:lineRule="exact"/>
        <w:ind w:firstLine="640" w:firstLineChars="200"/>
        <w:textAlignment w:val="auto"/>
        <w:rPr>
          <w:rFonts w:hint="default" w:ascii="Times New Roman" w:hAnsi="Times New Roman" w:eastAsia="仿宋_GB2312" w:cs="Times New Roman"/>
          <w:color w:val="auto"/>
          <w:sz w:val="32"/>
          <w:szCs w:val="32"/>
          <w:highlight w:val="none"/>
          <w:u w:val="none" w:color="auto"/>
          <w:lang w:eastAsia="zh-CN"/>
        </w:rPr>
      </w:pPr>
      <w:r>
        <w:rPr>
          <w:rFonts w:hint="default" w:ascii="Times New Roman" w:hAnsi="Times New Roman" w:eastAsia="楷体_GB2312" w:cs="Times New Roman"/>
          <w:b w:val="0"/>
          <w:bCs w:val="0"/>
          <w:strike w:val="0"/>
          <w:color w:val="auto"/>
          <w:kern w:val="2"/>
          <w:sz w:val="32"/>
          <w:szCs w:val="32"/>
          <w:highlight w:val="none"/>
          <w:lang w:val="en-US" w:eastAsia="zh-CN" w:bidi="ar"/>
        </w:rPr>
        <w:t>主城区。</w:t>
      </w:r>
      <w:r>
        <w:rPr>
          <w:rFonts w:hint="default" w:ascii="Times New Roman" w:hAnsi="Times New Roman" w:eastAsia="仿宋_GB2312" w:cs="Times New Roman"/>
          <w:color w:val="auto"/>
          <w:sz w:val="32"/>
          <w:szCs w:val="32"/>
          <w:highlight w:val="none"/>
          <w:u w:val="none" w:color="auto"/>
        </w:rPr>
        <w:t>以</w:t>
      </w:r>
      <w:r>
        <w:rPr>
          <w:rFonts w:hint="default" w:ascii="Times New Roman" w:hAnsi="Times New Roman" w:eastAsia="仿宋_GB2312" w:cs="Times New Roman"/>
          <w:color w:val="auto"/>
          <w:sz w:val="32"/>
          <w:szCs w:val="32"/>
          <w:highlight w:val="none"/>
          <w:u w:val="none" w:color="auto"/>
          <w:lang w:eastAsia="zh-CN"/>
        </w:rPr>
        <w:t>提升主城区首位度</w:t>
      </w:r>
      <w:r>
        <w:rPr>
          <w:rFonts w:hint="default" w:ascii="Times New Roman" w:hAnsi="Times New Roman" w:eastAsia="仿宋_GB2312" w:cs="Times New Roman"/>
          <w:color w:val="auto"/>
          <w:sz w:val="32"/>
          <w:szCs w:val="32"/>
          <w:highlight w:val="none"/>
          <w:u w:val="none" w:color="auto"/>
        </w:rPr>
        <w:t>为核心</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lang w:val="en-US" w:eastAsia="zh-CN"/>
        </w:rPr>
        <w:t>以聚人、兴城为重点，</w:t>
      </w:r>
      <w:r>
        <w:rPr>
          <w:rFonts w:hint="default" w:ascii="Times New Roman" w:hAnsi="Times New Roman" w:eastAsia="仿宋_GB2312" w:cs="Times New Roman"/>
          <w:color w:val="auto"/>
          <w:sz w:val="32"/>
          <w:szCs w:val="32"/>
          <w:highlight w:val="none"/>
          <w:u w:val="none" w:color="auto"/>
          <w:lang w:eastAsia="zh-CN"/>
        </w:rPr>
        <w:t>实施“</w:t>
      </w:r>
      <w:r>
        <w:rPr>
          <w:rFonts w:hint="default" w:ascii="Times New Roman" w:hAnsi="Times New Roman" w:eastAsia="仿宋_GB2312" w:cs="Times New Roman"/>
          <w:color w:val="auto"/>
          <w:sz w:val="32"/>
          <w:szCs w:val="32"/>
          <w:highlight w:val="none"/>
          <w:u w:val="none" w:color="auto"/>
        </w:rPr>
        <w:t>东拓展、西提升、南延伸</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空间</w:t>
      </w:r>
      <w:r>
        <w:rPr>
          <w:rFonts w:hint="default" w:ascii="Times New Roman" w:hAnsi="Times New Roman" w:eastAsia="仿宋_GB2312" w:cs="Times New Roman"/>
          <w:color w:val="auto"/>
          <w:sz w:val="32"/>
          <w:szCs w:val="32"/>
          <w:highlight w:val="none"/>
          <w:u w:val="none" w:color="auto"/>
          <w:lang w:val="en-US" w:eastAsia="zh-CN"/>
        </w:rPr>
        <w:t>策略</w:t>
      </w:r>
      <w:r>
        <w:rPr>
          <w:rFonts w:hint="default" w:ascii="Times New Roman" w:hAnsi="Times New Roman" w:eastAsia="仿宋_GB2312" w:cs="Times New Roman"/>
          <w:color w:val="auto"/>
          <w:sz w:val="32"/>
          <w:szCs w:val="32"/>
          <w:highlight w:val="none"/>
          <w:u w:val="none" w:color="auto"/>
        </w:rPr>
        <w:t>，</w:t>
      </w:r>
      <w:r>
        <w:rPr>
          <w:rFonts w:hint="default" w:ascii="Times New Roman" w:hAnsi="Times New Roman" w:eastAsia="仿宋_GB2312" w:cs="Times New Roman"/>
          <w:color w:val="auto"/>
          <w:sz w:val="32"/>
          <w:szCs w:val="32"/>
          <w:highlight w:val="none"/>
          <w:lang w:val="en-US" w:eastAsia="zh-CN"/>
        </w:rPr>
        <w:t>持续推动宜居宜业精致城市核心区建设。向东重点发展高品质住宅项目，布局休闲健身、医疗康养等高端服务业，向西重点实施老旧街区改造，提升市政基础设施水平，改善城市环境品质，向南依托高铁片区建设，加快基础设施配套，</w:t>
      </w:r>
      <w:r>
        <w:rPr>
          <w:rFonts w:hint="default" w:ascii="Times New Roman" w:hAnsi="Times New Roman" w:eastAsia="仿宋_GB2312" w:cs="Times New Roman"/>
          <w:color w:val="auto"/>
          <w:sz w:val="32"/>
          <w:szCs w:val="32"/>
          <w:highlight w:val="none"/>
          <w:u w:val="none" w:color="auto"/>
        </w:rPr>
        <w:t>提高建筑密度、人口密度、经济密度</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进一步</w:t>
      </w:r>
      <w:r>
        <w:rPr>
          <w:rFonts w:hint="default" w:ascii="Times New Roman" w:hAnsi="Times New Roman" w:eastAsia="仿宋_GB2312" w:cs="Times New Roman"/>
          <w:color w:val="auto"/>
          <w:sz w:val="32"/>
          <w:szCs w:val="32"/>
          <w:highlight w:val="none"/>
          <w:lang w:val="en-US" w:eastAsia="zh-CN"/>
        </w:rPr>
        <w:t>完善主城区商贸、金融、保险、科技、物流、电商等体系，持续提升医疗、教育、养老、娱乐、购物等服务能力，不断完善生产生活生态条件，</w:t>
      </w:r>
      <w:r>
        <w:rPr>
          <w:rFonts w:hint="default" w:ascii="Times New Roman" w:hAnsi="Times New Roman" w:eastAsia="仿宋_GB2312" w:cs="Times New Roman"/>
          <w:color w:val="auto"/>
          <w:sz w:val="32"/>
          <w:szCs w:val="32"/>
          <w:highlight w:val="none"/>
          <w:u w:val="none" w:color="auto"/>
          <w:lang w:eastAsia="zh-CN"/>
        </w:rPr>
        <w:t>打造特色</w:t>
      </w:r>
      <w:r>
        <w:rPr>
          <w:rFonts w:hint="default" w:ascii="Times New Roman" w:hAnsi="Times New Roman" w:eastAsia="仿宋_GB2312" w:cs="Times New Roman"/>
          <w:color w:val="auto"/>
          <w:sz w:val="32"/>
          <w:szCs w:val="32"/>
          <w:highlight w:val="none"/>
          <w:u w:val="none" w:color="auto"/>
          <w:lang w:val="en-US" w:eastAsia="zh-CN"/>
        </w:rPr>
        <w:t>彰显</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动能充沛</w:t>
      </w:r>
      <w:r>
        <w:rPr>
          <w:rFonts w:hint="default" w:ascii="Times New Roman" w:hAnsi="Times New Roman" w:eastAsia="仿宋_GB2312" w:cs="Times New Roman"/>
          <w:color w:val="auto"/>
          <w:sz w:val="32"/>
          <w:szCs w:val="32"/>
          <w:highlight w:val="none"/>
          <w:u w:val="none" w:color="auto"/>
          <w:lang w:eastAsia="zh-CN"/>
        </w:rPr>
        <w:t>的活力</w:t>
      </w:r>
      <w:r>
        <w:rPr>
          <w:rFonts w:hint="default" w:ascii="Times New Roman" w:hAnsi="Times New Roman" w:eastAsia="仿宋_GB2312" w:cs="Times New Roman"/>
          <w:color w:val="auto"/>
          <w:sz w:val="32"/>
          <w:szCs w:val="32"/>
          <w:highlight w:val="none"/>
          <w:u w:val="none" w:color="auto"/>
          <w:lang w:val="en-US" w:eastAsia="zh-CN"/>
        </w:rPr>
        <w:t>主</w:t>
      </w:r>
      <w:r>
        <w:rPr>
          <w:rFonts w:hint="default" w:ascii="Times New Roman" w:hAnsi="Times New Roman" w:eastAsia="仿宋_GB2312" w:cs="Times New Roman"/>
          <w:color w:val="auto"/>
          <w:sz w:val="32"/>
          <w:szCs w:val="32"/>
          <w:highlight w:val="none"/>
          <w:u w:val="none" w:color="auto"/>
          <w:lang w:eastAsia="zh-CN"/>
        </w:rPr>
        <w:t>城。</w:t>
      </w:r>
    </w:p>
    <w:p>
      <w:pPr>
        <w:pStyle w:val="27"/>
        <w:keepNext w:val="0"/>
        <w:keepLines w:val="0"/>
        <w:pageBreakBefore w:val="0"/>
        <w:widowControl w:val="0"/>
        <w:numPr>
          <w:ilvl w:val="-1"/>
          <w:numId w:val="0"/>
        </w:numPr>
        <w:kinsoku/>
        <w:wordWrap/>
        <w:overflowPunct/>
        <w:topLinePunct w:val="0"/>
        <w:autoSpaceDE/>
        <w:autoSpaceDN/>
        <w:bidi w:val="0"/>
        <w:adjustRightInd/>
        <w:snapToGrid/>
        <w:spacing w:after="0" w:afterLines="0"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strike w:val="0"/>
          <w:color w:val="auto"/>
          <w:kern w:val="2"/>
          <w:sz w:val="32"/>
          <w:szCs w:val="32"/>
          <w:highlight w:val="none"/>
          <w:lang w:val="en-US" w:eastAsia="zh-CN" w:bidi="ar"/>
        </w:rPr>
        <w:t>滨海新区</w:t>
      </w:r>
      <w:r>
        <w:rPr>
          <w:rFonts w:hint="default" w:ascii="Times New Roman" w:hAnsi="Times New Roman" w:eastAsia="仿宋_GB2312" w:cs="Times New Roman"/>
          <w:color w:val="auto"/>
          <w:sz w:val="32"/>
          <w:szCs w:val="32"/>
          <w:highlight w:val="none"/>
          <w:lang w:val="en-US" w:eastAsia="zh-CN"/>
        </w:rPr>
        <w:t>。以争创国家级旅游度假区为引领，加</w:t>
      </w:r>
      <w:r>
        <w:rPr>
          <w:rFonts w:hint="default" w:ascii="Times New Roman" w:hAnsi="Times New Roman" w:eastAsia="仿宋_GB2312" w:cs="Times New Roman"/>
          <w:color w:val="auto"/>
          <w:sz w:val="32"/>
          <w:szCs w:val="32"/>
          <w:highlight w:val="none"/>
          <w:u w:val="none" w:color="auto"/>
        </w:rPr>
        <w:t>速</w:t>
      </w:r>
      <w:r>
        <w:rPr>
          <w:rFonts w:hint="default" w:ascii="Times New Roman" w:hAnsi="Times New Roman" w:eastAsia="仿宋_GB2312" w:cs="Times New Roman"/>
          <w:color w:val="auto"/>
          <w:sz w:val="32"/>
          <w:szCs w:val="32"/>
          <w:highlight w:val="none"/>
          <w:u w:val="none" w:color="auto"/>
          <w:lang w:eastAsia="zh-CN"/>
        </w:rPr>
        <w:t>提升</w:t>
      </w:r>
      <w:r>
        <w:rPr>
          <w:rFonts w:hint="default" w:ascii="Times New Roman" w:hAnsi="Times New Roman" w:eastAsia="仿宋_GB2312" w:cs="Times New Roman"/>
          <w:color w:val="auto"/>
          <w:sz w:val="32"/>
          <w:szCs w:val="32"/>
          <w:highlight w:val="none"/>
          <w:u w:val="none" w:color="auto"/>
        </w:rPr>
        <w:t>滨海新区与主城区的融合度</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完善</w:t>
      </w:r>
      <w:r>
        <w:rPr>
          <w:rFonts w:hint="default" w:ascii="Times New Roman" w:hAnsi="Times New Roman" w:eastAsia="仿宋_GB2312" w:cs="Times New Roman"/>
          <w:color w:val="auto"/>
          <w:sz w:val="32"/>
          <w:szCs w:val="32"/>
          <w:highlight w:val="none"/>
          <w:u w:val="none" w:color="auto"/>
          <w:lang w:eastAsia="zh-CN"/>
        </w:rPr>
        <w:t>“吃住行游购娱”</w:t>
      </w:r>
      <w:r>
        <w:rPr>
          <w:rFonts w:hint="default" w:ascii="Times New Roman" w:hAnsi="Times New Roman" w:eastAsia="仿宋_GB2312" w:cs="Times New Roman"/>
          <w:color w:val="auto"/>
          <w:sz w:val="32"/>
          <w:szCs w:val="32"/>
          <w:highlight w:val="none"/>
          <w:u w:val="none" w:color="auto"/>
        </w:rPr>
        <w:t>全</w:t>
      </w:r>
      <w:r>
        <w:rPr>
          <w:rFonts w:hint="default" w:ascii="Times New Roman" w:hAnsi="Times New Roman" w:eastAsia="仿宋_GB2312" w:cs="Times New Roman"/>
          <w:color w:val="auto"/>
          <w:sz w:val="32"/>
          <w:szCs w:val="32"/>
          <w:highlight w:val="none"/>
          <w:u w:val="none" w:color="auto"/>
          <w:lang w:eastAsia="zh-CN"/>
        </w:rPr>
        <w:t>要素配套，建设</w:t>
      </w:r>
      <w:r>
        <w:rPr>
          <w:rFonts w:hint="default" w:ascii="Times New Roman" w:hAnsi="Times New Roman" w:eastAsia="仿宋_GB2312" w:cs="Times New Roman"/>
          <w:color w:val="auto"/>
          <w:sz w:val="32"/>
          <w:szCs w:val="32"/>
          <w:highlight w:val="none"/>
          <w:u w:val="none" w:color="auto"/>
        </w:rPr>
        <w:t>生态优美、宜居宜游</w:t>
      </w:r>
      <w:r>
        <w:rPr>
          <w:rFonts w:hint="default" w:ascii="Times New Roman" w:hAnsi="Times New Roman" w:eastAsia="仿宋_GB2312" w:cs="Times New Roman"/>
          <w:color w:val="auto"/>
          <w:sz w:val="32"/>
          <w:szCs w:val="32"/>
          <w:highlight w:val="none"/>
          <w:u w:val="none" w:color="auto"/>
          <w:lang w:eastAsia="zh-CN"/>
        </w:rPr>
        <w:t>的滨海新城</w:t>
      </w:r>
      <w:r>
        <w:rPr>
          <w:rFonts w:hint="default" w:ascii="Times New Roman" w:hAnsi="Times New Roman" w:eastAsia="仿宋_GB2312" w:cs="Times New Roman"/>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lang w:val="en-US" w:eastAsia="zh-CN"/>
        </w:rPr>
        <w:t>推进银滩片区基础设施综合提升，</w:t>
      </w:r>
      <w:r>
        <w:rPr>
          <w:rFonts w:hint="default" w:ascii="Times New Roman" w:hAnsi="Times New Roman" w:eastAsia="仿宋_GB2312" w:cs="Times New Roman"/>
          <w:color w:val="auto"/>
          <w:sz w:val="32"/>
          <w:szCs w:val="32"/>
          <w:highlight w:val="none"/>
          <w:u w:val="none" w:color="auto"/>
        </w:rPr>
        <w:t>以生态化、宜居化、宜业化为方向，重点抓好城市功能完善、基础设施配套</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深挖“山海文旅”资源禀赋优势，</w:t>
      </w:r>
      <w:r>
        <w:rPr>
          <w:rFonts w:hint="default" w:ascii="Times New Roman" w:hAnsi="Times New Roman" w:eastAsia="仿宋_GB2312" w:cs="Times New Roman"/>
          <w:color w:val="auto"/>
          <w:sz w:val="32"/>
          <w:szCs w:val="32"/>
          <w:highlight w:val="none"/>
          <w:u w:val="none" w:color="auto"/>
        </w:rPr>
        <w:t>完善职业教育、公共交通、商业金融、医疗卫生、餐饮设施、旅游休闲等服务设施，</w:t>
      </w:r>
      <w:r>
        <w:rPr>
          <w:rFonts w:hint="default" w:ascii="Times New Roman" w:hAnsi="Times New Roman" w:eastAsia="仿宋_GB2312" w:cs="Times New Roman"/>
          <w:color w:val="auto"/>
          <w:kern w:val="2"/>
          <w:sz w:val="32"/>
          <w:szCs w:val="32"/>
          <w:highlight w:val="none"/>
          <w:lang w:val="en-US" w:eastAsia="zh-CN"/>
        </w:rPr>
        <w:t>打造集康养旅居、休闲度假、文化体验、生态观光于一体的滨海旅游度假胜地和宜居宜业生态活力新城。</w:t>
      </w:r>
    </w:p>
    <w:p>
      <w:pPr>
        <w:keepNext w:val="0"/>
        <w:keepLines w:val="0"/>
        <w:pageBreakBefore w:val="0"/>
        <w:widowControl w:val="0"/>
        <w:suppressLineNumbers w:val="0"/>
        <w:kinsoku/>
        <w:wordWrap/>
        <w:overflowPunct/>
        <w:topLinePunct w:val="0"/>
        <w:autoSpaceDE/>
        <w:autoSpaceDN/>
        <w:bidi w:val="0"/>
        <w:adjustRightInd/>
        <w:snapToGrid/>
        <w:spacing w:line="570" w:lineRule="exact"/>
        <w:ind w:firstLine="640" w:firstLineChars="200"/>
        <w:jc w:val="left"/>
        <w:textAlignment w:val="auto"/>
        <w:rPr>
          <w:rFonts w:hint="default" w:ascii="Times New Roman" w:hAnsi="Times New Roman" w:eastAsia="楷体_GB2312" w:cs="Times New Roman"/>
          <w:b w:val="0"/>
          <w:bCs w:val="0"/>
          <w:snapToGrid w:val="0"/>
          <w:color w:val="auto"/>
          <w:kern w:val="2"/>
          <w:sz w:val="32"/>
          <w:szCs w:val="32"/>
          <w:highlight w:val="none"/>
          <w:lang w:val="en-US" w:eastAsia="zh-CN" w:bidi="ar-SA"/>
        </w:rPr>
      </w:pPr>
      <w:r>
        <w:rPr>
          <w:rFonts w:hint="default" w:ascii="Times New Roman" w:hAnsi="Times New Roman" w:eastAsia="楷体_GB2312" w:cs="Times New Roman"/>
          <w:b w:val="0"/>
          <w:bCs w:val="0"/>
          <w:strike w:val="0"/>
          <w:color w:val="auto"/>
          <w:kern w:val="2"/>
          <w:sz w:val="32"/>
          <w:szCs w:val="32"/>
          <w:highlight w:val="none"/>
          <w:lang w:val="en-US" w:eastAsia="zh-CN" w:bidi="ar"/>
        </w:rPr>
        <w:t>经济开发区。</w:t>
      </w:r>
      <w:r>
        <w:rPr>
          <w:rFonts w:hint="default" w:ascii="Times New Roman" w:hAnsi="Times New Roman" w:eastAsia="仿宋_GB2312" w:cs="Times New Roman"/>
          <w:color w:val="auto"/>
          <w:kern w:val="0"/>
          <w:sz w:val="32"/>
          <w:szCs w:val="32"/>
          <w:highlight w:val="none"/>
          <w:lang w:val="en-US" w:eastAsia="zh-CN" w:bidi="ar"/>
        </w:rPr>
        <w:t>锚定“升级、开放、创新、优服”方向，推动开发区实现从规模扩张向质量提升、从要素驱动向创新驱动、从单一生产向产城融合转变，打造现代化产业高地和开放创新示范区。提升园区承载能力，改造升级闲置资源，加快标准化厂房建设，创新空间载体供给模式，推动存量资源转化为招商优势。强化主导产业培育，聚焦新能源装备制造、海工装备制造等领域精准引进龙头企业和关键配套项目，推动产业集群发展。加快园区开放合作，主动链接全球资源，通过技术合作、品牌共建等方式融入全球产业链。强化创新赋能，支持企业研发平台建设，促进科技成果转化应用，推动资金、技术、人才等创新要素自由流动，增强产业发展核心竞争力。完善开发区功能，统筹规划建设公共服务空间与生活配套设施，打造产城融合、宜居宜业的现代化园区。深化体制机制改革，加快建立更加精简高效的管理体制、更加灵活实用的开发运营机制、更加激励竞争的干部人事管理制度、更加系统集成的政策支持体系，全面提升开发区开放发展功能。</w:t>
      </w:r>
      <w:bookmarkStart w:id="314" w:name="_Toc19840"/>
      <w:bookmarkStart w:id="315" w:name="_Toc11743"/>
    </w:p>
    <w:p>
      <w:pPr>
        <w:pStyle w:val="3"/>
        <w:keepNext w:val="0"/>
        <w:keepLines w:val="0"/>
        <w:pageBreakBefore w:val="0"/>
        <w:widowControl w:val="0"/>
        <w:kinsoku/>
        <w:wordWrap/>
        <w:overflowPunct/>
        <w:topLinePunct w:val="0"/>
        <w:autoSpaceDE/>
        <w:autoSpaceDN/>
        <w:bidi w:val="0"/>
        <w:adjustRightInd/>
        <w:snapToGrid/>
        <w:spacing w:before="50" w:beforeLines="50" w:after="50" w:afterLines="50" w:line="570" w:lineRule="exact"/>
        <w:ind w:firstLine="0" w:firstLineChars="0"/>
        <w:textAlignment w:val="auto"/>
        <w:rPr>
          <w:rFonts w:hint="default" w:ascii="Times New Roman" w:hAnsi="Times New Roman" w:eastAsia="楷体_GB2312" w:cs="Times New Roman"/>
          <w:b w:val="0"/>
          <w:bCs w:val="0"/>
          <w:snapToGrid w:val="0"/>
          <w:color w:val="auto"/>
          <w:kern w:val="2"/>
          <w:sz w:val="32"/>
          <w:szCs w:val="32"/>
          <w:highlight w:val="none"/>
          <w:lang w:val="en-US" w:eastAsia="zh-CN" w:bidi="ar-SA"/>
        </w:rPr>
      </w:pPr>
      <w:bookmarkStart w:id="316" w:name="_Toc3850"/>
    </w:p>
    <w:p>
      <w:pPr>
        <w:pStyle w:val="3"/>
        <w:keepNext w:val="0"/>
        <w:keepLines w:val="0"/>
        <w:pageBreakBefore w:val="0"/>
        <w:widowControl w:val="0"/>
        <w:kinsoku/>
        <w:wordWrap/>
        <w:overflowPunct/>
        <w:topLinePunct w:val="0"/>
        <w:autoSpaceDE/>
        <w:autoSpaceDN/>
        <w:bidi w:val="0"/>
        <w:adjustRightInd/>
        <w:snapToGrid/>
        <w:spacing w:before="50" w:beforeLines="50" w:after="50" w:afterLines="50" w:line="570" w:lineRule="exact"/>
        <w:ind w:firstLine="0" w:firstLineChars="0"/>
        <w:textAlignment w:val="auto"/>
        <w:rPr>
          <w:rFonts w:hint="default" w:ascii="Times New Roman" w:hAnsi="Times New Roman" w:eastAsia="楷体_GB2312" w:cs="Times New Roman"/>
          <w:b w:val="0"/>
          <w:bCs w:val="0"/>
          <w:snapToGrid w:val="0"/>
          <w:color w:val="auto"/>
          <w:kern w:val="2"/>
          <w:sz w:val="32"/>
          <w:szCs w:val="32"/>
          <w:highlight w:val="none"/>
          <w:lang w:val="en-US" w:eastAsia="zh-CN" w:bidi="ar-SA"/>
        </w:rPr>
      </w:pPr>
      <w:r>
        <w:rPr>
          <w:rFonts w:hint="default" w:ascii="Times New Roman" w:hAnsi="Times New Roman" w:eastAsia="楷体_GB2312" w:cs="Times New Roman"/>
          <w:b w:val="0"/>
          <w:bCs w:val="0"/>
          <w:snapToGrid w:val="0"/>
          <w:color w:val="auto"/>
          <w:kern w:val="2"/>
          <w:sz w:val="32"/>
          <w:szCs w:val="32"/>
          <w:highlight w:val="none"/>
          <w:lang w:val="en-US" w:eastAsia="zh-CN" w:bidi="ar-SA"/>
        </w:rPr>
        <w:t>第二节</w:t>
      </w:r>
      <w:r>
        <w:rPr>
          <w:rFonts w:hint="default" w:ascii="Times New Roman" w:hAnsi="Times New Roman" w:cs="Times New Roman"/>
          <w:b w:val="0"/>
          <w:bCs w:val="0"/>
          <w:snapToGrid w:val="0"/>
          <w:color w:val="auto"/>
          <w:kern w:val="2"/>
          <w:sz w:val="32"/>
          <w:szCs w:val="32"/>
          <w:highlight w:val="none"/>
          <w:lang w:val="en-US" w:eastAsia="zh-CN" w:bidi="ar-SA"/>
        </w:rPr>
        <w:t xml:space="preserve"> </w:t>
      </w:r>
      <w:r>
        <w:rPr>
          <w:rFonts w:hint="default" w:ascii="Times New Roman" w:hAnsi="Times New Roman" w:eastAsia="楷体_GB2312" w:cs="Times New Roman"/>
          <w:b w:val="0"/>
          <w:bCs w:val="0"/>
          <w:snapToGrid w:val="0"/>
          <w:color w:val="auto"/>
          <w:kern w:val="2"/>
          <w:sz w:val="32"/>
          <w:szCs w:val="32"/>
          <w:highlight w:val="none"/>
          <w:lang w:val="en-US" w:eastAsia="zh-CN" w:bidi="ar-SA"/>
        </w:rPr>
        <w:t>提高精致城市建设水平</w:t>
      </w:r>
      <w:bookmarkEnd w:id="314"/>
      <w:bookmarkEnd w:id="315"/>
      <w:bookmarkEnd w:id="316"/>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bidi="ar"/>
        </w:rPr>
        <w:t>以打造威海市次中心城市为目标，高起点规划布局，高品质开发建设，高标准完善配套，高效能服务管理，推进宜居城市、韧性城市、智慧城市建设，打造精致幸福生活空间</w:t>
      </w:r>
      <w:r>
        <w:rPr>
          <w:rFonts w:hint="default" w:ascii="Times New Roman" w:hAnsi="Times New Roman" w:cs="Times New Roman"/>
          <w:color w:val="auto"/>
          <w:kern w:val="0"/>
          <w:sz w:val="32"/>
          <w:szCs w:val="32"/>
          <w:highlight w:val="none"/>
          <w:lang w:val="en-US" w:eastAsia="zh-CN" w:bidi="ar"/>
        </w:rPr>
        <w:t>。</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楷体_GB2312" w:cs="Times New Roman"/>
          <w:b w:val="0"/>
          <w:bCs w:val="0"/>
          <w:color w:val="auto"/>
          <w:kern w:val="2"/>
          <w:sz w:val="32"/>
          <w:szCs w:val="32"/>
          <w:highlight w:val="none"/>
          <w:lang w:val="en-US" w:eastAsia="zh-CN" w:bidi="ar"/>
        </w:rPr>
      </w:pPr>
      <w:r>
        <w:rPr>
          <w:rFonts w:hint="default" w:ascii="Times New Roman" w:hAnsi="Times New Roman" w:eastAsia="楷体_GB2312" w:cs="Times New Roman"/>
          <w:b w:val="0"/>
          <w:bCs w:val="0"/>
          <w:color w:val="auto"/>
          <w:kern w:val="2"/>
          <w:sz w:val="32"/>
          <w:szCs w:val="32"/>
          <w:highlight w:val="none"/>
          <w:lang w:val="en-US" w:eastAsia="zh-CN" w:bidi="ar"/>
        </w:rPr>
        <w:t>推进居住水平有序提升。</w:t>
      </w:r>
      <w:r>
        <w:rPr>
          <w:rFonts w:hint="default" w:ascii="Times New Roman" w:hAnsi="Times New Roman" w:eastAsia="仿宋_GB2312" w:cs="Times New Roman"/>
          <w:b w:val="0"/>
          <w:bCs w:val="0"/>
          <w:color w:val="auto"/>
          <w:kern w:val="2"/>
          <w:sz w:val="32"/>
          <w:szCs w:val="32"/>
          <w:highlight w:val="none"/>
          <w:lang w:val="en-US" w:eastAsia="zh-CN" w:bidi="ar"/>
        </w:rPr>
        <w:t>推进好房子、好小区、好社区、好城区“四好”建设，加快构建房地产发展新模式，更好满足群众刚性和多样化改善性住房需求。全链条提升住房设计、建造、维护、服务水平，大力推进安全、舒适、绿色、智慧的“好房子”建设。以“完整社区”理念促进片区整体功能完善提升，推进主城区西北片区、滨海新区东部片区“连片改造”，实现“改造一个片区、提升一片区域”。支持老旧住房自主更新、原拆原建，稳步开展</w:t>
      </w:r>
      <w:r>
        <w:rPr>
          <w:rFonts w:hint="default" w:ascii="Times New Roman" w:hAnsi="Times New Roman" w:eastAsia="仿宋_GB2312" w:cs="Times New Roman"/>
          <w:b w:val="0"/>
          <w:bCs w:val="0"/>
          <w:strike w:val="0"/>
          <w:dstrike w:val="0"/>
          <w:color w:val="auto"/>
          <w:kern w:val="2"/>
          <w:sz w:val="32"/>
          <w:szCs w:val="32"/>
          <w:highlight w:val="none"/>
          <w:lang w:val="en-US" w:eastAsia="zh-CN" w:bidi="ar"/>
        </w:rPr>
        <w:t>城中村和</w:t>
      </w:r>
      <w:r>
        <w:rPr>
          <w:rFonts w:hint="default" w:ascii="Times New Roman" w:hAnsi="Times New Roman" w:eastAsia="仿宋_GB2312" w:cs="Times New Roman"/>
          <w:b w:val="0"/>
          <w:bCs w:val="0"/>
          <w:color w:val="auto"/>
          <w:kern w:val="2"/>
          <w:sz w:val="32"/>
          <w:szCs w:val="32"/>
          <w:highlight w:val="none"/>
          <w:lang w:val="en-US" w:eastAsia="zh-CN" w:bidi="ar"/>
        </w:rPr>
        <w:t>老旧小区改造，注重城市文脉保护。强化“建管养运”一体化，推进“适老化”改造，推广节能低碳设施，建设智能安防系统，健全物业服务体系，构建舒适、安全、便捷的居住空间。</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推进智慧城市建设扩面提质。</w:t>
      </w:r>
      <w:r>
        <w:rPr>
          <w:rFonts w:hint="default" w:ascii="Times New Roman" w:hAnsi="Times New Roman" w:eastAsia="仿宋_GB2312" w:cs="Times New Roman"/>
          <w:b w:val="0"/>
          <w:bCs/>
          <w:color w:val="auto"/>
          <w:sz w:val="32"/>
          <w:szCs w:val="32"/>
          <w:highlight w:val="none"/>
          <w:lang w:val="en-US" w:eastAsia="zh-CN"/>
        </w:rPr>
        <w:t>深入推进城市大脑建设，建成新一代智能交通管控平台、医养健康智慧服务平台、智慧养老数据中心，创建星级智慧住宅小区、省级智慧社区，实现中小学智慧校园全覆盖。加快城市管理智慧化升级，推进燃气供热管理、园林绿化环境卫生、垃圾收运监管、市政道路管理、建筑扬尘管理等领域信息化建设，通过“数字孪生”技术构建城市管网数字模型，提高市政管网管线智能化监测管理水平，推动城市治理科学化、精细化、智能化。</w:t>
      </w:r>
      <w:r>
        <w:rPr>
          <w:rFonts w:hint="default" w:ascii="Times New Roman" w:hAnsi="Times New Roman" w:eastAsia="仿宋_GB2312" w:cs="Times New Roman"/>
          <w:color w:val="auto"/>
          <w:sz w:val="32"/>
          <w:szCs w:val="32"/>
          <w:highlight w:val="none"/>
          <w:lang w:val="en-US" w:eastAsia="zh-CN"/>
        </w:rPr>
        <w:t>推进园区数字化改造，依托山东外事职业大学元宇宙研究院建设数字孪生园区，实现园区安防、能耗、环境等实时监测和智能调度，提升园区治理智慧化水平。</w:t>
      </w:r>
    </w:p>
    <w:p>
      <w:pPr>
        <w:keepNext w:val="0"/>
        <w:keepLines w:val="0"/>
        <w:pageBreakBefore w:val="0"/>
        <w:widowControl w:val="0"/>
        <w:kinsoku/>
        <w:wordWrap/>
        <w:overflowPunct w:val="0"/>
        <w:topLinePunct w:val="0"/>
        <w:autoSpaceDE/>
        <w:autoSpaceDN/>
        <w:bidi w:val="0"/>
        <w:adjustRightInd/>
        <w:snapToGrid/>
        <w:spacing w:line="570" w:lineRule="exact"/>
        <w:ind w:firstLine="640" w:firstLineChars="200"/>
        <w:textAlignment w:val="auto"/>
        <w:rPr>
          <w:rFonts w:hint="default" w:ascii="Times New Roman" w:hAnsi="Times New Roman" w:eastAsia="楷体_GB2312" w:cs="Times New Roman"/>
          <w:b w:val="0"/>
          <w:bCs w:val="0"/>
          <w:snapToGrid w:val="0"/>
          <w:color w:val="auto"/>
          <w:kern w:val="2"/>
          <w:sz w:val="32"/>
          <w:szCs w:val="32"/>
          <w:highlight w:val="none"/>
          <w:lang w:val="en-US" w:eastAsia="zh-CN" w:bidi="ar-SA"/>
        </w:rPr>
      </w:pPr>
      <w:r>
        <w:rPr>
          <w:rFonts w:hint="default" w:ascii="Times New Roman" w:hAnsi="Times New Roman" w:eastAsia="楷体_GB2312" w:cs="Times New Roman"/>
          <w:b w:val="0"/>
          <w:bCs w:val="0"/>
          <w:color w:val="auto"/>
          <w:sz w:val="32"/>
          <w:szCs w:val="32"/>
          <w:highlight w:val="none"/>
          <w:lang w:val="en-US" w:eastAsia="zh-CN" w:bidi="ar"/>
        </w:rPr>
        <w:t>实施城市有机更新行动</w:t>
      </w:r>
      <w:r>
        <w:rPr>
          <w:rFonts w:hint="default" w:ascii="Times New Roman" w:hAnsi="Times New Roman" w:eastAsia="楷体_GB2312" w:cs="Times New Roman"/>
          <w:b w:val="0"/>
          <w:bCs w:val="0"/>
          <w:color w:val="auto"/>
          <w:sz w:val="32"/>
          <w:szCs w:val="32"/>
          <w:highlight w:val="none"/>
          <w:lang w:bidi="ar"/>
        </w:rPr>
        <w:t>。</w:t>
      </w:r>
      <w:r>
        <w:rPr>
          <w:rFonts w:hint="default" w:ascii="Times New Roman" w:hAnsi="Times New Roman" w:eastAsia="仿宋_GB2312" w:cs="Times New Roman"/>
          <w:b w:val="0"/>
          <w:bCs/>
          <w:color w:val="auto"/>
          <w:sz w:val="32"/>
          <w:szCs w:val="32"/>
          <w:highlight w:val="none"/>
          <w:lang w:val="en-US" w:eastAsia="zh-CN"/>
        </w:rPr>
        <w:t>以人民为中心推进城市更新，</w:t>
      </w:r>
      <w:r>
        <w:rPr>
          <w:rFonts w:hint="default" w:ascii="Times New Roman" w:hAnsi="Times New Roman" w:eastAsia="仿宋_GB2312" w:cs="Times New Roman"/>
          <w:bCs/>
          <w:color w:val="auto"/>
          <w:sz w:val="32"/>
          <w:szCs w:val="32"/>
          <w:highlight w:val="none"/>
          <w:lang w:val="en-US" w:eastAsia="zh-CN"/>
        </w:rPr>
        <w:t>聚焦“宜居、韧性、智慧、绿色、人文”要素，</w:t>
      </w:r>
      <w:r>
        <w:rPr>
          <w:rFonts w:hint="default" w:ascii="Times New Roman" w:hAnsi="Times New Roman" w:eastAsia="仿宋_GB2312" w:cs="Times New Roman"/>
          <w:color w:val="auto"/>
          <w:sz w:val="32"/>
          <w:szCs w:val="32"/>
          <w:highlight w:val="none"/>
          <w:u w:val="none" w:color="auto"/>
        </w:rPr>
        <w:t>加快构建现代综合交通体系、水利网络体系、电力供应支撑体系、信息网络体系</w:t>
      </w:r>
      <w:r>
        <w:rPr>
          <w:rFonts w:hint="default" w:ascii="Times New Roman" w:hAnsi="Times New Roman" w:eastAsia="仿宋_GB2312" w:cs="Times New Roman"/>
          <w:color w:val="auto"/>
          <w:sz w:val="32"/>
          <w:szCs w:val="32"/>
          <w:highlight w:val="none"/>
          <w:u w:val="none" w:color="auto"/>
          <w:lang w:eastAsia="zh-CN"/>
        </w:rPr>
        <w:t>，以民生需求为导向，</w:t>
      </w:r>
      <w:r>
        <w:rPr>
          <w:rFonts w:hint="default" w:ascii="Times New Roman" w:hAnsi="Times New Roman" w:eastAsia="仿宋_GB2312" w:cs="Times New Roman"/>
          <w:color w:val="auto"/>
          <w:sz w:val="32"/>
          <w:szCs w:val="32"/>
          <w:highlight w:val="none"/>
          <w:u w:val="none" w:color="auto"/>
          <w:lang w:val="en-US" w:eastAsia="zh-CN"/>
        </w:rPr>
        <w:t>推进基础设施补短板工程，</w:t>
      </w:r>
      <w:r>
        <w:rPr>
          <w:rFonts w:hint="default" w:ascii="Times New Roman" w:hAnsi="Times New Roman" w:eastAsia="仿宋_GB2312" w:cs="Times New Roman"/>
          <w:color w:val="auto"/>
          <w:sz w:val="32"/>
          <w:szCs w:val="32"/>
          <w:highlight w:val="none"/>
          <w:u w:val="none" w:color="auto"/>
          <w:lang w:eastAsia="zh-CN"/>
        </w:rPr>
        <w:t>改造提升市政道路、公共停车场、</w:t>
      </w:r>
      <w:r>
        <w:rPr>
          <w:rFonts w:hint="default" w:ascii="Times New Roman" w:hAnsi="Times New Roman" w:eastAsia="仿宋_GB2312" w:cs="Times New Roman"/>
          <w:color w:val="auto"/>
          <w:sz w:val="32"/>
          <w:szCs w:val="32"/>
          <w:highlight w:val="none"/>
          <w:u w:val="none" w:color="auto"/>
          <w:lang w:val="en-US" w:eastAsia="zh-CN"/>
        </w:rPr>
        <w:t>新能源充电桩</w:t>
      </w:r>
      <w:r>
        <w:rPr>
          <w:rFonts w:hint="default" w:ascii="Times New Roman" w:hAnsi="Times New Roman" w:eastAsia="仿宋_GB2312" w:cs="Times New Roman"/>
          <w:color w:val="auto"/>
          <w:sz w:val="32"/>
          <w:szCs w:val="32"/>
          <w:highlight w:val="none"/>
          <w:u w:val="none" w:color="auto"/>
          <w:lang w:eastAsia="zh-CN"/>
        </w:rPr>
        <w:t>等基础设施，实施重大电网及老旧小区电网微改造</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u w:val="none" w:color="auto"/>
          <w:lang w:eastAsia="zh-CN"/>
        </w:rPr>
        <w:t>强化小城镇服务功能，推动“一老一小”服务设施全域覆盖，城乡社区15分钟生活圈和“一站式”服务综合体</w:t>
      </w:r>
      <w:r>
        <w:rPr>
          <w:rFonts w:hint="default" w:ascii="Times New Roman" w:hAnsi="Times New Roman" w:eastAsia="仿宋_GB2312" w:cs="Times New Roman"/>
          <w:color w:val="auto"/>
          <w:sz w:val="32"/>
          <w:szCs w:val="32"/>
          <w:highlight w:val="none"/>
          <w:u w:val="none" w:color="auto"/>
          <w:lang w:val="en-US" w:eastAsia="zh-CN"/>
        </w:rPr>
        <w:t>全市布局</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统筹</w:t>
      </w:r>
      <w:r>
        <w:rPr>
          <w:rFonts w:hint="default" w:ascii="Times New Roman" w:hAnsi="Times New Roman" w:eastAsia="仿宋_GB2312" w:cs="Times New Roman"/>
          <w:color w:val="auto"/>
          <w:sz w:val="32"/>
          <w:szCs w:val="32"/>
          <w:highlight w:val="none"/>
          <w:u w:val="none" w:color="auto"/>
          <w:lang w:eastAsia="zh-CN"/>
        </w:rPr>
        <w:t>推进基础设施智能化、生活服务社区化、生活方式市民化、</w:t>
      </w:r>
      <w:r>
        <w:rPr>
          <w:rFonts w:hint="default" w:ascii="Times New Roman" w:hAnsi="Times New Roman" w:eastAsia="仿宋_GB2312" w:cs="Times New Roman"/>
          <w:color w:val="auto"/>
          <w:sz w:val="32"/>
          <w:szCs w:val="32"/>
          <w:highlight w:val="none"/>
          <w:u w:val="none" w:color="auto"/>
          <w:lang w:val="en-US" w:eastAsia="zh-CN"/>
        </w:rPr>
        <w:t>公共服务适老化</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bCs/>
          <w:color w:val="auto"/>
          <w:sz w:val="32"/>
          <w:szCs w:val="32"/>
          <w:highlight w:val="none"/>
        </w:rPr>
        <w:t>妥善处理保护与发展的关系，</w:t>
      </w:r>
      <w:r>
        <w:rPr>
          <w:rFonts w:hint="default" w:ascii="Times New Roman" w:hAnsi="Times New Roman" w:eastAsia="仿宋_GB2312" w:cs="Times New Roman"/>
          <w:color w:val="auto"/>
          <w:sz w:val="32"/>
          <w:szCs w:val="32"/>
          <w:highlight w:val="none"/>
          <w:u w:val="none" w:color="auto"/>
        </w:rPr>
        <w:t>将绿色、低碳、安全理念贯穿城市更新全过程，促进</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零碳城市</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海绵城市</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韧性城市</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建设</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推动</w:t>
      </w:r>
      <w:r>
        <w:rPr>
          <w:rFonts w:hint="default" w:ascii="Times New Roman" w:hAnsi="Times New Roman" w:eastAsia="仿宋_GB2312" w:cs="Times New Roman"/>
          <w:color w:val="auto"/>
          <w:sz w:val="32"/>
          <w:szCs w:val="32"/>
          <w:highlight w:val="none"/>
          <w:u w:val="none" w:color="auto"/>
        </w:rPr>
        <w:t>城市功能与风貌品质双跃升，打造青烟威腹地精致城市标杆。</w:t>
      </w:r>
    </w:p>
    <w:p>
      <w:pPr>
        <w:pStyle w:val="3"/>
        <w:keepNext w:val="0"/>
        <w:keepLines w:val="0"/>
        <w:pageBreakBefore w:val="0"/>
        <w:widowControl w:val="0"/>
        <w:kinsoku/>
        <w:wordWrap/>
        <w:topLinePunct w:val="0"/>
        <w:autoSpaceDE/>
        <w:autoSpaceDN/>
        <w:bidi w:val="0"/>
        <w:adjustRightInd/>
        <w:snapToGrid/>
        <w:spacing w:before="50" w:beforeLines="50" w:after="50" w:afterLines="50" w:line="570" w:lineRule="exact"/>
        <w:ind w:firstLine="0" w:firstLineChars="0"/>
        <w:textAlignment w:val="auto"/>
        <w:rPr>
          <w:rFonts w:hint="default" w:ascii="Times New Roman" w:hAnsi="Times New Roman" w:eastAsia="楷体_GB2312" w:cs="Times New Roman"/>
          <w:b w:val="0"/>
          <w:bCs w:val="0"/>
          <w:snapToGrid w:val="0"/>
          <w:color w:val="auto"/>
          <w:kern w:val="2"/>
          <w:sz w:val="32"/>
          <w:szCs w:val="32"/>
          <w:highlight w:val="none"/>
          <w:lang w:val="en-US" w:eastAsia="zh-CN" w:bidi="ar-SA"/>
        </w:rPr>
      </w:pPr>
      <w:bookmarkStart w:id="317" w:name="_Toc19739"/>
      <w:bookmarkStart w:id="318" w:name="_Toc24443"/>
      <w:bookmarkStart w:id="319" w:name="_Toc12472"/>
      <w:r>
        <w:rPr>
          <w:rFonts w:hint="default" w:ascii="Times New Roman" w:hAnsi="Times New Roman" w:eastAsia="楷体_GB2312" w:cs="Times New Roman"/>
          <w:b w:val="0"/>
          <w:bCs w:val="0"/>
          <w:snapToGrid w:val="0"/>
          <w:color w:val="auto"/>
          <w:kern w:val="2"/>
          <w:sz w:val="32"/>
          <w:szCs w:val="32"/>
          <w:highlight w:val="none"/>
          <w:lang w:val="en-US" w:eastAsia="zh-CN" w:bidi="ar-SA"/>
        </w:rPr>
        <w:t>第三节</w:t>
      </w:r>
      <w:r>
        <w:rPr>
          <w:rFonts w:hint="default" w:ascii="Times New Roman" w:hAnsi="Times New Roman" w:cs="Times New Roman"/>
          <w:b w:val="0"/>
          <w:bCs w:val="0"/>
          <w:snapToGrid w:val="0"/>
          <w:color w:val="auto"/>
          <w:kern w:val="2"/>
          <w:sz w:val="32"/>
          <w:szCs w:val="32"/>
          <w:highlight w:val="none"/>
          <w:lang w:val="en-US" w:eastAsia="zh-CN" w:bidi="ar-SA"/>
        </w:rPr>
        <w:t xml:space="preserve"> </w:t>
      </w:r>
      <w:r>
        <w:rPr>
          <w:rFonts w:hint="default" w:ascii="Times New Roman" w:hAnsi="Times New Roman" w:eastAsia="楷体_GB2312" w:cs="Times New Roman"/>
          <w:b w:val="0"/>
          <w:bCs w:val="0"/>
          <w:snapToGrid w:val="0"/>
          <w:color w:val="auto"/>
          <w:kern w:val="2"/>
          <w:sz w:val="32"/>
          <w:szCs w:val="32"/>
          <w:highlight w:val="none"/>
          <w:lang w:val="en-US" w:eastAsia="zh-CN" w:bidi="ar-SA"/>
        </w:rPr>
        <w:t>推</w:t>
      </w:r>
      <w:r>
        <w:rPr>
          <w:rFonts w:hint="default" w:ascii="Times New Roman" w:hAnsi="Times New Roman" w:cs="Times New Roman"/>
          <w:b w:val="0"/>
          <w:bCs w:val="0"/>
          <w:snapToGrid w:val="0"/>
          <w:color w:val="auto"/>
          <w:kern w:val="2"/>
          <w:sz w:val="32"/>
          <w:szCs w:val="32"/>
          <w:highlight w:val="none"/>
          <w:lang w:val="en-US" w:eastAsia="zh-CN" w:bidi="ar-SA"/>
        </w:rPr>
        <w:t>进特色小城镇建设</w:t>
      </w:r>
      <w:bookmarkEnd w:id="317"/>
      <w:bookmarkEnd w:id="318"/>
      <w:bookmarkEnd w:id="319"/>
    </w:p>
    <w:p>
      <w:pPr>
        <w:keepNext w:val="0"/>
        <w:keepLines w:val="0"/>
        <w:pageBreakBefore w:val="0"/>
        <w:widowControl w:val="0"/>
        <w:kinsoku/>
        <w:wordWrap/>
        <w:topLinePunct w:val="0"/>
        <w:autoSpaceDE/>
        <w:autoSpaceDN/>
        <w:bidi w:val="0"/>
        <w:adjustRightInd/>
        <w:snapToGrid/>
        <w:spacing w:afterLines="0" w:line="57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snapToGrid w:val="0"/>
          <w:color w:val="auto"/>
          <w:kern w:val="0"/>
          <w:sz w:val="32"/>
          <w:szCs w:val="32"/>
          <w:highlight w:val="none"/>
          <w:lang w:val="en-US" w:eastAsia="zh-CN"/>
        </w:rPr>
        <w:t>深化以县城为重要载体的城镇化省级试点建设，因地制宜引导小城镇突出特色、差异发展，“一镇一策”推动镇域高质量发展，形成综合型城镇、工业型城镇、旅游型城镇、农贸型城镇</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优势互补、均衡协调、特色彰显</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的</w:t>
      </w:r>
      <w:r>
        <w:rPr>
          <w:rFonts w:hint="default" w:ascii="Times New Roman" w:hAnsi="Times New Roman" w:eastAsia="仿宋_GB2312" w:cs="Times New Roman"/>
          <w:color w:val="auto"/>
          <w:sz w:val="32"/>
          <w:szCs w:val="32"/>
          <w:highlight w:val="none"/>
          <w:u w:val="none" w:color="auto"/>
          <w:lang w:val="en-US" w:eastAsia="zh-CN"/>
        </w:rPr>
        <w:t>发展</w:t>
      </w:r>
      <w:r>
        <w:rPr>
          <w:rFonts w:hint="default" w:ascii="Times New Roman" w:hAnsi="Times New Roman" w:eastAsia="仿宋_GB2312" w:cs="Times New Roman"/>
          <w:color w:val="auto"/>
          <w:sz w:val="32"/>
          <w:szCs w:val="32"/>
          <w:highlight w:val="none"/>
          <w:u w:val="none" w:color="auto"/>
        </w:rPr>
        <w:t>新格局。</w:t>
      </w:r>
    </w:p>
    <w:p>
      <w:pPr>
        <w:keepNext w:val="0"/>
        <w:keepLines w:val="0"/>
        <w:pageBreakBefore w:val="0"/>
        <w:widowControl w:val="0"/>
        <w:kinsoku/>
        <w:wordWrap/>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val="en-US" w:eastAsia="zh-CN"/>
        </w:rPr>
        <w:t>综合型城镇。</w:t>
      </w:r>
      <w:r>
        <w:rPr>
          <w:rFonts w:hint="default" w:ascii="Times New Roman" w:hAnsi="Times New Roman" w:eastAsia="仿宋_GB2312" w:cs="Times New Roman"/>
          <w:color w:val="auto"/>
          <w:sz w:val="32"/>
          <w:szCs w:val="32"/>
          <w:highlight w:val="none"/>
          <w:u w:val="none" w:color="auto"/>
          <w:lang w:val="en-US" w:eastAsia="zh-CN"/>
        </w:rPr>
        <w:t>以城区街道为核心，紧扣“精致城市”建设主线，聚焦经济发展提质、乡村振兴提效、基层治理提能三大领域精准发力，更好发挥新型城镇化建设主阵地作用。城区街道</w:t>
      </w:r>
      <w:r>
        <w:rPr>
          <w:rFonts w:hint="default" w:ascii="Times New Roman" w:hAnsi="Times New Roman" w:eastAsia="仿宋_GB2312" w:cs="Times New Roman"/>
          <w:color w:val="auto"/>
          <w:sz w:val="32"/>
          <w:szCs w:val="32"/>
          <w:highlight w:val="none"/>
          <w:lang w:val="en-US" w:eastAsia="zh-CN"/>
        </w:rPr>
        <w:t>发挥中心城区作用，打造</w:t>
      </w:r>
      <w:r>
        <w:rPr>
          <w:rFonts w:hint="default" w:ascii="Times New Roman" w:hAnsi="Times New Roman" w:eastAsia="仿宋_GB2312" w:cs="Times New Roman"/>
          <w:color w:val="auto"/>
          <w:sz w:val="32"/>
          <w:szCs w:val="32"/>
          <w:highlight w:val="none"/>
          <w:lang w:eastAsia="zh-CN"/>
        </w:rPr>
        <w:t>以</w:t>
      </w:r>
      <w:r>
        <w:rPr>
          <w:rFonts w:hint="default" w:ascii="Times New Roman" w:hAnsi="Times New Roman" w:eastAsia="仿宋_GB2312" w:cs="Times New Roman"/>
          <w:color w:val="auto"/>
          <w:sz w:val="32"/>
          <w:szCs w:val="32"/>
          <w:highlight w:val="none"/>
          <w:lang w:val="en-US" w:eastAsia="zh-CN"/>
        </w:rPr>
        <w:t>文体、教育、商贸等生活性服务业</w:t>
      </w:r>
      <w:r>
        <w:rPr>
          <w:rFonts w:hint="default" w:ascii="Times New Roman" w:hAnsi="Times New Roman" w:eastAsia="仿宋_GB2312" w:cs="Times New Roman"/>
          <w:color w:val="auto"/>
          <w:sz w:val="32"/>
          <w:szCs w:val="32"/>
          <w:highlight w:val="none"/>
          <w:lang w:eastAsia="zh-CN"/>
        </w:rPr>
        <w:t>为主导的</w:t>
      </w:r>
      <w:r>
        <w:rPr>
          <w:rFonts w:hint="default" w:ascii="Times New Roman" w:hAnsi="Times New Roman" w:eastAsia="仿宋_GB2312" w:cs="Times New Roman"/>
          <w:color w:val="auto"/>
          <w:sz w:val="32"/>
          <w:szCs w:val="32"/>
          <w:highlight w:val="none"/>
          <w:lang w:val="en-US" w:eastAsia="zh-CN"/>
        </w:rPr>
        <w:t>现代化城镇，推进老旧小区改造，打造“古韵·食光里”等古村落与特色餐饮融为一体的特色街区，创新“多元共治”社会治理模式，构建都市休闲农业</w:t>
      </w:r>
      <w:r>
        <w:rPr>
          <w:rFonts w:hint="default" w:ascii="Times New Roman" w:hAnsi="Times New Roman" w:eastAsia="仿宋_GB2312" w:cs="Times New Roman"/>
          <w:color w:val="auto"/>
          <w:sz w:val="32"/>
          <w:szCs w:val="32"/>
          <w:highlight w:val="none"/>
          <w:lang w:eastAsia="zh-CN"/>
        </w:rPr>
        <w:t>与城乡融合发展示范区。</w:t>
      </w:r>
      <w:r>
        <w:rPr>
          <w:rFonts w:hint="default" w:ascii="Times New Roman" w:hAnsi="Times New Roman" w:eastAsia="仿宋_GB2312" w:cs="Times New Roman"/>
          <w:color w:val="auto"/>
          <w:sz w:val="32"/>
          <w:szCs w:val="32"/>
          <w:highlight w:val="none"/>
          <w:lang w:val="en-US" w:eastAsia="zh-CN"/>
        </w:rPr>
        <w:t>徐家镇立足山海资源禀赋，系统盘活沿海社区存量空间，发展滨海旅居康养，整合20个村庄优势资源，差异化打造和美宜居乡村，依托乳山市黄垒河现代种业样板片区，推动食品精深加工与育苗育种全链条协同，系统构建宜居、宜产、宜业的综合型城镇。</w:t>
      </w:r>
      <w:r>
        <w:rPr>
          <w:rFonts w:hint="default" w:ascii="Times New Roman" w:hAnsi="Times New Roman" w:eastAsia="仿宋_GB2312" w:cs="Times New Roman"/>
          <w:color w:val="auto"/>
          <w:sz w:val="32"/>
          <w:szCs w:val="32"/>
          <w:highlight w:val="none"/>
          <w:u w:val="none" w:color="auto"/>
          <w:lang w:val="en-US" w:eastAsia="zh-CN"/>
        </w:rPr>
        <w:t>崖子镇持续推动大樱桃、苹果等传统果品规模化发展，结合陆上集中式光伏、风电等新能源开发，串联胶东育儿所、清官廉吏馆等红色文旅资源，打造一二三产融合发展的综合型城镇。</w:t>
      </w:r>
    </w:p>
    <w:p>
      <w:pPr>
        <w:pStyle w:val="27"/>
        <w:keepNext w:val="0"/>
        <w:keepLines w:val="0"/>
        <w:pageBreakBefore w:val="0"/>
        <w:widowControl w:val="0"/>
        <w:numPr>
          <w:ilvl w:val="-1"/>
          <w:numId w:val="0"/>
        </w:numPr>
        <w:kinsoku/>
        <w:wordWrap/>
        <w:overflowPunct/>
        <w:topLinePunct w:val="0"/>
        <w:autoSpaceDE/>
        <w:autoSpaceDN/>
        <w:bidi w:val="0"/>
        <w:adjustRightInd/>
        <w:snapToGrid/>
        <w:spacing w:after="0" w:afterLines="0" w:line="570" w:lineRule="exact"/>
        <w:ind w:firstLine="640" w:firstLineChars="200"/>
        <w:textAlignment w:val="auto"/>
        <w:rPr>
          <w:rFonts w:hint="default" w:ascii="Times New Roman" w:hAnsi="Times New Roman" w:eastAsia="仿宋_GB2312" w:cs="Times New Roman"/>
          <w:color w:val="auto"/>
          <w:sz w:val="32"/>
          <w:szCs w:val="32"/>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val="en-US" w:eastAsia="zh-CN"/>
        </w:rPr>
        <w:t>工业型城镇。</w:t>
      </w:r>
      <w:r>
        <w:rPr>
          <w:rFonts w:hint="default" w:ascii="Times New Roman" w:hAnsi="Times New Roman" w:eastAsia="仿宋_GB2312" w:cs="Times New Roman"/>
          <w:color w:val="auto"/>
          <w:sz w:val="32"/>
          <w:szCs w:val="32"/>
          <w:highlight w:val="none"/>
          <w:u w:val="none" w:color="auto"/>
          <w:lang w:val="en-US" w:eastAsia="zh-CN"/>
        </w:rPr>
        <w:t>乳山口镇依托乳山口港与莱荣高铁，形成城镇综合服务片区、临港产业片区、高端装备制造片区、高铁发展片区，重点发展新能源装备制造、海工装备制造、临港物流等新兴产业及生产性服务业，建设成为全市发展增长极，港产城铁融合发展示范镇。下初镇聚焦金属冶炼、新材料主导产业转型升级，大力推动金属冶炼、石膏产品生产等现有产业向高端化、智能化、绿色化方向发展，擦亮“北部工业第一强镇”名片。诸往镇聚焦“传统产业升级”与“特色产业培育”双引擎，依托高端铸造、矿石开发等优势，继续做大做强短流程铸造，加快推进抽水蓄能、陆上风电等新能源产业发展，积极探索“艺术交流+红色研学+生态康养”融合发展新模式，推动镇域经济绿色低碳转型。</w:t>
      </w:r>
    </w:p>
    <w:p>
      <w:pPr>
        <w:pStyle w:val="27"/>
        <w:keepNext w:val="0"/>
        <w:keepLines w:val="0"/>
        <w:pageBreakBefore w:val="0"/>
        <w:widowControl w:val="0"/>
        <w:numPr>
          <w:ilvl w:val="-1"/>
          <w:numId w:val="0"/>
        </w:numPr>
        <w:kinsoku/>
        <w:wordWrap/>
        <w:overflowPunct/>
        <w:topLinePunct w:val="0"/>
        <w:autoSpaceDE/>
        <w:autoSpaceDN/>
        <w:bidi w:val="0"/>
        <w:adjustRightInd/>
        <w:snapToGrid/>
        <w:spacing w:after="0" w:afterLines="0" w:line="570" w:lineRule="exact"/>
        <w:ind w:firstLine="640" w:firstLineChars="200"/>
        <w:textAlignment w:val="auto"/>
        <w:rPr>
          <w:rFonts w:hint="default" w:ascii="Times New Roman" w:hAnsi="Times New Roman" w:eastAsia="仿宋_GB2312" w:cs="Times New Roman"/>
          <w:color w:val="auto"/>
          <w:sz w:val="32"/>
          <w:szCs w:val="32"/>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val="en-US" w:eastAsia="zh-CN"/>
        </w:rPr>
        <w:t>旅游型城镇。</w:t>
      </w:r>
      <w:r>
        <w:rPr>
          <w:rFonts w:hint="default" w:ascii="Times New Roman" w:hAnsi="Times New Roman" w:eastAsia="仿宋_GB2312" w:cs="Times New Roman"/>
          <w:color w:val="auto"/>
          <w:sz w:val="32"/>
          <w:szCs w:val="32"/>
          <w:highlight w:val="none"/>
          <w:u w:val="none" w:color="auto"/>
          <w:lang w:val="en-US" w:eastAsia="zh-CN"/>
        </w:rPr>
        <w:t>白沙滩镇锚定“山东省精品文旅名镇”发展定位，擦亮潮汐湖观光、胶东公学历史陈列馆、国家传统村落焉家村等多元文旅名片，深挖乡村旅游、特色农产品等发展潜力，完善“吃住行游购娱”全要素供给，聚力打造特色滨海旅游度假目的地，擘画全域文旅融合发展新图景。乳山寨镇重点发展岠嵎山生态旅游、都市农业、文化休闲为主的文化旅游，打造乳山市旅游体系重要的节点城镇。</w:t>
      </w:r>
    </w:p>
    <w:p>
      <w:pPr>
        <w:pStyle w:val="27"/>
        <w:keepNext w:val="0"/>
        <w:keepLines w:val="0"/>
        <w:pageBreakBefore w:val="0"/>
        <w:widowControl w:val="0"/>
        <w:numPr>
          <w:ilvl w:val="-1"/>
          <w:numId w:val="0"/>
        </w:numPr>
        <w:kinsoku/>
        <w:wordWrap/>
        <w:overflowPunct/>
        <w:topLinePunct w:val="0"/>
        <w:autoSpaceDE/>
        <w:autoSpaceDN/>
        <w:bidi w:val="0"/>
        <w:adjustRightInd/>
        <w:snapToGrid/>
        <w:spacing w:after="157" w:afterLines="50" w:line="570" w:lineRule="exact"/>
        <w:ind w:firstLine="640" w:firstLineChars="200"/>
        <w:textAlignment w:val="auto"/>
        <w:rPr>
          <w:rFonts w:hint="default" w:ascii="Times New Roman" w:hAnsi="Times New Roman" w:eastAsia="仿宋_GB2312" w:cs="Times New Roman"/>
          <w:color w:val="auto"/>
          <w:sz w:val="32"/>
          <w:szCs w:val="32"/>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val="en-US" w:eastAsia="zh-CN"/>
        </w:rPr>
        <w:t>农贸型城镇。</w:t>
      </w:r>
      <w:r>
        <w:rPr>
          <w:rFonts w:hint="default" w:ascii="Times New Roman" w:hAnsi="Times New Roman" w:eastAsia="仿宋_GB2312" w:cs="Times New Roman"/>
          <w:color w:val="auto"/>
          <w:sz w:val="32"/>
          <w:szCs w:val="32"/>
          <w:highlight w:val="none"/>
          <w:u w:val="none" w:color="auto"/>
          <w:lang w:val="en-US" w:eastAsia="zh-CN"/>
        </w:rPr>
        <w:t>以“一镇一特色”为目标，培育苹果、花生、蓝莓等农产品加工基地，联动发展乡村旅游，形成特色小镇集群。夏村镇做强葡萄酒产业，强化“葡萄酒+”产业发展工贸带动型、资源生态型产业引领的精致高效城镇。海阳所镇</w:t>
      </w:r>
      <w:r>
        <w:rPr>
          <w:rFonts w:hint="default" w:ascii="Times New Roman" w:hAnsi="Times New Roman" w:eastAsia="仿宋_GB2312" w:cs="Times New Roman"/>
          <w:color w:val="auto"/>
          <w:sz w:val="32"/>
          <w:szCs w:val="32"/>
          <w:highlight w:val="none"/>
        </w:rPr>
        <w:t>以牡蛎产业为主导产业，</w:t>
      </w:r>
      <w:r>
        <w:rPr>
          <w:rFonts w:hint="default" w:ascii="Times New Roman" w:hAnsi="Times New Roman" w:eastAsia="仿宋_GB2312" w:cs="Times New Roman"/>
          <w:color w:val="auto"/>
          <w:sz w:val="32"/>
          <w:szCs w:val="32"/>
          <w:highlight w:val="none"/>
          <w:lang w:val="en-US" w:eastAsia="zh-CN"/>
        </w:rPr>
        <w:t>加快形成集“养殖－加工－营销”为一体的发展模式，全力做大产业规模、延伸产业链条、提升品牌影响。</w:t>
      </w:r>
      <w:r>
        <w:rPr>
          <w:rFonts w:hint="default" w:ascii="Times New Roman" w:hAnsi="Times New Roman" w:eastAsia="仿宋_GB2312" w:cs="Times New Roman"/>
          <w:color w:val="auto"/>
          <w:sz w:val="32"/>
          <w:szCs w:val="32"/>
          <w:highlight w:val="none"/>
          <w:u w:val="none" w:color="auto"/>
          <w:lang w:val="en-US" w:eastAsia="zh-CN"/>
        </w:rPr>
        <w:t>大孤山镇积极发展大姜、草莓、茶叶等特色农业，做大做强“茶养生”“姜文化”特色品牌。南黄镇重点做强无花果、茶叶全产业链，以适度规模化为基础，大力发展</w:t>
      </w:r>
      <w:r>
        <w:rPr>
          <w:rFonts w:hint="default" w:ascii="Times New Roman" w:hAnsi="Times New Roman" w:eastAsia="仿宋_GB2312" w:cs="Times New Roman"/>
          <w:color w:val="auto"/>
          <w:kern w:val="0"/>
          <w:sz w:val="32"/>
          <w:szCs w:val="32"/>
          <w:highlight w:val="none"/>
          <w:u w:val="none" w:color="auto"/>
          <w:lang w:val="en-US" w:eastAsia="zh-CN" w:bidi="ar-SA"/>
        </w:rPr>
        <w:t>循环农业、智慧农业，</w:t>
      </w:r>
      <w:r>
        <w:rPr>
          <w:rFonts w:hint="default" w:ascii="Times New Roman" w:hAnsi="Times New Roman" w:eastAsia="仿宋_GB2312" w:cs="Times New Roman"/>
          <w:color w:val="auto"/>
          <w:sz w:val="32"/>
          <w:szCs w:val="32"/>
          <w:highlight w:val="none"/>
          <w:u w:val="none" w:color="auto"/>
          <w:lang w:val="en-US" w:eastAsia="zh-CN"/>
        </w:rPr>
        <w:t>全力打造</w:t>
      </w:r>
      <w:r>
        <w:rPr>
          <w:rFonts w:hint="default" w:ascii="Times New Roman" w:hAnsi="Times New Roman" w:eastAsia="仿宋_GB2312" w:cs="Times New Roman"/>
          <w:color w:val="auto"/>
          <w:kern w:val="0"/>
          <w:sz w:val="32"/>
          <w:szCs w:val="32"/>
          <w:highlight w:val="none"/>
          <w:u w:val="none" w:color="auto"/>
          <w:lang w:val="en-US" w:eastAsia="zh-CN" w:bidi="ar-SA"/>
        </w:rPr>
        <w:t>“农业产业特色强镇”。</w:t>
      </w:r>
      <w:r>
        <w:rPr>
          <w:rFonts w:hint="default" w:ascii="Times New Roman" w:hAnsi="Times New Roman" w:eastAsia="仿宋_GB2312" w:cs="Times New Roman"/>
          <w:color w:val="auto"/>
          <w:sz w:val="32"/>
          <w:szCs w:val="32"/>
          <w:highlight w:val="none"/>
          <w:u w:val="none" w:color="auto"/>
          <w:lang w:val="en-US" w:eastAsia="zh-CN"/>
        </w:rPr>
        <w:t>冯家镇做大做强“黄垒河种业种植培育带”“温泉养生休闲度假”等特色品牌。午极镇着力打造以蓝莓等林果种植和农产品加工为基础，以田园综合体为特色的现代农业镇。育黎镇重点发展草莓、苹果、葡萄等特色农业，打造以高效农业、农副产品精深加工为主的农贸型小城镇。</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964"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cs="Times New Roman" w:eastAsiaTheme="minorEastAsia"/>
                <w:color w:val="auto"/>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专栏14：精致城市建设重点项目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1" w:hRule="atLeast"/>
        </w:trPr>
        <w:tc>
          <w:tcPr>
            <w:tcW w:w="8964" w:type="dxa"/>
            <w:vAlign w:val="center"/>
          </w:tcPr>
          <w:p>
            <w:pPr>
              <w:keepNext w:val="0"/>
              <w:keepLines w:val="0"/>
              <w:pageBreakBefore w:val="0"/>
              <w:widowControl/>
              <w:suppressLineNumbers w:val="0"/>
              <w:kinsoku/>
              <w:wordWrap/>
              <w:overflowPunct/>
              <w:topLinePunct w:val="0"/>
              <w:autoSpaceDE/>
              <w:autoSpaceDN/>
              <w:bidi w:val="0"/>
              <w:adjustRightInd w:val="0"/>
              <w:snapToGrid w:val="0"/>
              <w:spacing w:before="157" w:beforeLines="50" w:after="0" w:afterLines="0" w:line="480" w:lineRule="exact"/>
              <w:ind w:firstLine="560" w:firstLineChars="200"/>
              <w:jc w:val="both"/>
              <w:textAlignment w:val="center"/>
              <w:rPr>
                <w:rFonts w:hint="default" w:ascii="Times New Roman" w:hAnsi="Times New Roman" w:eastAsia="仿宋_GB2312" w:cs="Times New Roman"/>
                <w:b w:val="0"/>
                <w:bCs w:val="0"/>
                <w:color w:val="auto"/>
                <w:kern w:val="44"/>
                <w:sz w:val="28"/>
                <w:szCs w:val="28"/>
                <w:highlight w:val="none"/>
                <w:lang w:val="en-US" w:eastAsia="zh-CN" w:bidi="ar-SA"/>
              </w:rPr>
            </w:pPr>
            <w:r>
              <w:rPr>
                <w:rFonts w:hint="default" w:ascii="Times New Roman" w:hAnsi="Times New Roman" w:eastAsia="黑体" w:cs="Times New Roman"/>
                <w:b w:val="0"/>
                <w:bCs w:val="0"/>
                <w:i w:val="0"/>
                <w:iCs w:val="0"/>
                <w:color w:val="auto"/>
                <w:kern w:val="0"/>
                <w:sz w:val="28"/>
                <w:szCs w:val="28"/>
                <w:highlight w:val="none"/>
                <w:u w:val="none"/>
                <w:lang w:val="en-US" w:eastAsia="zh-CN" w:bidi="ar"/>
              </w:rPr>
              <w:t>1.智慧城市</w:t>
            </w:r>
            <w:r>
              <w:rPr>
                <w:rFonts w:hint="default" w:ascii="Times New Roman" w:hAnsi="Times New Roman" w:eastAsia="黑体" w:cs="Times New Roman"/>
                <w:b/>
                <w:bCs/>
                <w:i w:val="0"/>
                <w:iCs w:val="0"/>
                <w:color w:val="auto"/>
                <w:kern w:val="0"/>
                <w:sz w:val="28"/>
                <w:szCs w:val="28"/>
                <w:highlight w:val="none"/>
                <w:u w:val="none"/>
                <w:lang w:val="en-US" w:eastAsia="zh-CN" w:bidi="ar"/>
              </w:rPr>
              <w:t>：</w:t>
            </w:r>
            <w:r>
              <w:rPr>
                <w:rFonts w:hint="default" w:ascii="Times New Roman" w:hAnsi="Times New Roman" w:eastAsia="仿宋_GB2312" w:cs="Times New Roman"/>
                <w:b w:val="0"/>
                <w:bCs w:val="0"/>
                <w:color w:val="auto"/>
                <w:kern w:val="44"/>
                <w:sz w:val="28"/>
                <w:szCs w:val="28"/>
                <w:highlight w:val="none"/>
                <w:lang w:val="en-US" w:eastAsia="zh-CN" w:bidi="ar-SA"/>
              </w:rPr>
              <w:t>乳山市新型智慧城市建设项目，乳山市数字孪生工程等。</w:t>
            </w:r>
          </w:p>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黑体" w:cs="Times New Roman"/>
                <w:b w:val="0"/>
                <w:bCs w:val="0"/>
                <w:i w:val="0"/>
                <w:iCs w:val="0"/>
                <w:color w:val="auto"/>
                <w:kern w:val="0"/>
                <w:sz w:val="28"/>
                <w:szCs w:val="28"/>
                <w:highlight w:val="none"/>
                <w:u w:val="none"/>
                <w:lang w:val="en-US" w:eastAsia="zh-CN" w:bidi="ar"/>
              </w:rPr>
              <w:t>2.城市更新：</w:t>
            </w:r>
            <w:r>
              <w:rPr>
                <w:rFonts w:hint="default" w:ascii="Times New Roman" w:hAnsi="Times New Roman" w:eastAsia="仿宋_GB2312" w:cs="Times New Roman"/>
                <w:b w:val="0"/>
                <w:bCs w:val="0"/>
                <w:color w:val="auto"/>
                <w:kern w:val="44"/>
                <w:sz w:val="28"/>
                <w:szCs w:val="28"/>
                <w:highlight w:val="none"/>
                <w:lang w:val="en-US" w:eastAsia="zh-CN" w:bidi="ar-SA"/>
              </w:rPr>
              <w:t>非直供电小区改造项目，乳山城区核能供暖智能化提升项目，城区污水处理设施升级改造项目，银滩一污升级改造项目，城区道路照明设施节能改造项目，城乡充电桩及充电站建设项目，滨海新区道路及绿化提升改造工程，城区市政道路改造工程，滨海新区道路改造工程，经济开发区道路改造工程等。</w:t>
            </w:r>
          </w:p>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cs="Times New Roman"/>
                <w:color w:val="auto"/>
                <w:highlight w:val="none"/>
                <w:vertAlign w:val="baseline"/>
              </w:rPr>
            </w:pPr>
            <w:r>
              <w:rPr>
                <w:rFonts w:hint="default" w:ascii="Times New Roman" w:hAnsi="Times New Roman" w:eastAsia="黑体" w:cs="Times New Roman"/>
                <w:b w:val="0"/>
                <w:bCs w:val="0"/>
                <w:i w:val="0"/>
                <w:iCs w:val="0"/>
                <w:color w:val="auto"/>
                <w:kern w:val="0"/>
                <w:sz w:val="28"/>
                <w:szCs w:val="28"/>
                <w:highlight w:val="none"/>
                <w:u w:val="none"/>
                <w:lang w:val="en-US" w:eastAsia="zh-CN" w:bidi="ar"/>
              </w:rPr>
              <w:t>3.管网改造：</w:t>
            </w:r>
            <w:r>
              <w:rPr>
                <w:rFonts w:hint="default" w:ascii="Times New Roman" w:hAnsi="Times New Roman" w:eastAsia="仿宋_GB2312" w:cs="Times New Roman"/>
                <w:b w:val="0"/>
                <w:bCs w:val="0"/>
                <w:color w:val="auto"/>
                <w:kern w:val="44"/>
                <w:sz w:val="28"/>
                <w:szCs w:val="28"/>
                <w:highlight w:val="none"/>
                <w:lang w:val="en-US" w:eastAsia="zh-CN" w:bidi="ar-SA"/>
              </w:rPr>
              <w:t>城市管网设施改造提升项目，市政供排水设施建设工程，滨海新区小区内部供热管网改造提升项目，城区污水管网及暗渠更新改造工程，乳山市城区道路排水管网建设工程，滨海新区老旧燃气管网及设施改造升级项目等。</w:t>
            </w:r>
          </w:p>
        </w:tc>
      </w:tr>
    </w:tbl>
    <w:p>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outlineLvl w:val="9"/>
        <w:rPr>
          <w:rFonts w:hint="default" w:ascii="Times New Roman" w:hAnsi="Times New Roman" w:eastAsia="黑体" w:cs="Times New Roman"/>
          <w:color w:val="auto"/>
          <w:sz w:val="32"/>
          <w:szCs w:val="32"/>
          <w:highlight w:val="none"/>
          <w:lang w:val="en-US" w:eastAsia="zh-CN"/>
        </w:rPr>
      </w:pPr>
    </w:p>
    <w:p>
      <w:pPr>
        <w:pStyle w:val="2"/>
        <w:pageBreakBefore w:val="0"/>
        <w:kinsoku/>
        <w:wordWrap/>
        <w:overflowPunct/>
        <w:topLinePunct w:val="0"/>
        <w:autoSpaceDE/>
        <w:autoSpaceDN/>
        <w:bidi w:val="0"/>
        <w:adjustRightInd/>
        <w:snapToGrid/>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320" w:name="_Toc24219"/>
      <w:bookmarkStart w:id="321" w:name="_Toc350"/>
      <w:bookmarkStart w:id="322" w:name="_Toc22856"/>
      <w:bookmarkStart w:id="323" w:name="_Toc20368"/>
      <w:bookmarkStart w:id="324" w:name="_Toc28053"/>
      <w:bookmarkStart w:id="325" w:name="_Toc1765"/>
      <w:r>
        <w:rPr>
          <w:rFonts w:hint="default" w:ascii="Times New Roman" w:hAnsi="Times New Roman" w:eastAsia="黑体" w:cs="Times New Roman"/>
          <w:b w:val="0"/>
          <w:bCs w:val="0"/>
          <w:color w:val="auto"/>
          <w:sz w:val="32"/>
          <w:szCs w:val="32"/>
          <w:highlight w:val="none"/>
          <w:lang w:val="en-US" w:eastAsia="zh-CN"/>
        </w:rPr>
        <w:t>第九章 开拓向海发展格局，建设现代化海洋强市</w:t>
      </w:r>
      <w:bookmarkEnd w:id="320"/>
      <w:bookmarkEnd w:id="321"/>
      <w:bookmarkEnd w:id="322"/>
      <w:bookmarkEnd w:id="323"/>
      <w:bookmarkEnd w:id="324"/>
      <w:bookmarkEnd w:id="325"/>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rPr>
      </w:pPr>
      <w:bookmarkStart w:id="326" w:name="_Toc13896"/>
      <w:r>
        <w:rPr>
          <w:rFonts w:hint="default" w:ascii="Times New Roman" w:hAnsi="Times New Roman" w:eastAsia="仿宋_GB2312" w:cs="Times New Roman"/>
          <w:i w:val="0"/>
          <w:iCs w:val="0"/>
          <w:caps w:val="0"/>
          <w:color w:val="auto"/>
          <w:spacing w:val="0"/>
          <w:sz w:val="32"/>
          <w:szCs w:val="32"/>
          <w:highlight w:val="none"/>
          <w:shd w:val="clear"/>
          <w:lang w:val="en-US" w:eastAsia="zh-CN"/>
        </w:rPr>
        <w:t>突出“以港兴产、向海图强”，坚持</w:t>
      </w:r>
      <w:r>
        <w:rPr>
          <w:rFonts w:hint="default" w:ascii="Times New Roman" w:hAnsi="Times New Roman" w:eastAsia="仿宋_GB2312" w:cs="Times New Roman"/>
          <w:color w:val="auto"/>
          <w:sz w:val="32"/>
          <w:szCs w:val="32"/>
          <w:highlight w:val="none"/>
        </w:rPr>
        <w:t>近海、深远海协同布局，一、二、三产融合推进，探索</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海上粮仓+蓝色能源+渔旅融合</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新模式，</w:t>
      </w:r>
      <w:r>
        <w:rPr>
          <w:rFonts w:hint="default" w:ascii="Times New Roman" w:hAnsi="Times New Roman" w:eastAsia="仿宋_GB2312" w:cs="Times New Roman"/>
          <w:i w:val="0"/>
          <w:iCs w:val="0"/>
          <w:caps w:val="0"/>
          <w:color w:val="auto"/>
          <w:spacing w:val="0"/>
          <w:sz w:val="32"/>
          <w:szCs w:val="32"/>
          <w:highlight w:val="none"/>
          <w:shd w:val="clear"/>
          <w:lang w:val="en-US" w:eastAsia="zh-CN"/>
        </w:rPr>
        <w:t>全面建设现代化海洋经济强市。</w:t>
      </w:r>
    </w:p>
    <w:p>
      <w:pPr>
        <w:pStyle w:val="3"/>
        <w:keepNext w:val="0"/>
        <w:keepLines w:val="0"/>
        <w:pageBreakBefore w:val="0"/>
        <w:kinsoku/>
        <w:wordWrap/>
        <w:overflowPunct/>
        <w:topLinePunct w:val="0"/>
        <w:autoSpaceDE/>
        <w:autoSpaceDN/>
        <w:bidi w:val="0"/>
        <w:spacing w:before="50" w:beforeLines="50" w:beforeAutospacing="0" w:after="50" w:afterLines="50" w:afterAutospacing="0" w:line="570" w:lineRule="exact"/>
        <w:ind w:firstLine="0" w:firstLineChars="0"/>
        <w:textAlignment w:val="auto"/>
        <w:rPr>
          <w:rFonts w:hint="default" w:ascii="Times New Roman" w:hAnsi="Times New Roman" w:cs="Times New Roman"/>
          <w:snapToGrid w:val="0"/>
          <w:color w:val="auto"/>
          <w:sz w:val="32"/>
          <w:highlight w:val="none"/>
          <w:lang w:val="en-US" w:eastAsia="zh-CN"/>
        </w:rPr>
      </w:pPr>
      <w:bookmarkStart w:id="327" w:name="_Toc28738"/>
      <w:bookmarkStart w:id="328" w:name="_Toc22873"/>
      <w:bookmarkStart w:id="329" w:name="_Toc16975"/>
      <w:bookmarkStart w:id="330" w:name="_Toc5235"/>
      <w:bookmarkStart w:id="331" w:name="_Toc16804"/>
      <w:bookmarkStart w:id="332" w:name="_Toc4157"/>
      <w:bookmarkStart w:id="333" w:name="_Toc3702"/>
      <w:bookmarkStart w:id="334" w:name="_Toc24659"/>
      <w:r>
        <w:rPr>
          <w:rFonts w:hint="default" w:ascii="Times New Roman" w:hAnsi="Times New Roman" w:cs="Times New Roman"/>
          <w:snapToGrid w:val="0"/>
          <w:color w:val="auto"/>
          <w:sz w:val="32"/>
          <w:highlight w:val="none"/>
          <w:lang w:val="en-US" w:eastAsia="zh-CN"/>
        </w:rPr>
        <w:t>第一节 促进海洋产业精深发展</w:t>
      </w:r>
      <w:bookmarkEnd w:id="326"/>
      <w:bookmarkEnd w:id="327"/>
      <w:bookmarkEnd w:id="328"/>
      <w:bookmarkEnd w:id="329"/>
      <w:bookmarkEnd w:id="330"/>
      <w:bookmarkEnd w:id="331"/>
      <w:bookmarkEnd w:id="332"/>
      <w:bookmarkEnd w:id="333"/>
      <w:bookmarkEnd w:id="334"/>
    </w:p>
    <w:p>
      <w:pPr>
        <w:pStyle w:val="27"/>
        <w:keepNext w:val="0"/>
        <w:keepLines w:val="0"/>
        <w:pageBreakBefore w:val="0"/>
        <w:widowControl/>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
        </w:rPr>
      </w:pPr>
      <w:r>
        <w:rPr>
          <w:rFonts w:hint="default" w:ascii="Times New Roman" w:hAnsi="Times New Roman" w:eastAsia="仿宋_GB2312" w:cs="Times New Roman"/>
          <w:b w:val="0"/>
          <w:bCs w:val="0"/>
          <w:color w:val="auto"/>
          <w:kern w:val="2"/>
          <w:sz w:val="32"/>
          <w:szCs w:val="32"/>
          <w:highlight w:val="none"/>
          <w:lang w:bidi="ar"/>
        </w:rPr>
        <w:t>坚持经略海洋、向海图强，</w:t>
      </w:r>
      <w:r>
        <w:rPr>
          <w:rFonts w:hint="default" w:ascii="Times New Roman" w:hAnsi="Times New Roman" w:eastAsia="仿宋_GB2312" w:cs="Times New Roman"/>
          <w:b w:val="0"/>
          <w:bCs w:val="0"/>
          <w:color w:val="auto"/>
          <w:kern w:val="2"/>
          <w:sz w:val="32"/>
          <w:szCs w:val="32"/>
          <w:highlight w:val="none"/>
          <w:lang w:val="en-US" w:eastAsia="zh-CN" w:bidi="ar"/>
        </w:rPr>
        <w:t>推动海洋制造业、</w:t>
      </w:r>
      <w:r>
        <w:rPr>
          <w:rFonts w:hint="default" w:ascii="Times New Roman" w:hAnsi="Times New Roman" w:eastAsia="仿宋_GB2312" w:cs="Times New Roman"/>
          <w:b w:val="0"/>
          <w:bCs w:val="0"/>
          <w:color w:val="auto"/>
          <w:kern w:val="2"/>
          <w:sz w:val="32"/>
          <w:szCs w:val="32"/>
          <w:highlight w:val="none"/>
          <w:lang w:bidi="ar"/>
        </w:rPr>
        <w:t>海洋渔业、海洋文旅等产业</w:t>
      </w:r>
      <w:r>
        <w:rPr>
          <w:rFonts w:hint="default" w:ascii="Times New Roman" w:hAnsi="Times New Roman" w:eastAsia="仿宋_GB2312" w:cs="Times New Roman"/>
          <w:b w:val="0"/>
          <w:bCs w:val="0"/>
          <w:color w:val="auto"/>
          <w:kern w:val="2"/>
          <w:sz w:val="32"/>
          <w:szCs w:val="32"/>
          <w:highlight w:val="none"/>
          <w:lang w:val="en-US" w:eastAsia="zh-CN" w:bidi="ar"/>
        </w:rPr>
        <w:t>向绿色化、高端化、融合化方向发展，构建更加完善的现代海洋产业体系。</w:t>
      </w:r>
    </w:p>
    <w:p>
      <w:pPr>
        <w:pStyle w:val="27"/>
        <w:keepNext w:val="0"/>
        <w:keepLines w:val="0"/>
        <w:pageBreakBefore w:val="0"/>
        <w:widowControl/>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b w:val="0"/>
          <w:bCs w:val="0"/>
          <w:color w:val="auto"/>
          <w:kern w:val="2"/>
          <w:sz w:val="32"/>
          <w:szCs w:val="32"/>
          <w:highlight w:val="none"/>
          <w:lang w:bidi="ar"/>
        </w:rPr>
        <w:t>海洋</w:t>
      </w:r>
      <w:r>
        <w:rPr>
          <w:rFonts w:hint="default" w:ascii="Times New Roman" w:hAnsi="Times New Roman" w:eastAsia="楷体_GB2312" w:cs="Times New Roman"/>
          <w:b w:val="0"/>
          <w:bCs w:val="0"/>
          <w:color w:val="auto"/>
          <w:kern w:val="2"/>
          <w:sz w:val="32"/>
          <w:szCs w:val="32"/>
          <w:highlight w:val="none"/>
          <w:lang w:val="en-US" w:eastAsia="zh-CN" w:bidi="ar"/>
        </w:rPr>
        <w:t>制造业高端化。</w:t>
      </w:r>
      <w:r>
        <w:rPr>
          <w:rFonts w:hint="default" w:ascii="Times New Roman" w:hAnsi="Times New Roman" w:eastAsia="仿宋_GB2312" w:cs="Times New Roman"/>
          <w:b w:val="0"/>
          <w:bCs w:val="0"/>
          <w:color w:val="auto"/>
          <w:kern w:val="2"/>
          <w:sz w:val="32"/>
          <w:szCs w:val="32"/>
          <w:highlight w:val="none"/>
          <w:lang w:val="en-US" w:eastAsia="zh-CN"/>
        </w:rPr>
        <w:t>以海洋经济高质量发展为主轴，着力发展海洋装备制造、海洋生物制品制造，聚力推动海洋制造业向高端化突破、集群化集聚、品牌化焕新。充分发挥乳山口港国家一类开放口岸优势，加快临港海工重型产业园区建设，重点支持企业攻坚海上风电装备、深海油气开采装备、港口物流装备等关键产品的自主化研发与生产，大力发展中小型船舶修造产业，布局渔船、旅游观光船、工作船等特色船舶的维修与建造。深耕</w:t>
      </w:r>
      <w:r>
        <w:rPr>
          <w:rFonts w:hint="default" w:ascii="Times New Roman" w:hAnsi="Times New Roman" w:eastAsia="仿宋_GB2312" w:cs="Times New Roman"/>
          <w:b w:val="0"/>
          <w:bCs w:val="0"/>
          <w:color w:val="auto"/>
          <w:kern w:val="2"/>
          <w:sz w:val="32"/>
          <w:szCs w:val="32"/>
          <w:highlight w:val="none"/>
        </w:rPr>
        <w:t>海洋生物制品</w:t>
      </w:r>
      <w:r>
        <w:rPr>
          <w:rFonts w:hint="default" w:ascii="Times New Roman" w:hAnsi="Times New Roman" w:eastAsia="仿宋_GB2312" w:cs="Times New Roman"/>
          <w:b w:val="0"/>
          <w:bCs w:val="0"/>
          <w:color w:val="auto"/>
          <w:kern w:val="2"/>
          <w:sz w:val="32"/>
          <w:szCs w:val="32"/>
          <w:highlight w:val="none"/>
          <w:lang w:val="en-US" w:eastAsia="zh-CN"/>
        </w:rPr>
        <w:t>产业链条，重点攻坚牡蛎肽、鱼类胶原蛋白等功能性产品的研发与产业化，以品质升级擦亮“乳山海洋食品”特色品牌。积极拓展产业边界，布局海洋生物肥料、海洋生物材料等新兴领域，加快高端保健品等高附加值产品研发进程，</w:t>
      </w:r>
      <w:r>
        <w:rPr>
          <w:rFonts w:hint="default" w:ascii="Times New Roman" w:hAnsi="Times New Roman" w:eastAsia="仿宋_GB2312" w:cs="Times New Roman"/>
          <w:color w:val="auto"/>
          <w:kern w:val="2"/>
          <w:sz w:val="32"/>
          <w:szCs w:val="32"/>
          <w:highlight w:val="none"/>
          <w:lang w:val="en-US" w:eastAsia="zh-CN"/>
        </w:rPr>
        <w:t>推动</w:t>
      </w:r>
      <w:r>
        <w:rPr>
          <w:rFonts w:hint="default" w:ascii="Times New Roman" w:hAnsi="Times New Roman" w:eastAsia="仿宋_GB2312" w:cs="Times New Roman"/>
          <w:color w:val="auto"/>
          <w:sz w:val="32"/>
          <w:szCs w:val="32"/>
          <w:highlight w:val="none"/>
        </w:rPr>
        <w:t>海洋制造业成为支撑乳山</w:t>
      </w:r>
      <w:r>
        <w:rPr>
          <w:rFonts w:hint="default" w:ascii="Times New Roman" w:hAnsi="Times New Roman" w:eastAsia="仿宋_GB2312" w:cs="Times New Roman"/>
          <w:color w:val="auto"/>
          <w:sz w:val="32"/>
          <w:szCs w:val="32"/>
          <w:highlight w:val="none"/>
          <w:lang w:val="en-US" w:eastAsia="zh-CN"/>
        </w:rPr>
        <w:t>海洋</w:t>
      </w:r>
      <w:r>
        <w:rPr>
          <w:rFonts w:hint="default" w:ascii="Times New Roman" w:hAnsi="Times New Roman" w:eastAsia="仿宋_GB2312" w:cs="Times New Roman"/>
          <w:color w:val="auto"/>
          <w:sz w:val="32"/>
          <w:szCs w:val="32"/>
          <w:highlight w:val="none"/>
        </w:rPr>
        <w:t>经济提质增效的核心增长极。</w:t>
      </w:r>
    </w:p>
    <w:p>
      <w:pPr>
        <w:keepNext w:val="0"/>
        <w:keepLines w:val="0"/>
        <w:pageBreakBefore w:val="0"/>
        <w:widowControl w:val="0"/>
        <w:kinsoku/>
        <w:wordWrap/>
        <w:overflowPunct/>
        <w:topLinePunct w:val="0"/>
        <w:autoSpaceDE/>
        <w:autoSpaceDN/>
        <w:bidi w:val="0"/>
        <w:adjustRightInd w:val="0"/>
        <w:snapToGrid w:val="0"/>
        <w:spacing w:after="157" w:afterLines="50" w:line="57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b w:val="0"/>
          <w:bCs w:val="0"/>
          <w:color w:val="auto"/>
          <w:sz w:val="32"/>
          <w:szCs w:val="32"/>
          <w:highlight w:val="none"/>
          <w:lang w:val="en-US" w:eastAsia="zh-CN" w:bidi="ar"/>
        </w:rPr>
        <w:t>海洋渔业现代化。</w:t>
      </w:r>
      <w:r>
        <w:rPr>
          <w:rFonts w:hint="default" w:ascii="Times New Roman" w:hAnsi="Times New Roman" w:eastAsia="仿宋_GB2312" w:cs="Times New Roman"/>
          <w:b w:val="0"/>
          <w:bCs w:val="0"/>
          <w:color w:val="auto"/>
          <w:kern w:val="2"/>
          <w:sz w:val="32"/>
          <w:szCs w:val="32"/>
          <w:highlight w:val="none"/>
          <w:lang w:val="en-US" w:eastAsia="zh-CN" w:bidi="ar"/>
        </w:rPr>
        <w:t>聚焦水产种业、深远海养殖、海洋牧场和渔港经济区建设，加快推进现代海洋渔业绿色低碳高质量发展。</w:t>
      </w:r>
      <w:r>
        <w:rPr>
          <w:rFonts w:hint="default" w:ascii="Times New Roman" w:hAnsi="Times New Roman" w:eastAsia="仿宋_GB2312" w:cs="Times New Roman"/>
          <w:color w:val="auto"/>
          <w:sz w:val="32"/>
          <w:szCs w:val="32"/>
          <w:highlight w:val="none"/>
        </w:rPr>
        <w:t>加快调整现代海洋渔业产业结构，</w:t>
      </w:r>
      <w:r>
        <w:rPr>
          <w:rFonts w:hint="default" w:ascii="Times New Roman" w:hAnsi="Times New Roman" w:eastAsia="仿宋_GB2312" w:cs="Times New Roman"/>
          <w:color w:val="auto"/>
          <w:sz w:val="32"/>
          <w:szCs w:val="32"/>
          <w:highlight w:val="none"/>
          <w:lang w:val="en-US" w:eastAsia="zh-CN"/>
        </w:rPr>
        <w:t>围绕智慧渔港、绿色渔港、平安渔港、产业渔港，以</w:t>
      </w:r>
      <w:r>
        <w:rPr>
          <w:rFonts w:hint="default" w:ascii="Times New Roman" w:hAnsi="Times New Roman" w:eastAsia="仿宋_GB2312" w:cs="Times New Roman"/>
          <w:color w:val="auto"/>
          <w:sz w:val="32"/>
          <w:szCs w:val="32"/>
          <w:highlight w:val="none"/>
        </w:rPr>
        <w:t>乳山口渔港</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南泓渔港、和尚洞渔港改造升级为依托</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打造产业融合发展的国家级沿海渔港经济区。</w:t>
      </w:r>
      <w:r>
        <w:rPr>
          <w:rFonts w:hint="default" w:ascii="Times New Roman" w:hAnsi="Times New Roman" w:eastAsia="仿宋_GB2312" w:cs="Times New Roman"/>
          <w:color w:val="auto"/>
          <w:sz w:val="32"/>
          <w:szCs w:val="32"/>
          <w:highlight w:val="none"/>
        </w:rPr>
        <w:t>实施</w:t>
      </w:r>
      <w:r>
        <w:rPr>
          <w:rFonts w:hint="default" w:ascii="Times New Roman" w:hAnsi="Times New Roman" w:eastAsia="仿宋_GB2312" w:cs="Times New Roman"/>
          <w:color w:val="auto"/>
          <w:sz w:val="32"/>
          <w:szCs w:val="32"/>
          <w:highlight w:val="none"/>
          <w:lang w:val="en-US" w:eastAsia="zh-CN"/>
        </w:rPr>
        <w:t>良种繁育</w:t>
      </w:r>
      <w:r>
        <w:rPr>
          <w:rFonts w:hint="default" w:ascii="Times New Roman" w:hAnsi="Times New Roman" w:eastAsia="仿宋_GB2312" w:cs="Times New Roman"/>
          <w:color w:val="auto"/>
          <w:sz w:val="32"/>
          <w:szCs w:val="32"/>
          <w:highlight w:val="none"/>
        </w:rPr>
        <w:t>工程</w:t>
      </w:r>
      <w:r>
        <w:rPr>
          <w:rFonts w:hint="default" w:ascii="Times New Roman" w:hAnsi="Times New Roman" w:eastAsia="仿宋_GB2312" w:cs="Times New Roman"/>
          <w:color w:val="auto"/>
          <w:sz w:val="32"/>
          <w:szCs w:val="32"/>
          <w:highlight w:val="none"/>
          <w:lang w:eastAsia="zh-CN"/>
        </w:rPr>
        <w:t>，规划建设徐家现代海洋种业园区，</w:t>
      </w:r>
      <w:r>
        <w:rPr>
          <w:rFonts w:hint="default" w:ascii="Times New Roman" w:hAnsi="Times New Roman" w:eastAsia="仿宋_GB2312" w:cs="Times New Roman"/>
          <w:color w:val="auto"/>
          <w:sz w:val="32"/>
          <w:szCs w:val="32"/>
          <w:highlight w:val="none"/>
        </w:rPr>
        <w:t>依托中国海洋大学、中科院海洋所等科研院所，加强</w:t>
      </w:r>
      <w:r>
        <w:rPr>
          <w:rFonts w:hint="default" w:ascii="Times New Roman" w:hAnsi="Times New Roman" w:eastAsia="仿宋_GB2312" w:cs="Times New Roman"/>
          <w:color w:val="auto"/>
          <w:sz w:val="32"/>
          <w:szCs w:val="32"/>
          <w:highlight w:val="none"/>
          <w:lang w:val="en-US" w:eastAsia="zh-CN"/>
        </w:rPr>
        <w:t>海水</w:t>
      </w:r>
      <w:r>
        <w:rPr>
          <w:rFonts w:hint="default" w:ascii="Times New Roman" w:hAnsi="Times New Roman" w:eastAsia="仿宋_GB2312" w:cs="Times New Roman"/>
          <w:color w:val="auto"/>
          <w:sz w:val="32"/>
          <w:szCs w:val="32"/>
          <w:highlight w:val="none"/>
        </w:rPr>
        <w:t>主导</w:t>
      </w:r>
      <w:r>
        <w:rPr>
          <w:rFonts w:hint="default" w:ascii="Times New Roman" w:hAnsi="Times New Roman" w:eastAsia="仿宋_GB2312" w:cs="Times New Roman"/>
          <w:color w:val="auto"/>
          <w:sz w:val="32"/>
          <w:szCs w:val="32"/>
          <w:highlight w:val="none"/>
          <w:lang w:val="en-US" w:eastAsia="zh-CN"/>
        </w:rPr>
        <w:t>品种的</w:t>
      </w:r>
      <w:r>
        <w:rPr>
          <w:rFonts w:hint="default" w:ascii="Times New Roman" w:hAnsi="Times New Roman" w:eastAsia="仿宋_GB2312" w:cs="Times New Roman"/>
          <w:color w:val="auto"/>
          <w:sz w:val="32"/>
          <w:szCs w:val="32"/>
          <w:highlight w:val="none"/>
        </w:rPr>
        <w:t>原种保护</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良种培育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做好品质品控品牌文章。到2030年，优质苗种繁育能力达到200亿单位。</w:t>
      </w:r>
      <w:r>
        <w:rPr>
          <w:rFonts w:hint="default" w:ascii="Times New Roman" w:hAnsi="Times New Roman" w:eastAsia="仿宋_GB2312" w:cs="Times New Roman"/>
          <w:strike w:val="0"/>
          <w:dstrike w:val="0"/>
          <w:color w:val="auto"/>
          <w:sz w:val="32"/>
          <w:szCs w:val="32"/>
          <w:highlight w:val="none"/>
        </w:rPr>
        <w:t>持续推进养殖容量评估工作</w:t>
      </w:r>
      <w:r>
        <w:rPr>
          <w:rFonts w:hint="default" w:ascii="Times New Roman" w:hAnsi="Times New Roman" w:eastAsia="仿宋_GB2312" w:cs="Times New Roman"/>
          <w:strike w:val="0"/>
          <w:dstrike w:val="0"/>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开展</w:t>
      </w:r>
      <w:r>
        <w:rPr>
          <w:rFonts w:hint="default" w:ascii="Times New Roman" w:hAnsi="Times New Roman" w:eastAsia="仿宋_GB2312" w:cs="Times New Roman"/>
          <w:color w:val="auto"/>
          <w:sz w:val="32"/>
          <w:szCs w:val="32"/>
          <w:highlight w:val="none"/>
        </w:rPr>
        <w:t>牡蛎等</w:t>
      </w:r>
      <w:r>
        <w:rPr>
          <w:rFonts w:hint="default" w:ascii="Times New Roman" w:hAnsi="Times New Roman" w:eastAsia="仿宋_GB2312" w:cs="Times New Roman"/>
          <w:color w:val="auto"/>
          <w:sz w:val="32"/>
          <w:szCs w:val="32"/>
          <w:highlight w:val="none"/>
          <w:lang w:val="en-US" w:eastAsia="zh-CN"/>
        </w:rPr>
        <w:t>特色产品</w:t>
      </w:r>
      <w:r>
        <w:rPr>
          <w:rFonts w:hint="default" w:ascii="Times New Roman" w:hAnsi="Times New Roman" w:eastAsia="仿宋_GB2312" w:cs="Times New Roman"/>
          <w:color w:val="auto"/>
          <w:sz w:val="32"/>
          <w:szCs w:val="32"/>
          <w:highlight w:val="none"/>
        </w:rPr>
        <w:t>标准化健康养殖，推行</w:t>
      </w:r>
      <w:r>
        <w:rPr>
          <w:rFonts w:hint="default" w:ascii="Times New Roman" w:hAnsi="Times New Roman" w:eastAsia="仿宋_GB2312" w:cs="Times New Roman"/>
          <w:color w:val="auto"/>
          <w:sz w:val="32"/>
          <w:szCs w:val="32"/>
          <w:highlight w:val="none"/>
          <w:lang w:val="en-US" w:eastAsia="zh-CN"/>
        </w:rPr>
        <w:t>牡蛎养殖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生态疏养</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模式，实现</w:t>
      </w:r>
      <w:r>
        <w:rPr>
          <w:rFonts w:hint="default" w:ascii="Times New Roman" w:hAnsi="Times New Roman" w:eastAsia="仿宋_GB2312" w:cs="Times New Roman"/>
          <w:color w:val="auto"/>
          <w:sz w:val="32"/>
          <w:szCs w:val="32"/>
          <w:highlight w:val="none"/>
          <w:lang w:eastAsia="zh-CN"/>
        </w:rPr>
        <w:t>提质增效、可持续发展</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推进</w:t>
      </w:r>
      <w:r>
        <w:rPr>
          <w:rFonts w:hint="default" w:ascii="Times New Roman" w:hAnsi="Times New Roman" w:eastAsia="仿宋_GB2312" w:cs="Times New Roman"/>
          <w:color w:val="auto"/>
          <w:sz w:val="32"/>
          <w:szCs w:val="32"/>
          <w:highlight w:val="none"/>
        </w:rPr>
        <w:t>现代化海洋牧场建设，</w:t>
      </w:r>
      <w:r>
        <w:rPr>
          <w:rFonts w:hint="default" w:ascii="Times New Roman" w:hAnsi="Times New Roman" w:eastAsia="仿宋_GB2312" w:cs="Times New Roman"/>
          <w:color w:val="auto"/>
          <w:sz w:val="32"/>
          <w:szCs w:val="32"/>
          <w:highlight w:val="none"/>
          <w:lang w:val="en-US" w:eastAsia="zh-CN"/>
        </w:rPr>
        <w:t>发展</w:t>
      </w:r>
      <w:r>
        <w:rPr>
          <w:rFonts w:hint="default" w:ascii="Times New Roman" w:hAnsi="Times New Roman" w:eastAsia="仿宋_GB2312" w:cs="Times New Roman"/>
          <w:color w:val="auto"/>
          <w:sz w:val="32"/>
          <w:szCs w:val="32"/>
          <w:highlight w:val="none"/>
        </w:rPr>
        <w:t>深远海养殖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推行牡蛎与扇贝等其他品种混合养殖模式,“十五五”期间科学增殖放流鱼、虾、蟹等各类水产苗种5亿单位以上，</w:t>
      </w:r>
      <w:r>
        <w:rPr>
          <w:rFonts w:hint="default" w:ascii="Times New Roman" w:hAnsi="Times New Roman" w:eastAsia="仿宋_GB2312" w:cs="Times New Roman"/>
          <w:color w:val="auto"/>
          <w:sz w:val="32"/>
          <w:szCs w:val="32"/>
          <w:highlight w:val="none"/>
        </w:rPr>
        <w:t>改善渔业资源种群结构和质量，打造集</w:t>
      </w:r>
      <w:r>
        <w:rPr>
          <w:rFonts w:hint="default" w:ascii="Times New Roman" w:hAnsi="Times New Roman" w:eastAsia="仿宋_GB2312" w:cs="Times New Roman"/>
          <w:color w:val="auto"/>
          <w:sz w:val="32"/>
          <w:szCs w:val="32"/>
          <w:highlight w:val="none"/>
          <w:lang w:val="en-US" w:eastAsia="zh-CN"/>
        </w:rPr>
        <w:t>水产养殖、</w:t>
      </w:r>
      <w:r>
        <w:rPr>
          <w:rFonts w:hint="default" w:ascii="Times New Roman" w:hAnsi="Times New Roman" w:eastAsia="仿宋_GB2312" w:cs="Times New Roman"/>
          <w:color w:val="auto"/>
          <w:sz w:val="32"/>
          <w:szCs w:val="32"/>
          <w:highlight w:val="none"/>
        </w:rPr>
        <w:t>资源管护、物资补给、特色旅游、海洋科普等功能于一体的海上多功能平台，着力建设</w:t>
      </w:r>
      <w:r>
        <w:rPr>
          <w:rFonts w:hint="default" w:ascii="Times New Roman" w:hAnsi="Times New Roman" w:eastAsia="仿宋_GB2312" w:cs="Times New Roman"/>
          <w:color w:val="auto"/>
          <w:sz w:val="32"/>
          <w:szCs w:val="32"/>
          <w:highlight w:val="none"/>
          <w:lang w:val="en-US" w:eastAsia="zh-CN"/>
        </w:rPr>
        <w:t>高水平</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海上粮仓</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bookmarkStart w:id="335" w:name="_Toc21911"/>
    </w:p>
    <w:tbl>
      <w:tblPr>
        <w:tblStyle w:val="19"/>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8880" w:type="dxa"/>
            <w:vAlign w:val="top"/>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楷体_GB2312" w:cs="Times New Roman"/>
                <w:b w:val="0"/>
                <w:bCs w:val="0"/>
                <w:color w:val="auto"/>
                <w:sz w:val="32"/>
                <w:szCs w:val="32"/>
                <w:highlight w:val="none"/>
                <w:vertAlign w:val="baseline"/>
                <w:lang w:val="en-US" w:eastAsia="zh-CN"/>
              </w:rPr>
            </w:pPr>
            <w:bookmarkStart w:id="336" w:name="_Toc8716"/>
            <w:bookmarkStart w:id="337" w:name="_Toc20486"/>
            <w:bookmarkStart w:id="338" w:name="_Toc14928"/>
            <w:bookmarkStart w:id="339" w:name="_Toc25547"/>
            <w:r>
              <w:rPr>
                <w:rFonts w:hint="default" w:ascii="Times New Roman" w:hAnsi="Times New Roman" w:eastAsia="黑体" w:cs="Times New Roman"/>
                <w:b w:val="0"/>
                <w:bCs w:val="0"/>
                <w:color w:val="auto"/>
                <w:sz w:val="28"/>
                <w:szCs w:val="28"/>
                <w:highlight w:val="none"/>
                <w:vertAlign w:val="baseline"/>
                <w:lang w:val="en-US" w:eastAsia="zh-CN"/>
              </w:rPr>
              <w:t>专栏15：现代海洋渔业建设重点项目</w:t>
            </w:r>
            <w:bookmarkEnd w:id="336"/>
            <w:bookmarkEnd w:id="337"/>
            <w:bookmarkEnd w:id="338"/>
            <w:bookmarkEnd w:id="3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0" w:type="dxa"/>
            <w:vAlign w:val="top"/>
          </w:tcPr>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eastAsia="楷体_GB2312" w:cs="Times New Roman"/>
                <w:b w:val="0"/>
                <w:bCs w:val="0"/>
                <w:color w:val="auto"/>
                <w:sz w:val="32"/>
                <w:szCs w:val="32"/>
                <w:highlight w:val="none"/>
                <w:vertAlign w:val="baseline"/>
                <w:lang w:val="en-US" w:eastAsia="zh-CN"/>
              </w:rPr>
            </w:pPr>
            <w:r>
              <w:rPr>
                <w:rFonts w:hint="default" w:ascii="Times New Roman" w:hAnsi="Times New Roman" w:eastAsia="仿宋_GB2312" w:cs="Times New Roman"/>
                <w:b w:val="0"/>
                <w:bCs w:val="0"/>
                <w:color w:val="auto"/>
                <w:kern w:val="44"/>
                <w:sz w:val="28"/>
                <w:szCs w:val="28"/>
                <w:highlight w:val="none"/>
                <w:lang w:val="en-US" w:eastAsia="zh-CN" w:bidi="ar-SA"/>
              </w:rPr>
              <w:t>乳山市国家级沿海渔港经济区项目，三文鱼陆基化养殖超级工厂项目，乳山市牡蛎产业智慧平台建设项目，贝类种业育种能力提升建设项目，山东省牡蛎优势特色产业扶优培强行动项目，山东百盛汇海洋科技有限公司水产种业建设项目，徐家镇牡蛎融合示范区项目，安度水产养殖育苗项目等。</w:t>
            </w:r>
          </w:p>
        </w:tc>
      </w:tr>
    </w:tbl>
    <w:p>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bidi="ar"/>
        </w:rPr>
        <w:t>海洋</w:t>
      </w:r>
      <w:r>
        <w:rPr>
          <w:rFonts w:hint="default" w:ascii="Times New Roman" w:hAnsi="Times New Roman" w:eastAsia="楷体_GB2312" w:cs="Times New Roman"/>
          <w:b w:val="0"/>
          <w:bCs w:val="0"/>
          <w:color w:val="auto"/>
          <w:sz w:val="32"/>
          <w:szCs w:val="32"/>
          <w:highlight w:val="none"/>
          <w:lang w:val="en-US" w:eastAsia="zh-CN" w:bidi="ar"/>
        </w:rPr>
        <w:t>服务业优质化</w:t>
      </w:r>
      <w:r>
        <w:rPr>
          <w:rFonts w:hint="default" w:ascii="Times New Roman" w:hAnsi="Times New Roman" w:eastAsia="楷体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eastAsia="zh-CN"/>
        </w:rPr>
        <w:t>全面激活海洋服务业潜力，构建</w:t>
      </w:r>
      <w:r>
        <w:rPr>
          <w:rFonts w:hint="default" w:ascii="Times New Roman" w:hAnsi="Times New Roman" w:eastAsia="仿宋_GB2312" w:cs="Times New Roman"/>
          <w:color w:val="auto"/>
          <w:sz w:val="32"/>
          <w:szCs w:val="32"/>
          <w:highlight w:val="none"/>
          <w:lang w:val="en-US" w:eastAsia="zh-CN"/>
        </w:rPr>
        <w:t>以海洋文旅、海洋保险为核心，</w:t>
      </w:r>
      <w:r>
        <w:rPr>
          <w:rFonts w:hint="default" w:ascii="Times New Roman" w:hAnsi="Times New Roman" w:eastAsia="仿宋_GB2312" w:cs="Times New Roman"/>
          <w:color w:val="auto"/>
          <w:sz w:val="32"/>
          <w:szCs w:val="32"/>
          <w:highlight w:val="none"/>
          <w:lang w:eastAsia="zh-CN"/>
        </w:rPr>
        <w:t>多元融合、特色鲜明的现代海洋服务体系。推动海洋文旅服务提质升级，深度</w:t>
      </w:r>
      <w:r>
        <w:rPr>
          <w:rFonts w:hint="default" w:ascii="Times New Roman" w:hAnsi="Times New Roman" w:eastAsia="仿宋_GB2312" w:cs="Times New Roman"/>
          <w:color w:val="auto"/>
          <w:sz w:val="32"/>
          <w:szCs w:val="32"/>
          <w:highlight w:val="none"/>
        </w:rPr>
        <w:t>整合银滩旅游度假区、</w:t>
      </w:r>
      <w:r>
        <w:rPr>
          <w:rFonts w:hint="default" w:ascii="Times New Roman" w:hAnsi="Times New Roman" w:eastAsia="仿宋_GB2312" w:cs="Times New Roman"/>
          <w:color w:val="auto"/>
          <w:sz w:val="32"/>
          <w:szCs w:val="32"/>
          <w:highlight w:val="none"/>
          <w:lang w:val="en-US" w:eastAsia="zh-CN"/>
        </w:rPr>
        <w:t>大乳山、宫家岛、小青岛</w:t>
      </w:r>
      <w:r>
        <w:rPr>
          <w:rFonts w:hint="default" w:ascii="Times New Roman" w:hAnsi="Times New Roman" w:eastAsia="仿宋_GB2312" w:cs="Times New Roman"/>
          <w:color w:val="auto"/>
          <w:sz w:val="32"/>
          <w:szCs w:val="32"/>
          <w:highlight w:val="none"/>
        </w:rPr>
        <w:t>等滨海旅游资源，</w:t>
      </w:r>
      <w:r>
        <w:rPr>
          <w:rFonts w:hint="default" w:ascii="Times New Roman" w:hAnsi="Times New Roman" w:eastAsia="仿宋_GB2312" w:cs="Times New Roman"/>
          <w:color w:val="auto"/>
          <w:sz w:val="32"/>
          <w:szCs w:val="32"/>
          <w:highlight w:val="none"/>
          <w:lang w:eastAsia="zh-CN"/>
        </w:rPr>
        <w:t>系统梳理</w:t>
      </w:r>
      <w:r>
        <w:rPr>
          <w:rFonts w:hint="default" w:ascii="Times New Roman" w:hAnsi="Times New Roman" w:eastAsia="仿宋_GB2312" w:cs="Times New Roman"/>
          <w:color w:val="auto"/>
          <w:sz w:val="32"/>
          <w:szCs w:val="32"/>
          <w:highlight w:val="none"/>
        </w:rPr>
        <w:t>乳山渔家文化、海防文化，</w:t>
      </w:r>
      <w:r>
        <w:rPr>
          <w:rFonts w:hint="default" w:ascii="Times New Roman" w:hAnsi="Times New Roman" w:eastAsia="仿宋_GB2312" w:cs="Times New Roman"/>
          <w:color w:val="auto"/>
          <w:sz w:val="32"/>
          <w:szCs w:val="32"/>
          <w:highlight w:val="none"/>
          <w:lang w:eastAsia="zh-CN"/>
        </w:rPr>
        <w:t>加快推进</w:t>
      </w:r>
      <w:r>
        <w:rPr>
          <w:rFonts w:hint="default" w:ascii="Times New Roman" w:hAnsi="Times New Roman" w:eastAsia="仿宋_GB2312" w:cs="Times New Roman"/>
          <w:color w:val="auto"/>
          <w:sz w:val="32"/>
          <w:szCs w:val="32"/>
          <w:highlight w:val="none"/>
        </w:rPr>
        <w:t>乳山海洋文化博物馆、渔家文化体验村</w:t>
      </w:r>
      <w:r>
        <w:rPr>
          <w:rFonts w:hint="default" w:ascii="Times New Roman" w:hAnsi="Times New Roman" w:eastAsia="仿宋_GB2312" w:cs="Times New Roman"/>
          <w:color w:val="auto"/>
          <w:sz w:val="32"/>
          <w:szCs w:val="32"/>
          <w:highlight w:val="none"/>
          <w:lang w:eastAsia="zh-CN"/>
        </w:rPr>
        <w:t>等载体</w:t>
      </w:r>
      <w:r>
        <w:rPr>
          <w:rFonts w:hint="default" w:ascii="Times New Roman" w:hAnsi="Times New Roman" w:eastAsia="仿宋_GB2312" w:cs="Times New Roman"/>
          <w:color w:val="auto"/>
          <w:sz w:val="32"/>
          <w:szCs w:val="32"/>
          <w:highlight w:val="none"/>
        </w:rPr>
        <w:t>建设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有序推进海岛保护性开发利用，</w:t>
      </w:r>
      <w:r>
        <w:rPr>
          <w:rFonts w:hint="default" w:ascii="Times New Roman" w:hAnsi="Times New Roman" w:eastAsia="仿宋_GB2312" w:cs="Times New Roman"/>
          <w:color w:val="auto"/>
          <w:sz w:val="32"/>
          <w:szCs w:val="32"/>
          <w:highlight w:val="none"/>
          <w:lang w:eastAsia="zh-CN"/>
        </w:rPr>
        <w:t>高标准</w:t>
      </w:r>
      <w:r>
        <w:rPr>
          <w:rFonts w:hint="default" w:ascii="Times New Roman" w:hAnsi="Times New Roman" w:eastAsia="仿宋_GB2312" w:cs="Times New Roman"/>
          <w:color w:val="auto"/>
          <w:sz w:val="32"/>
          <w:szCs w:val="32"/>
          <w:highlight w:val="none"/>
        </w:rPr>
        <w:t>打造集休闲度假、水上运动、海鲜美食于一体的滨海旅游目的地</w:t>
      </w:r>
      <w:r>
        <w:rPr>
          <w:rFonts w:hint="default" w:ascii="Times New Roman" w:hAnsi="Times New Roman" w:eastAsia="仿宋_GB2312" w:cs="Times New Roman"/>
          <w:color w:val="auto"/>
          <w:sz w:val="32"/>
          <w:szCs w:val="32"/>
          <w:highlight w:val="none"/>
          <w:lang w:eastAsia="zh-CN"/>
        </w:rPr>
        <w:t>，推动海洋文旅向产业化集聚、特色化发展、品牌化升级。</w:t>
      </w:r>
      <w:bookmarkStart w:id="340" w:name="_Toc6450"/>
      <w:bookmarkStart w:id="341" w:name="_Toc29139"/>
      <w:bookmarkStart w:id="342" w:name="_Toc5335"/>
      <w:bookmarkStart w:id="343" w:name="_Toc22626"/>
      <w:r>
        <w:rPr>
          <w:rFonts w:hint="default" w:ascii="Times New Roman" w:hAnsi="Times New Roman" w:eastAsia="仿宋_GB2312" w:cs="Times New Roman"/>
          <w:color w:val="auto"/>
          <w:sz w:val="32"/>
          <w:szCs w:val="32"/>
          <w:highlight w:val="none"/>
          <w:lang w:eastAsia="zh-CN"/>
        </w:rPr>
        <w:t>创新海洋金融保险服务，优化推广牡蛎养殖保险、海洋碳汇保险、水产种业保险等定制化保险产品，完善“保险+服务+产业”联动机制，为海洋特色产业稳定发展筑牢金融安全屏障。</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b w:val="0"/>
          <w:bCs w:val="0"/>
          <w:color w:val="auto"/>
          <w:sz w:val="32"/>
          <w:szCs w:val="32"/>
          <w:highlight w:val="none"/>
          <w:lang w:bidi="ar"/>
        </w:rPr>
        <w:t>海洋</w:t>
      </w:r>
      <w:r>
        <w:rPr>
          <w:rFonts w:hint="default" w:ascii="Times New Roman" w:hAnsi="Times New Roman" w:eastAsia="楷体_GB2312" w:cs="Times New Roman"/>
          <w:b w:val="0"/>
          <w:bCs w:val="0"/>
          <w:color w:val="auto"/>
          <w:sz w:val="32"/>
          <w:szCs w:val="32"/>
          <w:highlight w:val="none"/>
          <w:lang w:val="en-US" w:eastAsia="zh-CN" w:bidi="ar"/>
        </w:rPr>
        <w:t>科技创新赋能化</w:t>
      </w:r>
      <w:r>
        <w:rPr>
          <w:rFonts w:hint="default" w:ascii="Times New Roman" w:hAnsi="Times New Roman" w:eastAsia="楷体_GB2312" w:cs="Times New Roman"/>
          <w:b w:val="0"/>
          <w:bCs w:val="0"/>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val="en-US" w:eastAsia="zh-CN"/>
        </w:rPr>
        <w:t>积极抢占海洋现代科技“新阵地”，有效布局、集聚和配置海洋科技资源，推动海洋创新链与产业链深度融合，着力培育海洋新质生产力。</w:t>
      </w:r>
      <w:r>
        <w:rPr>
          <w:rFonts w:hint="default" w:ascii="Times New Roman" w:hAnsi="Times New Roman" w:eastAsia="仿宋_GB2312" w:cs="Times New Roman"/>
          <w:color w:val="auto"/>
          <w:kern w:val="2"/>
          <w:sz w:val="32"/>
          <w:szCs w:val="32"/>
          <w:highlight w:val="none"/>
          <w:lang w:val="en-US" w:eastAsia="zh-CN" w:bidi="ar-SA"/>
        </w:rPr>
        <w:t>围绕风电产业、高端海工装备等重点领域，推动重点企业与哈工大、山大等高校院所合作，争取联合承担省级重大专项，加速新技术、新产品的示范应用和迭代升级。</w:t>
      </w:r>
      <w:r>
        <w:rPr>
          <w:rFonts w:hint="default" w:ascii="Times New Roman" w:hAnsi="Times New Roman" w:eastAsia="仿宋_GB2312" w:cs="Times New Roman"/>
          <w:b w:val="0"/>
          <w:bCs w:val="0"/>
          <w:color w:val="auto"/>
          <w:sz w:val="32"/>
          <w:szCs w:val="32"/>
          <w:highlight w:val="none"/>
        </w:rPr>
        <w:t>围绕</w:t>
      </w:r>
      <w:r>
        <w:rPr>
          <w:rFonts w:hint="default" w:ascii="Times New Roman" w:hAnsi="Times New Roman" w:eastAsia="仿宋_GB2312" w:cs="Times New Roman"/>
          <w:b w:val="0"/>
          <w:bCs w:val="0"/>
          <w:color w:val="auto"/>
          <w:sz w:val="32"/>
          <w:szCs w:val="32"/>
          <w:highlight w:val="none"/>
          <w:lang w:val="en-US" w:eastAsia="zh-CN"/>
        </w:rPr>
        <w:t>水产种业、高效生态养殖、质量检测、精深加工等领域</w:t>
      </w:r>
      <w:r>
        <w:rPr>
          <w:rFonts w:hint="default" w:ascii="Times New Roman" w:hAnsi="Times New Roman" w:eastAsia="仿宋_GB2312" w:cs="Times New Roman"/>
          <w:b w:val="0"/>
          <w:bCs w:val="0"/>
          <w:color w:val="auto"/>
          <w:sz w:val="32"/>
          <w:szCs w:val="32"/>
          <w:highlight w:val="none"/>
        </w:rPr>
        <w:t>，攻克一批对海洋产业竞争力整体提升具有带动作用的关键技术</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依托</w:t>
      </w:r>
      <w:r>
        <w:rPr>
          <w:rFonts w:hint="default" w:ascii="Times New Roman" w:hAnsi="Times New Roman" w:eastAsia="仿宋_GB2312" w:cs="Times New Roman"/>
          <w:color w:val="auto"/>
          <w:sz w:val="32"/>
          <w:szCs w:val="32"/>
          <w:highlight w:val="none"/>
          <w:lang w:eastAsia="zh-CN"/>
        </w:rPr>
        <w:t>乳山牡蛎研究院</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整合科技创新资源，高水平建设牡蛎智慧平台，重点围绕抗逆性新品种研发、育肥技术探索等方向，开展产业共性关键技术优化、科技成果转化、产业技术服务等活动，</w:t>
      </w:r>
      <w:r>
        <w:rPr>
          <w:rStyle w:val="29"/>
          <w:rFonts w:hint="default" w:ascii="Times New Roman" w:hAnsi="Times New Roman" w:cs="Times New Roman"/>
          <w:color w:val="auto"/>
          <w:highlight w:val="none"/>
        </w:rPr>
        <w:t>构建具有自主知识产权的海洋生物资源综合利用关键技术体系</w:t>
      </w:r>
      <w:r>
        <w:rPr>
          <w:rStyle w:val="29"/>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sz w:val="32"/>
          <w:szCs w:val="32"/>
          <w:highlight w:val="none"/>
          <w:lang w:eastAsia="zh-CN"/>
        </w:rPr>
        <w:t>推动乳山牡蛎产业和区域品牌高质量发展。</w:t>
      </w:r>
    </w:p>
    <w:p>
      <w:pPr>
        <w:pStyle w:val="3"/>
        <w:keepNext w:val="0"/>
        <w:keepLines w:val="0"/>
        <w:pageBreakBefore w:val="0"/>
        <w:kinsoku/>
        <w:wordWrap/>
        <w:overflowPunct/>
        <w:topLinePunct w:val="0"/>
        <w:bidi w:val="0"/>
        <w:spacing w:before="50" w:beforeLines="50" w:beforeAutospacing="0" w:after="50" w:afterLines="50" w:afterAutospacing="0" w:line="56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344" w:name="_Toc8684"/>
      <w:bookmarkStart w:id="345" w:name="_Toc22512"/>
    </w:p>
    <w:p>
      <w:pPr>
        <w:pStyle w:val="3"/>
        <w:keepNext w:val="0"/>
        <w:keepLines w:val="0"/>
        <w:pageBreakBefore w:val="0"/>
        <w:kinsoku/>
        <w:wordWrap/>
        <w:overflowPunct/>
        <w:topLinePunct w:val="0"/>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r>
        <w:rPr>
          <w:rFonts w:hint="default" w:ascii="Times New Roman" w:hAnsi="Times New Roman" w:cs="Times New Roman"/>
          <w:snapToGrid w:val="0"/>
          <w:color w:val="auto"/>
          <w:sz w:val="32"/>
          <w:highlight w:val="none"/>
          <w:lang w:val="en-US" w:eastAsia="zh-CN"/>
        </w:rPr>
        <w:t>第二节 统筹港产城一体联动发展</w:t>
      </w:r>
      <w:bookmarkEnd w:id="344"/>
      <w:bookmarkEnd w:id="345"/>
    </w:p>
    <w:p>
      <w:pPr>
        <w:keepNext w:val="0"/>
        <w:keepLines w:val="0"/>
        <w:pageBreakBefore w:val="0"/>
        <w:widowControl/>
        <w:kinsoku/>
        <w:wordWrap/>
        <w:overflowPunct/>
        <w:topLinePunct w:val="0"/>
        <w:autoSpaceDE/>
        <w:autoSpaceDN/>
        <w:bidi w:val="0"/>
        <w:spacing w:line="570" w:lineRule="exact"/>
        <w:ind w:firstLine="640" w:firstLineChars="200"/>
        <w:jc w:val="left"/>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坚持“以港聚产、以港兴市”，</w:t>
      </w:r>
      <w:r>
        <w:rPr>
          <w:rFonts w:hint="default" w:ascii="Times New Roman" w:hAnsi="Times New Roman" w:eastAsia="仿宋_GB2312" w:cs="Times New Roman"/>
          <w:color w:val="auto"/>
          <w:spacing w:val="0"/>
          <w:sz w:val="32"/>
          <w:szCs w:val="32"/>
          <w:highlight w:val="none"/>
        </w:rPr>
        <w:t>实施港口设施提升工程，持续放大港口优势</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bidi="ar"/>
        </w:rPr>
        <w:t>推动港口、产业、城市整体布局、深度融合、相互赋能，</w:t>
      </w:r>
      <w:r>
        <w:rPr>
          <w:rFonts w:hint="default" w:ascii="Times New Roman" w:hAnsi="Times New Roman" w:eastAsia="仿宋_GB2312" w:cs="Times New Roman"/>
          <w:color w:val="auto"/>
          <w:spacing w:val="0"/>
          <w:sz w:val="32"/>
          <w:szCs w:val="32"/>
          <w:highlight w:val="none"/>
          <w:lang w:val="en-US" w:eastAsia="zh-CN"/>
        </w:rPr>
        <w:t>打造港产城融合发展新标杆。</w:t>
      </w:r>
    </w:p>
    <w:p>
      <w:pPr>
        <w:pStyle w:val="9"/>
        <w:keepNext w:val="0"/>
        <w:keepLines w:val="0"/>
        <w:pageBreakBefore w:val="0"/>
        <w:widowControl w:val="0"/>
        <w:kinsoku/>
        <w:wordWrap/>
        <w:overflowPunct/>
        <w:topLinePunct w:val="0"/>
        <w:autoSpaceDE w:val="0"/>
        <w:autoSpaceDN w:val="0"/>
        <w:bidi w:val="0"/>
        <w:adjustRightInd/>
        <w:snapToGrid/>
        <w:spacing w:line="570" w:lineRule="exact"/>
        <w:ind w:firstLine="640" w:firstLineChars="200"/>
        <w:textAlignment w:val="baseline"/>
        <w:rPr>
          <w:rFonts w:hint="default" w:ascii="Times New Roman" w:hAnsi="Times New Roman" w:eastAsia="仿宋_GB2312" w:cs="Times New Roman"/>
          <w:color w:val="auto"/>
          <w:kern w:val="0"/>
          <w:sz w:val="31"/>
          <w:szCs w:val="31"/>
          <w:highlight w:val="none"/>
          <w:lang w:val="en-US" w:eastAsia="zh-CN" w:bidi="ar"/>
        </w:rPr>
      </w:pPr>
      <w:r>
        <w:rPr>
          <w:rFonts w:hint="default" w:ascii="Times New Roman" w:hAnsi="Times New Roman" w:eastAsia="楷体_GB2312" w:cs="Times New Roman"/>
          <w:b w:val="0"/>
          <w:bCs w:val="0"/>
          <w:color w:val="auto"/>
          <w:spacing w:val="0"/>
          <w:kern w:val="2"/>
          <w:sz w:val="32"/>
          <w:szCs w:val="32"/>
          <w:highlight w:val="none"/>
          <w:lang w:val="en-US" w:eastAsia="zh-CN" w:bidi="ar"/>
        </w:rPr>
        <w:t>全面提升港口能级。</w:t>
      </w:r>
      <w:r>
        <w:rPr>
          <w:rFonts w:hint="default" w:ascii="Times New Roman" w:hAnsi="Times New Roman" w:eastAsia="仿宋_GB2312" w:cs="Times New Roman"/>
          <w:color w:val="auto"/>
          <w:kern w:val="0"/>
          <w:sz w:val="32"/>
          <w:szCs w:val="32"/>
          <w:highlight w:val="none"/>
          <w:lang w:val="en-US" w:eastAsia="zh-CN" w:bidi="ar"/>
        </w:rPr>
        <w:t>以“扩规模、拓功能、优服务”为核心，</w:t>
      </w:r>
      <w:r>
        <w:rPr>
          <w:rFonts w:hint="default" w:ascii="Times New Roman" w:hAnsi="Times New Roman" w:eastAsia="仿宋_GB2312" w:cs="Times New Roman"/>
          <w:b w:val="0"/>
          <w:bCs w:val="0"/>
          <w:color w:val="auto"/>
          <w:spacing w:val="0"/>
          <w:kern w:val="0"/>
          <w:sz w:val="32"/>
          <w:szCs w:val="32"/>
          <w:highlight w:val="none"/>
          <w:lang w:val="en-US" w:eastAsia="zh-CN" w:bidi="ar"/>
        </w:rPr>
        <w:t>持续</w:t>
      </w:r>
      <w:r>
        <w:rPr>
          <w:rFonts w:hint="default" w:ascii="Times New Roman" w:hAnsi="Times New Roman" w:eastAsia="仿宋_GB2312" w:cs="Times New Roman"/>
          <w:color w:val="auto"/>
          <w:kern w:val="0"/>
          <w:sz w:val="32"/>
          <w:szCs w:val="32"/>
          <w:highlight w:val="none"/>
          <w:lang w:val="en-US" w:eastAsia="zh-CN" w:bidi="ar"/>
        </w:rPr>
        <w:t>释放乳山港国家一类开放口岸综合效能，筑牢联动发展核心支撑，力争建成北方海工装备特色港与区域外贸枢纽港。</w:t>
      </w:r>
      <w:r>
        <w:rPr>
          <w:rFonts w:hint="default" w:ascii="Times New Roman" w:hAnsi="Times New Roman" w:eastAsia="仿宋_GB2312" w:cs="Times New Roman"/>
          <w:color w:val="auto"/>
          <w:sz w:val="32"/>
          <w:szCs w:val="32"/>
          <w:highlight w:val="none"/>
          <w:lang w:val="en-US" w:eastAsia="zh-CN"/>
        </w:rPr>
        <w:t>实施乳山港5#、6#多用途泊位项目建</w:t>
      </w:r>
      <w:r>
        <w:rPr>
          <w:rFonts w:hint="default" w:ascii="Times New Roman" w:hAnsi="Times New Roman" w:eastAsia="仿宋_GB2312" w:cs="Times New Roman"/>
          <w:color w:val="auto"/>
          <w:kern w:val="0"/>
          <w:sz w:val="32"/>
          <w:szCs w:val="32"/>
          <w:highlight w:val="none"/>
          <w:lang w:val="en-US" w:eastAsia="zh-CN" w:bidi="ar"/>
        </w:rPr>
        <w:t>设，谋划9#泊位—3万吨级液体散货泊位建设，</w:t>
      </w:r>
      <w:r>
        <w:rPr>
          <w:rFonts w:hint="default" w:ascii="Times New Roman" w:hAnsi="Times New Roman" w:eastAsia="仿宋_GB2312" w:cs="Times New Roman"/>
          <w:color w:val="auto"/>
          <w:sz w:val="32"/>
          <w:szCs w:val="32"/>
          <w:highlight w:val="none"/>
          <w:lang w:val="en-US" w:eastAsia="zh-CN"/>
        </w:rPr>
        <w:t>推动航道等级提升至3万吨级。</w:t>
      </w:r>
      <w:r>
        <w:rPr>
          <w:rFonts w:hint="default" w:ascii="Times New Roman" w:hAnsi="Times New Roman" w:eastAsia="仿宋_GB2312" w:cs="Times New Roman"/>
          <w:color w:val="auto"/>
          <w:kern w:val="0"/>
          <w:sz w:val="32"/>
          <w:szCs w:val="32"/>
          <w:highlight w:val="none"/>
          <w:lang w:val="en-US" w:eastAsia="zh-CN" w:bidi="ar"/>
        </w:rPr>
        <w:t>深化与青岛港、中外运等企业合作，积极争取集装箱内支线运输航线，拓展重型装备航运服务，逐步拓展至日本大阪、韩国仁川/釜山的外贸直航航线，构建公铁水多式联运体系，衔接内陆腹地物流节点，打通“内外联通、高效衔接”的集疏运链条，将船舶“流量”转化为经济“增量”。</w:t>
      </w:r>
      <w:r>
        <w:rPr>
          <w:rFonts w:hint="default" w:ascii="Times New Roman" w:hAnsi="Times New Roman" w:eastAsia="仿宋_GB2312" w:cs="Times New Roman"/>
          <w:color w:val="auto"/>
          <w:spacing w:val="0"/>
          <w:sz w:val="32"/>
          <w:szCs w:val="32"/>
          <w:highlight w:val="none"/>
        </w:rPr>
        <w:t>加快港口数字化、智能化、绿色化转型，实施航运服务能力提升行动，拓展港口航运、产业、贸易、金融等综合功能，</w:t>
      </w:r>
      <w:r>
        <w:rPr>
          <w:rFonts w:hint="default" w:ascii="Times New Roman" w:hAnsi="Times New Roman" w:eastAsia="仿宋_GB2312" w:cs="Times New Roman"/>
          <w:color w:val="auto"/>
          <w:kern w:val="0"/>
          <w:sz w:val="32"/>
          <w:szCs w:val="32"/>
          <w:highlight w:val="none"/>
          <w:lang w:val="en-US" w:eastAsia="zh-CN" w:bidi="ar"/>
        </w:rPr>
        <w:t>推动乳山港向北方海工装备特色港、零碳港口转型</w:t>
      </w:r>
      <w:r>
        <w:rPr>
          <w:rFonts w:hint="default" w:ascii="Times New Roman" w:hAnsi="Times New Roman" w:eastAsia="仿宋_GB2312" w:cs="Times New Roman"/>
          <w:color w:val="auto"/>
          <w:kern w:val="0"/>
          <w:sz w:val="31"/>
          <w:szCs w:val="31"/>
          <w:highlight w:val="none"/>
          <w:lang w:val="en-US" w:eastAsia="zh-CN" w:bidi="ar"/>
        </w:rPr>
        <w:t>。</w:t>
      </w:r>
    </w:p>
    <w:p>
      <w:pPr>
        <w:keepNext w:val="0"/>
        <w:keepLines w:val="0"/>
        <w:pageBreakBefore w:val="0"/>
        <w:kinsoku/>
        <w:wordWrap/>
        <w:overflowPunct/>
        <w:topLinePunct w:val="0"/>
        <w:bidi w:val="0"/>
        <w:adjustRightInd w:val="0"/>
        <w:snapToGrid w:val="0"/>
        <w:spacing w:line="57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b w:val="0"/>
          <w:bCs w:val="0"/>
          <w:color w:val="auto"/>
          <w:sz w:val="32"/>
          <w:szCs w:val="32"/>
          <w:highlight w:val="none"/>
          <w:lang w:val="en-US" w:eastAsia="zh-CN" w:bidi="ar"/>
        </w:rPr>
        <w:t>大力发展临港经济。</w:t>
      </w:r>
      <w:r>
        <w:rPr>
          <w:rFonts w:hint="default" w:ascii="Times New Roman" w:hAnsi="Times New Roman" w:eastAsia="仿宋_GB2312" w:cs="Times New Roman"/>
          <w:b w:val="0"/>
          <w:bCs w:val="0"/>
          <w:color w:val="auto"/>
          <w:sz w:val="32"/>
          <w:szCs w:val="32"/>
          <w:highlight w:val="none"/>
          <w:lang w:val="en-US" w:eastAsia="zh-CN" w:bidi="ar"/>
        </w:rPr>
        <w:t>依托港口资源禀赋，打造特色鲜明、能级突出的临港产业体系，实现“以港促产、产港互哺”。</w:t>
      </w:r>
      <w:r>
        <w:rPr>
          <w:rFonts w:hint="default" w:ascii="Times New Roman" w:hAnsi="Times New Roman" w:eastAsia="仿宋_GB2312" w:cs="Times New Roman"/>
          <w:color w:val="auto"/>
          <w:sz w:val="32"/>
          <w:szCs w:val="32"/>
          <w:highlight w:val="none"/>
        </w:rPr>
        <w:t>优化临港产业园规划布局，以港口物流为纽带，带动航运、商贸、临港工业和物流园区发展，打造集现代物流、临港工业、城市生活于一体的新型港区。</w:t>
      </w:r>
      <w:r>
        <w:rPr>
          <w:rFonts w:hint="default" w:ascii="Times New Roman" w:hAnsi="Times New Roman" w:eastAsia="仿宋_GB2312" w:cs="Times New Roman"/>
          <w:color w:val="auto"/>
          <w:sz w:val="32"/>
          <w:szCs w:val="32"/>
          <w:highlight w:val="none"/>
          <w:lang w:val="en-US" w:eastAsia="zh-CN"/>
        </w:rPr>
        <w:t>统筹推进陆海产业联动发展，</w:t>
      </w:r>
      <w:r>
        <w:rPr>
          <w:rFonts w:hint="default" w:ascii="Times New Roman" w:hAnsi="Times New Roman" w:eastAsia="仿宋_GB2312" w:cs="Times New Roman"/>
          <w:color w:val="auto"/>
          <w:sz w:val="32"/>
          <w:szCs w:val="32"/>
          <w:highlight w:val="none"/>
        </w:rPr>
        <w:t>引导适宜临海发展的产业向沿海集聚，布局海洋高端装备制造、海洋文旅、港口物流等产业，打造沿海产业集聚带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在市区及内陆乡镇发展海洋配套产业和现代农业，形成</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临海产业集聚、内陆腹地支撑、陆海联动发展</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的空间格局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实现</w:t>
      </w:r>
      <w:r>
        <w:rPr>
          <w:rFonts w:hint="default" w:ascii="Times New Roman" w:hAnsi="Times New Roman" w:eastAsia="仿宋_GB2312" w:cs="Times New Roman"/>
          <w:color w:val="auto"/>
          <w:sz w:val="32"/>
          <w:szCs w:val="32"/>
          <w:highlight w:val="none"/>
          <w:lang w:eastAsia="zh-CN"/>
        </w:rPr>
        <w:t>陆海</w:t>
      </w:r>
      <w:r>
        <w:rPr>
          <w:rFonts w:hint="default" w:ascii="Times New Roman" w:hAnsi="Times New Roman" w:eastAsia="仿宋_GB2312" w:cs="Times New Roman"/>
          <w:color w:val="auto"/>
          <w:sz w:val="32"/>
          <w:szCs w:val="32"/>
          <w:highlight w:val="none"/>
        </w:rPr>
        <w:t>双线双向产业链条延伸，</w:t>
      </w:r>
      <w:r>
        <w:rPr>
          <w:rFonts w:hint="default" w:ascii="Times New Roman" w:hAnsi="Times New Roman" w:eastAsia="仿宋_GB2312" w:cs="Times New Roman"/>
          <w:color w:val="auto"/>
          <w:sz w:val="32"/>
          <w:szCs w:val="32"/>
          <w:highlight w:val="none"/>
          <w:lang w:val="en-US" w:eastAsia="zh-CN"/>
        </w:rPr>
        <w:t>构建</w:t>
      </w:r>
      <w:r>
        <w:rPr>
          <w:rFonts w:hint="default" w:ascii="Times New Roman" w:hAnsi="Times New Roman" w:eastAsia="仿宋_GB2312" w:cs="Times New Roman"/>
          <w:color w:val="auto"/>
          <w:sz w:val="32"/>
          <w:szCs w:val="32"/>
          <w:highlight w:val="none"/>
          <w:lang w:eastAsia="zh-CN"/>
        </w:rPr>
        <w:t>陆海</w:t>
      </w:r>
      <w:r>
        <w:rPr>
          <w:rFonts w:hint="default" w:ascii="Times New Roman" w:hAnsi="Times New Roman" w:eastAsia="仿宋_GB2312" w:cs="Times New Roman"/>
          <w:color w:val="auto"/>
          <w:sz w:val="32"/>
          <w:szCs w:val="32"/>
          <w:highlight w:val="none"/>
        </w:rPr>
        <w:t>复合型产业体系。主动对接威海市港口一体化规划，加强与威海港、烟台港的分工协作，联动威海市内临港产业园区，打造胶东半岛临港产业协作示范带。</w:t>
      </w:r>
    </w:p>
    <w:p>
      <w:pPr>
        <w:keepNext w:val="0"/>
        <w:keepLines w:val="0"/>
        <w:pageBreakBefore w:val="0"/>
        <w:kinsoku/>
        <w:wordWrap/>
        <w:overflowPunct/>
        <w:topLinePunct w:val="0"/>
        <w:bidi w:val="0"/>
        <w:adjustRightInd w:val="0"/>
        <w:snapToGrid w:val="0"/>
        <w:spacing w:line="57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bidi="ar"/>
        </w:rPr>
        <w:t>统筹推进</w:t>
      </w:r>
      <w:r>
        <w:rPr>
          <w:rFonts w:hint="default" w:ascii="Times New Roman" w:hAnsi="Times New Roman" w:eastAsia="楷体_GB2312" w:cs="Times New Roman"/>
          <w:b w:val="0"/>
          <w:bCs w:val="0"/>
          <w:color w:val="auto"/>
          <w:sz w:val="32"/>
          <w:szCs w:val="32"/>
          <w:highlight w:val="none"/>
          <w:lang w:val="en-US" w:eastAsia="zh-CN" w:bidi="ar"/>
        </w:rPr>
        <w:t>港城</w:t>
      </w:r>
      <w:r>
        <w:rPr>
          <w:rFonts w:hint="default" w:ascii="Times New Roman" w:hAnsi="Times New Roman" w:eastAsia="楷体_GB2312" w:cs="Times New Roman"/>
          <w:b w:val="0"/>
          <w:bCs w:val="0"/>
          <w:color w:val="auto"/>
          <w:sz w:val="32"/>
          <w:szCs w:val="32"/>
          <w:highlight w:val="none"/>
          <w:lang w:bidi="ar"/>
        </w:rPr>
        <w:t>联动发展</w:t>
      </w:r>
      <w:r>
        <w:rPr>
          <w:rFonts w:hint="default" w:ascii="Times New Roman" w:hAnsi="Times New Roman" w:eastAsia="楷体_GB2312" w:cs="Times New Roman"/>
          <w:b w:val="0"/>
          <w:bCs w:val="0"/>
          <w:color w:val="auto"/>
          <w:sz w:val="32"/>
          <w:szCs w:val="32"/>
          <w:highlight w:val="none"/>
          <w:lang w:eastAsia="zh-CN" w:bidi="ar"/>
        </w:rPr>
        <w:t>。</w:t>
      </w:r>
      <w:r>
        <w:rPr>
          <w:rFonts w:hint="default" w:ascii="Times New Roman" w:hAnsi="Times New Roman" w:eastAsia="仿宋_GB2312" w:cs="Times New Roman"/>
          <w:b w:val="0"/>
          <w:bCs w:val="0"/>
          <w:color w:val="auto"/>
          <w:sz w:val="32"/>
          <w:szCs w:val="32"/>
          <w:highlight w:val="none"/>
          <w:lang w:eastAsia="zh-CN" w:bidi="ar"/>
        </w:rPr>
        <w:t>以精致城市建设为抓手，推动城市功能与港口、产业需求精准匹配，实现“以城兴港、以港聚人”。统筹港区作业区、临港产业园、城市服务带梯度规划，打造“乳山港－临港产业园－乳山口镇”融合发展核心片区，推进港口周边城镇功能升级，将产业发展与乡村振兴结合，激活城乡协同发展动能。串联渔港经济区、牡蛎产业示范区与滨海旅游资源，建设港口物流商务集聚区，增强城市要素集聚能力。配套建设临港产业人才公寓、商业综合体、休闲公园，提升港城联动发展的宜居性与吸引力，</w:t>
      </w:r>
      <w:r>
        <w:rPr>
          <w:rFonts w:hint="default" w:ascii="Times New Roman" w:hAnsi="Times New Roman" w:eastAsia="仿宋_GB2312" w:cs="Times New Roman"/>
          <w:b w:val="0"/>
          <w:bCs w:val="0"/>
          <w:color w:val="auto"/>
          <w:spacing w:val="0"/>
          <w:kern w:val="2"/>
          <w:sz w:val="32"/>
          <w:szCs w:val="32"/>
          <w:highlight w:val="none"/>
          <w:lang w:val="en-US" w:eastAsia="zh-CN" w:bidi="ar"/>
        </w:rPr>
        <w:t>打造“港产城”融合发展新局面</w:t>
      </w:r>
      <w:r>
        <w:rPr>
          <w:rFonts w:hint="default" w:ascii="Times New Roman" w:hAnsi="Times New Roman" w:eastAsia="仿宋_GB2312" w:cs="Times New Roman"/>
          <w:color w:val="auto"/>
          <w:sz w:val="32"/>
          <w:szCs w:val="32"/>
          <w:highlight w:val="none"/>
          <w:lang w:eastAsia="zh-CN"/>
        </w:rPr>
        <w:t>。</w:t>
      </w:r>
    </w:p>
    <w:bookmarkEnd w:id="335"/>
    <w:bookmarkEnd w:id="340"/>
    <w:bookmarkEnd w:id="341"/>
    <w:bookmarkEnd w:id="342"/>
    <w:bookmarkEnd w:id="343"/>
    <w:tbl>
      <w:tblPr>
        <w:tblStyle w:val="19"/>
        <w:tblW w:w="0" w:type="auto"/>
        <w:tblInd w:w="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8" w:type="dxa"/>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kern w:val="0"/>
                <w:sz w:val="31"/>
                <w:szCs w:val="31"/>
                <w:highlight w:val="none"/>
                <w:vertAlign w:val="baseline"/>
                <w:lang w:val="en-US" w:eastAsia="zh-CN" w:bidi="ar"/>
              </w:rPr>
            </w:pPr>
            <w:r>
              <w:rPr>
                <w:rFonts w:hint="default" w:ascii="Times New Roman" w:hAnsi="Times New Roman" w:eastAsia="黑体" w:cs="Times New Roman"/>
                <w:b w:val="0"/>
                <w:bCs w:val="0"/>
                <w:color w:val="auto"/>
                <w:sz w:val="28"/>
                <w:szCs w:val="28"/>
                <w:highlight w:val="none"/>
                <w:vertAlign w:val="baseline"/>
                <w:lang w:val="en-US" w:eastAsia="zh-CN"/>
              </w:rPr>
              <w:t>专栏16：港口建设重点项目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98" w:type="dxa"/>
          </w:tcPr>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eastAsia="仿宋_GB2312" w:cs="Times New Roman"/>
                <w:color w:val="auto"/>
                <w:kern w:val="0"/>
                <w:sz w:val="31"/>
                <w:szCs w:val="31"/>
                <w:highlight w:val="none"/>
                <w:vertAlign w:val="baseline"/>
                <w:lang w:val="en-US" w:eastAsia="zh-CN" w:bidi="ar"/>
              </w:rPr>
            </w:pPr>
            <w:r>
              <w:rPr>
                <w:rFonts w:hint="default" w:ascii="Times New Roman" w:hAnsi="Times New Roman" w:eastAsia="仿宋_GB2312" w:cs="Times New Roman"/>
                <w:b w:val="0"/>
                <w:bCs w:val="0"/>
                <w:color w:val="auto"/>
                <w:kern w:val="44"/>
                <w:sz w:val="28"/>
                <w:szCs w:val="28"/>
                <w:highlight w:val="none"/>
                <w:lang w:val="en-US" w:eastAsia="zh-CN" w:bidi="ar-SA"/>
              </w:rPr>
              <w:t>威海港乳山口港区5#6#泊位工程，威海港乳山口港区9#液体散货泊位工程，威海港乳山口港区航道改扩建工程，和尚洞渔港升级改造项目，乳山口渔港升级改造项目等。</w:t>
            </w:r>
          </w:p>
        </w:tc>
      </w:tr>
    </w:tbl>
    <w:p>
      <w:pPr>
        <w:pStyle w:val="3"/>
        <w:keepNext w:val="0"/>
        <w:keepLines w:val="0"/>
        <w:pageBreakBefore w:val="0"/>
        <w:widowControl w:val="0"/>
        <w:kinsoku/>
        <w:wordWrap/>
        <w:topLinePunct w:val="0"/>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346" w:name="_Toc15816"/>
      <w:bookmarkStart w:id="347" w:name="_Toc21103"/>
      <w:bookmarkStart w:id="348" w:name="_Toc9951"/>
      <w:bookmarkStart w:id="349" w:name="_Toc31569"/>
      <w:bookmarkStart w:id="350" w:name="_Toc16054"/>
      <w:bookmarkStart w:id="351" w:name="_Toc15302"/>
      <w:bookmarkStart w:id="352" w:name="_Toc4378"/>
      <w:r>
        <w:rPr>
          <w:rFonts w:hint="default" w:ascii="Times New Roman" w:hAnsi="Times New Roman" w:cs="Times New Roman"/>
          <w:snapToGrid w:val="0"/>
          <w:color w:val="auto"/>
          <w:sz w:val="32"/>
          <w:highlight w:val="none"/>
          <w:lang w:val="en-US" w:eastAsia="zh-CN"/>
        </w:rPr>
        <w:t>第三节 建设人海和谐美丽海洋</w:t>
      </w:r>
      <w:bookmarkEnd w:id="346"/>
      <w:bookmarkEnd w:id="347"/>
      <w:bookmarkEnd w:id="348"/>
      <w:bookmarkEnd w:id="349"/>
      <w:bookmarkEnd w:id="350"/>
      <w:bookmarkEnd w:id="351"/>
      <w:bookmarkEnd w:id="352"/>
    </w:p>
    <w:p>
      <w:pPr>
        <w:pStyle w:val="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0" w:lineRule="exact"/>
        <w:ind w:firstLine="640" w:firstLineChars="200"/>
        <w:textAlignment w:val="baseline"/>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spacing w:val="0"/>
          <w:sz w:val="32"/>
          <w:szCs w:val="32"/>
          <w:highlight w:val="none"/>
        </w:rPr>
        <w:t>坚持开发和保护并重、污染防治和生态修复并举，</w:t>
      </w:r>
      <w:r>
        <w:rPr>
          <w:rFonts w:hint="default" w:ascii="Times New Roman" w:hAnsi="Times New Roman" w:eastAsia="仿宋_GB2312" w:cs="Times New Roman"/>
          <w:color w:val="auto"/>
          <w:kern w:val="2"/>
          <w:sz w:val="32"/>
          <w:szCs w:val="32"/>
          <w:highlight w:val="none"/>
        </w:rPr>
        <w:t>推进蓝色海湾、和美海岛建设，</w:t>
      </w:r>
      <w:r>
        <w:rPr>
          <w:rFonts w:hint="default" w:ascii="Times New Roman" w:hAnsi="Times New Roman" w:eastAsia="仿宋_GB2312" w:cs="Times New Roman"/>
          <w:color w:val="auto"/>
          <w:spacing w:val="0"/>
          <w:sz w:val="32"/>
          <w:szCs w:val="32"/>
          <w:highlight w:val="none"/>
        </w:rPr>
        <w:t>打造水清、滩净、岸绿、湾美、岛丽的和谐海洋。</w:t>
      </w:r>
    </w:p>
    <w:p>
      <w:pPr>
        <w:pStyle w:val="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0" w:lineRule="exact"/>
        <w:ind w:firstLine="640" w:firstLineChars="200"/>
        <w:textAlignment w:val="baseline"/>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b w:val="0"/>
          <w:bCs w:val="0"/>
          <w:color w:val="auto"/>
          <w:sz w:val="32"/>
          <w:szCs w:val="32"/>
          <w:highlight w:val="none"/>
          <w:lang w:val="en-US" w:eastAsia="zh-CN" w:bidi="ar"/>
        </w:rPr>
        <w:t>加强海洋生态保护与修复</w:t>
      </w:r>
      <w:r>
        <w:rPr>
          <w:rFonts w:hint="default" w:ascii="Times New Roman" w:hAnsi="Times New Roman" w:eastAsia="楷体_GB2312" w:cs="Times New Roman"/>
          <w:b w:val="0"/>
          <w:bCs w:val="0"/>
          <w:color w:val="auto"/>
          <w:sz w:val="32"/>
          <w:szCs w:val="32"/>
          <w:highlight w:val="none"/>
          <w:lang w:eastAsia="zh-CN" w:bidi="ar"/>
        </w:rPr>
        <w:t>。</w:t>
      </w:r>
      <w:r>
        <w:rPr>
          <w:rFonts w:hint="default" w:ascii="Times New Roman" w:hAnsi="Times New Roman" w:eastAsia="仿宋_GB2312" w:cs="Times New Roman"/>
          <w:color w:val="auto"/>
          <w:sz w:val="32"/>
          <w:szCs w:val="32"/>
          <w:highlight w:val="none"/>
        </w:rPr>
        <w:t>严格落实海岸带综合保护与利用规划</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海岸建筑退缩线、生态保护红线、城镇开发边界，优化陆海空间开发格局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加强自然岸线以及生态恢复岸线的保护与监管，</w:t>
      </w:r>
      <w:r>
        <w:rPr>
          <w:rFonts w:hint="default" w:ascii="Times New Roman" w:hAnsi="Times New Roman" w:eastAsia="仿宋_GB2312" w:cs="Times New Roman"/>
          <w:color w:val="auto"/>
          <w:sz w:val="32"/>
          <w:szCs w:val="32"/>
          <w:highlight w:val="none"/>
        </w:rPr>
        <w:t>开展沙滩养护、岸线整治等工程</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提升白沙口潟湖、乳山湾等滨海湿地的生态系统状况，持续推进乳山湾东流、大乳山及海阳所东部岸段治理修复，提高海岸的防灾减灾能力，维护岸线的稳定性和生态功能。拓宽海洋生态保护治理资金筹措渠道，引导涉海项目生态修复资金、社会公益资金投入海洋生态保护治理。常态化开展海洋生态预警监测工作，加大对养殖区的监测力度，为牡蛎的安全生产保驾护航。</w:t>
      </w:r>
    </w:p>
    <w:p>
      <w:pPr>
        <w:keepNext w:val="0"/>
        <w:keepLines w:val="0"/>
        <w:pageBreakBefore w:val="0"/>
        <w:widowControl w:val="0"/>
        <w:kinsoku/>
        <w:wordWrap/>
        <w:topLinePunct w:val="0"/>
        <w:bidi w:val="0"/>
        <w:adjustRightInd w:val="0"/>
        <w:snapToGrid w:val="0"/>
        <w:spacing w:line="570" w:lineRule="exact"/>
        <w:ind w:firstLine="640" w:firstLineChars="200"/>
        <w:rPr>
          <w:rFonts w:hint="default" w:ascii="Times New Roman" w:hAnsi="Times New Roman" w:eastAsia="仿宋_GB2312" w:cs="Times New Roman"/>
          <w:b w:val="0"/>
          <w:bCs w:val="0"/>
          <w:color w:val="auto"/>
          <w:sz w:val="32"/>
          <w:szCs w:val="32"/>
          <w:highlight w:val="none"/>
          <w:lang w:bidi="ar"/>
        </w:rPr>
      </w:pPr>
      <w:r>
        <w:rPr>
          <w:rFonts w:hint="default" w:ascii="Times New Roman" w:hAnsi="Times New Roman" w:eastAsia="楷体_GB2312" w:cs="Times New Roman"/>
          <w:b w:val="0"/>
          <w:bCs w:val="0"/>
          <w:color w:val="auto"/>
          <w:sz w:val="32"/>
          <w:szCs w:val="32"/>
          <w:highlight w:val="none"/>
          <w:lang w:bidi="ar"/>
        </w:rPr>
        <w:t>厚植海洋生态文化底蕴。</w:t>
      </w:r>
      <w:r>
        <w:rPr>
          <w:rFonts w:hint="default" w:ascii="Times New Roman" w:hAnsi="Times New Roman" w:eastAsia="仿宋_GB2312" w:cs="Times New Roman"/>
          <w:b w:val="0"/>
          <w:bCs w:val="0"/>
          <w:color w:val="auto"/>
          <w:sz w:val="32"/>
          <w:szCs w:val="32"/>
          <w:highlight w:val="none"/>
          <w:lang w:bidi="ar"/>
        </w:rPr>
        <w:t>以提升全民海洋生态保护意识为核心，构建</w:t>
      </w:r>
      <w:r>
        <w:rPr>
          <w:rFonts w:hint="default" w:ascii="Times New Roman" w:hAnsi="Times New Roman" w:eastAsia="仿宋_GB2312" w:cs="Times New Roman"/>
          <w:b w:val="0"/>
          <w:bCs w:val="0"/>
          <w:color w:val="auto"/>
          <w:sz w:val="32"/>
          <w:szCs w:val="32"/>
          <w:highlight w:val="none"/>
          <w:lang w:eastAsia="zh-CN" w:bidi="ar"/>
        </w:rPr>
        <w:t>“</w:t>
      </w:r>
      <w:r>
        <w:rPr>
          <w:rFonts w:hint="default" w:ascii="Times New Roman" w:hAnsi="Times New Roman" w:eastAsia="仿宋_GB2312" w:cs="Times New Roman"/>
          <w:b w:val="0"/>
          <w:bCs w:val="0"/>
          <w:color w:val="auto"/>
          <w:sz w:val="32"/>
          <w:szCs w:val="32"/>
          <w:highlight w:val="none"/>
          <w:lang w:bidi="ar"/>
        </w:rPr>
        <w:t>教育+传播+实践</w:t>
      </w:r>
      <w:r>
        <w:rPr>
          <w:rFonts w:hint="default" w:ascii="Times New Roman" w:hAnsi="Times New Roman" w:eastAsia="仿宋_GB2312" w:cs="Times New Roman"/>
          <w:b w:val="0"/>
          <w:bCs w:val="0"/>
          <w:color w:val="auto"/>
          <w:sz w:val="32"/>
          <w:szCs w:val="32"/>
          <w:highlight w:val="none"/>
          <w:lang w:eastAsia="zh-CN" w:bidi="ar"/>
        </w:rPr>
        <w:t>”</w:t>
      </w:r>
      <w:r>
        <w:rPr>
          <w:rFonts w:hint="default" w:ascii="Times New Roman" w:hAnsi="Times New Roman" w:eastAsia="仿宋_GB2312" w:cs="Times New Roman"/>
          <w:b w:val="0"/>
          <w:bCs w:val="0"/>
          <w:color w:val="auto"/>
          <w:sz w:val="32"/>
          <w:szCs w:val="32"/>
          <w:highlight w:val="none"/>
          <w:lang w:bidi="ar"/>
        </w:rPr>
        <w:t>三位一体的海洋生态文化培育体系。依托大乳山滨海旅游度假区、乳山牡蛎产业示范区等载体，建设海洋生态科普教育基地，开设海洋保护专题展厅、科普课堂，面向中小学生、沿海居民及游客开展岸线保护、海洋生物多样性等主题宣传教育。打造海洋生态文化品牌活动，举办牡蛎文化节、蓝色海湾生态论坛等特色活动，融入生态保护理念，推动海洋文化与生态旅游深度融合。健全公众参与机制，搭建海洋生态保护志愿服务平台，鼓励社会力量参与岸线清洁、湿地管护、增殖放流等公益活动，营造</w:t>
      </w:r>
      <w:r>
        <w:rPr>
          <w:rFonts w:hint="default" w:ascii="Times New Roman" w:hAnsi="Times New Roman" w:eastAsia="仿宋_GB2312" w:cs="Times New Roman"/>
          <w:b w:val="0"/>
          <w:bCs w:val="0"/>
          <w:color w:val="auto"/>
          <w:sz w:val="32"/>
          <w:szCs w:val="32"/>
          <w:highlight w:val="none"/>
          <w:lang w:eastAsia="zh-CN" w:bidi="ar"/>
        </w:rPr>
        <w:t>“</w:t>
      </w:r>
      <w:r>
        <w:rPr>
          <w:rFonts w:hint="default" w:ascii="Times New Roman" w:hAnsi="Times New Roman" w:eastAsia="仿宋_GB2312" w:cs="Times New Roman"/>
          <w:b w:val="0"/>
          <w:bCs w:val="0"/>
          <w:color w:val="auto"/>
          <w:sz w:val="32"/>
          <w:szCs w:val="32"/>
          <w:highlight w:val="none"/>
          <w:lang w:bidi="ar"/>
        </w:rPr>
        <w:t>人人关心海洋、人人保护海洋</w:t>
      </w:r>
      <w:r>
        <w:rPr>
          <w:rFonts w:hint="default" w:ascii="Times New Roman" w:hAnsi="Times New Roman" w:eastAsia="仿宋_GB2312" w:cs="Times New Roman"/>
          <w:b w:val="0"/>
          <w:bCs w:val="0"/>
          <w:color w:val="auto"/>
          <w:sz w:val="32"/>
          <w:szCs w:val="32"/>
          <w:highlight w:val="none"/>
          <w:lang w:eastAsia="zh-CN" w:bidi="ar"/>
        </w:rPr>
        <w:t>”</w:t>
      </w:r>
      <w:r>
        <w:rPr>
          <w:rFonts w:hint="default" w:ascii="Times New Roman" w:hAnsi="Times New Roman" w:eastAsia="仿宋_GB2312" w:cs="Times New Roman"/>
          <w:b w:val="0"/>
          <w:bCs w:val="0"/>
          <w:color w:val="auto"/>
          <w:sz w:val="32"/>
          <w:szCs w:val="32"/>
          <w:highlight w:val="none"/>
          <w:lang w:bidi="ar"/>
        </w:rPr>
        <w:t>的良好氛围。</w:t>
      </w:r>
    </w:p>
    <w:p>
      <w:pPr>
        <w:keepNext w:val="0"/>
        <w:keepLines w:val="0"/>
        <w:pageBreakBefore w:val="0"/>
        <w:widowControl w:val="0"/>
        <w:kinsoku/>
        <w:wordWrap/>
        <w:topLinePunct w:val="0"/>
        <w:bidi w:val="0"/>
        <w:adjustRightInd w:val="0"/>
        <w:snapToGrid w:val="0"/>
        <w:spacing w:line="570" w:lineRule="exact"/>
        <w:ind w:firstLine="640" w:firstLineChars="200"/>
        <w:rPr>
          <w:rFonts w:hint="default" w:ascii="Times New Roman" w:hAnsi="Times New Roman" w:cs="Times New Roman"/>
          <w:color w:val="auto"/>
          <w:highlight w:val="none"/>
        </w:rPr>
      </w:pPr>
      <w:r>
        <w:rPr>
          <w:rFonts w:hint="default" w:ascii="Times New Roman" w:hAnsi="Times New Roman" w:eastAsia="楷体_GB2312" w:cs="Times New Roman"/>
          <w:b w:val="0"/>
          <w:bCs w:val="0"/>
          <w:color w:val="auto"/>
          <w:sz w:val="32"/>
          <w:szCs w:val="32"/>
          <w:highlight w:val="none"/>
          <w:lang w:bidi="ar"/>
        </w:rPr>
        <w:t>提升海洋资源利用水平</w:t>
      </w:r>
      <w:r>
        <w:rPr>
          <w:rFonts w:hint="default" w:ascii="Times New Roman" w:hAnsi="Times New Roman" w:eastAsia="楷体_GB2312" w:cs="Times New Roman"/>
          <w:b w:val="0"/>
          <w:bCs w:val="0"/>
          <w:color w:val="auto"/>
          <w:sz w:val="32"/>
          <w:szCs w:val="32"/>
          <w:highlight w:val="none"/>
          <w:lang w:eastAsia="zh-CN" w:bidi="ar"/>
        </w:rPr>
        <w:t>。</w:t>
      </w:r>
      <w:r>
        <w:rPr>
          <w:rStyle w:val="29"/>
          <w:rFonts w:hint="default" w:ascii="Times New Roman" w:hAnsi="Times New Roman" w:eastAsia="仿宋_GB2312" w:cs="Times New Roman"/>
          <w:color w:val="auto"/>
          <w:highlight w:val="none"/>
          <w:lang w:eastAsia="zh-CN"/>
        </w:rPr>
        <w:t>健全海洋资源开发保护制度，</w:t>
      </w:r>
      <w:r>
        <w:rPr>
          <w:rStyle w:val="29"/>
          <w:rFonts w:hint="default" w:ascii="Times New Roman" w:hAnsi="Times New Roman" w:cs="Times New Roman"/>
          <w:color w:val="auto"/>
          <w:highlight w:val="none"/>
        </w:rPr>
        <w:t>高效开发海洋生物资源，提高海洋生物资源产业化能力。推动海洋渔业由</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捕养为主</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向</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养殖</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加工</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服务</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全产业链延伸，提升海洋渔业附加值。</w:t>
      </w:r>
      <w:r>
        <w:rPr>
          <w:rFonts w:hint="default" w:ascii="Times New Roman" w:hAnsi="Times New Roman" w:eastAsia="仿宋_GB2312" w:cs="Times New Roman"/>
          <w:color w:val="auto"/>
          <w:kern w:val="2"/>
          <w:sz w:val="32"/>
          <w:szCs w:val="32"/>
          <w:highlight w:val="none"/>
          <w:lang w:val="en-US" w:eastAsia="zh-CN" w:bidi="ar-SA"/>
        </w:rPr>
        <w:t>提高浒苔治理能力，实行“海上拦截网+海上自动化打捞装备+岸上机械化收集+无害及资源化处置”治理模式，支持企业开展浒苔资源化利用。</w:t>
      </w:r>
      <w:r>
        <w:rPr>
          <w:rStyle w:val="29"/>
          <w:rFonts w:hint="default" w:ascii="Times New Roman" w:hAnsi="Times New Roman" w:cs="Times New Roman"/>
          <w:color w:val="auto"/>
          <w:highlight w:val="none"/>
        </w:rPr>
        <w:t>加快海上风电、潮汐能、波浪能等海洋可再生能源开发，合理开发利用沿海滩涂、海岛等空间资源，严格保护海洋生态空间，控制围填海规模，实现海洋空间资源可持续利用。</w:t>
      </w:r>
    </w:p>
    <w:p>
      <w:pPr>
        <w:keepNext w:val="0"/>
        <w:keepLines w:val="0"/>
        <w:pageBreakBefore w:val="0"/>
        <w:widowControl w:val="0"/>
        <w:kinsoku/>
        <w:wordWrap/>
        <w:topLinePunct w:val="0"/>
        <w:bidi w:val="0"/>
        <w:adjustRightInd/>
        <w:snapToGrid/>
        <w:spacing w:line="560" w:lineRule="exact"/>
        <w:ind w:firstLine="0" w:firstLineChars="0"/>
        <w:rPr>
          <w:rStyle w:val="29"/>
          <w:rFonts w:hint="default" w:ascii="Times New Roman" w:hAnsi="Times New Roman" w:cs="Times New Roman"/>
          <w:color w:val="auto"/>
          <w:highlight w:val="none"/>
        </w:rPr>
      </w:pPr>
      <w:r>
        <w:rPr>
          <w:rStyle w:val="29"/>
          <w:rFonts w:hint="default" w:ascii="Times New Roman" w:hAnsi="Times New Roman" w:cs="Times New Roman"/>
          <w:color w:val="auto"/>
          <w:highlight w:val="none"/>
        </w:rPr>
        <w:br w:type="page"/>
      </w:r>
    </w:p>
    <w:p>
      <w:pPr>
        <w:pStyle w:val="2"/>
        <w:pageBreakBefore w:val="0"/>
        <w:kinsoku/>
        <w:wordWrap/>
        <w:overflowPunct/>
        <w:topLinePunct w:val="0"/>
        <w:bidi w:val="0"/>
        <w:spacing w:before="100" w:beforeLines="100" w:after="100" w:afterLines="100" w:line="570" w:lineRule="exact"/>
        <w:jc w:val="center"/>
        <w:rPr>
          <w:rFonts w:hint="default" w:ascii="Times New Roman" w:hAnsi="Times New Roman" w:eastAsia="黑体" w:cs="Times New Roman"/>
          <w:b w:val="0"/>
          <w:bCs w:val="0"/>
          <w:color w:val="auto"/>
          <w:sz w:val="32"/>
          <w:szCs w:val="32"/>
          <w:highlight w:val="none"/>
          <w:lang w:val="en-US" w:eastAsia="zh-CN"/>
        </w:rPr>
      </w:pPr>
      <w:bookmarkStart w:id="353" w:name="_Toc1175"/>
      <w:bookmarkStart w:id="354" w:name="_Toc17485"/>
      <w:bookmarkStart w:id="355" w:name="_Toc28383"/>
      <w:bookmarkStart w:id="356" w:name="_Toc18626"/>
      <w:bookmarkStart w:id="357" w:name="_Toc16738"/>
      <w:bookmarkStart w:id="358" w:name="_Toc23814"/>
      <w:bookmarkStart w:id="359" w:name="_Toc24204"/>
      <w:bookmarkStart w:id="360" w:name="_Toc14579"/>
      <w:bookmarkStart w:id="361" w:name="_Toc32447"/>
      <w:bookmarkStart w:id="362" w:name="_Toc30965"/>
      <w:r>
        <w:rPr>
          <w:rFonts w:hint="default" w:ascii="Times New Roman" w:hAnsi="Times New Roman" w:eastAsia="黑体" w:cs="Times New Roman"/>
          <w:b w:val="0"/>
          <w:bCs w:val="0"/>
          <w:color w:val="auto"/>
          <w:sz w:val="32"/>
          <w:szCs w:val="32"/>
          <w:highlight w:val="none"/>
          <w:lang w:val="en-US" w:eastAsia="zh-CN"/>
        </w:rPr>
        <w:t>第十章 强化生态文明示范，</w:t>
      </w:r>
      <w:bookmarkEnd w:id="353"/>
      <w:bookmarkEnd w:id="354"/>
      <w:bookmarkEnd w:id="355"/>
      <w:bookmarkEnd w:id="356"/>
      <w:bookmarkEnd w:id="357"/>
      <w:r>
        <w:rPr>
          <w:rFonts w:hint="default" w:ascii="Times New Roman" w:hAnsi="Times New Roman" w:eastAsia="黑体" w:cs="Times New Roman"/>
          <w:b w:val="0"/>
          <w:bCs w:val="0"/>
          <w:color w:val="auto"/>
          <w:sz w:val="32"/>
          <w:szCs w:val="32"/>
          <w:highlight w:val="none"/>
          <w:lang w:val="en-US" w:eastAsia="zh-CN"/>
        </w:rPr>
        <w:t>建设山海相依“美丽乳山</w:t>
      </w:r>
      <w:bookmarkEnd w:id="358"/>
      <w:r>
        <w:rPr>
          <w:rFonts w:hint="default" w:ascii="Times New Roman" w:hAnsi="Times New Roman" w:eastAsia="黑体" w:cs="Times New Roman"/>
          <w:b w:val="0"/>
          <w:bCs w:val="0"/>
          <w:color w:val="auto"/>
          <w:sz w:val="32"/>
          <w:szCs w:val="32"/>
          <w:highlight w:val="none"/>
          <w:lang w:val="en-US" w:eastAsia="zh-CN"/>
        </w:rPr>
        <w:t>”</w:t>
      </w:r>
    </w:p>
    <w:p>
      <w:pPr>
        <w:pStyle w:val="9"/>
        <w:keepNext w:val="0"/>
        <w:keepLines w:val="0"/>
        <w:pageBreakBefore w:val="0"/>
        <w:widowControl/>
        <w:kinsoku/>
        <w:wordWrap/>
        <w:overflowPunct/>
        <w:topLinePunct w:val="0"/>
        <w:autoSpaceDE w:val="0"/>
        <w:autoSpaceDN w:val="0"/>
        <w:bidi w:val="0"/>
        <w:adjustRightInd w:val="0"/>
        <w:snapToGrid w:val="0"/>
        <w:spacing w:line="570" w:lineRule="exact"/>
        <w:ind w:left="0" w:firstLine="640" w:firstLineChars="200"/>
        <w:jc w:val="both"/>
        <w:textAlignment w:val="baseline"/>
        <w:rPr>
          <w:rFonts w:hint="default" w:ascii="Times New Roman" w:hAnsi="Times New Roman" w:eastAsia="仿宋_GB2312" w:cs="Times New Roman"/>
          <w:color w:val="auto"/>
          <w:spacing w:val="0"/>
          <w:sz w:val="32"/>
          <w:szCs w:val="32"/>
          <w:highlight w:val="none"/>
          <w:lang w:eastAsia="zh-CN"/>
        </w:rPr>
      </w:pPr>
      <w:bookmarkStart w:id="363" w:name="_Toc6507"/>
      <w:r>
        <w:rPr>
          <w:rFonts w:hint="default" w:ascii="Times New Roman" w:hAnsi="Times New Roman" w:eastAsia="仿宋_GB2312" w:cs="Times New Roman"/>
          <w:b w:val="0"/>
          <w:bCs w:val="0"/>
          <w:color w:val="auto"/>
          <w:sz w:val="32"/>
          <w:szCs w:val="32"/>
          <w:highlight w:val="none"/>
          <w:lang w:val="en-US" w:eastAsia="zh-CN"/>
        </w:rPr>
        <w:t>牢固树立和践行“绿水青山就是金山银山”理念，</w:t>
      </w:r>
      <w:r>
        <w:rPr>
          <w:rFonts w:hint="default" w:ascii="Times New Roman" w:hAnsi="Times New Roman" w:eastAsia="仿宋_GB2312" w:cs="Times New Roman"/>
          <w:color w:val="auto"/>
          <w:spacing w:val="0"/>
          <w:sz w:val="32"/>
          <w:szCs w:val="32"/>
          <w:highlight w:val="none"/>
          <w:lang w:eastAsia="zh-CN"/>
        </w:rPr>
        <w:t>坚持人口资源环境相协调、经济社会生态效益相统一，以碳达峰碳中和为牵引，</w:t>
      </w:r>
      <w:r>
        <w:rPr>
          <w:rFonts w:hint="default" w:ascii="Times New Roman" w:hAnsi="Times New Roman" w:eastAsia="仿宋_GB2312" w:cs="Times New Roman"/>
          <w:color w:val="auto"/>
          <w:spacing w:val="0"/>
          <w:sz w:val="32"/>
          <w:szCs w:val="32"/>
          <w:highlight w:val="none"/>
          <w:lang w:val="en-US" w:eastAsia="zh-CN"/>
        </w:rPr>
        <w:t>系统构建</w:t>
      </w:r>
      <w:r>
        <w:rPr>
          <w:rFonts w:hint="default" w:ascii="Times New Roman" w:hAnsi="Times New Roman" w:eastAsia="仿宋_GB2312" w:cs="Times New Roman"/>
          <w:color w:val="auto"/>
          <w:spacing w:val="0"/>
          <w:sz w:val="32"/>
          <w:szCs w:val="32"/>
          <w:highlight w:val="none"/>
          <w:lang w:eastAsia="zh-CN"/>
        </w:rPr>
        <w:t>新型能源体系，协同推进降碳、减污、扩绿、增长，筑牢生态安全屏障，加快形成人与自然和谐共生的美丽</w:t>
      </w:r>
      <w:r>
        <w:rPr>
          <w:rFonts w:hint="default" w:ascii="Times New Roman" w:hAnsi="Times New Roman" w:eastAsia="仿宋_GB2312" w:cs="Times New Roman"/>
          <w:color w:val="auto"/>
          <w:spacing w:val="0"/>
          <w:sz w:val="32"/>
          <w:szCs w:val="32"/>
          <w:highlight w:val="none"/>
          <w:lang w:val="en-US" w:eastAsia="zh-CN"/>
        </w:rPr>
        <w:t>乳山</w:t>
      </w:r>
      <w:r>
        <w:rPr>
          <w:rFonts w:hint="default" w:ascii="Times New Roman" w:hAnsi="Times New Roman" w:eastAsia="仿宋_GB2312" w:cs="Times New Roman"/>
          <w:color w:val="auto"/>
          <w:spacing w:val="0"/>
          <w:sz w:val="32"/>
          <w:szCs w:val="32"/>
          <w:highlight w:val="none"/>
          <w:lang w:eastAsia="zh-CN"/>
        </w:rPr>
        <w:t>建设新格局。</w:t>
      </w:r>
    </w:p>
    <w:p>
      <w:pPr>
        <w:pStyle w:val="3"/>
        <w:keepNext w:val="0"/>
        <w:keepLines w:val="0"/>
        <w:pageBreakBefore w:val="0"/>
        <w:kinsoku/>
        <w:wordWrap/>
        <w:overflowPunct/>
        <w:topLinePunct w:val="0"/>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364" w:name="_Toc30902"/>
      <w:bookmarkStart w:id="365" w:name="_Toc31217"/>
      <w:bookmarkStart w:id="366" w:name="_Toc11958"/>
      <w:bookmarkStart w:id="367" w:name="_Toc22185"/>
      <w:bookmarkStart w:id="368" w:name="_Toc7929"/>
      <w:bookmarkStart w:id="369" w:name="_Toc7920"/>
      <w:bookmarkStart w:id="370" w:name="_Toc15314"/>
      <w:bookmarkStart w:id="371" w:name="_Toc10441"/>
      <w:r>
        <w:rPr>
          <w:rFonts w:hint="default" w:ascii="Times New Roman" w:hAnsi="Times New Roman" w:cs="Times New Roman"/>
          <w:snapToGrid w:val="0"/>
          <w:color w:val="auto"/>
          <w:sz w:val="32"/>
          <w:highlight w:val="none"/>
          <w:lang w:val="en-US" w:eastAsia="zh-CN"/>
        </w:rPr>
        <w:t>第一节 积极稳妥推进碳达峰</w:t>
      </w:r>
      <w:bookmarkEnd w:id="363"/>
      <w:bookmarkEnd w:id="364"/>
      <w:bookmarkEnd w:id="365"/>
      <w:bookmarkEnd w:id="366"/>
      <w:bookmarkEnd w:id="367"/>
      <w:bookmarkEnd w:id="368"/>
      <w:bookmarkEnd w:id="369"/>
      <w:bookmarkEnd w:id="370"/>
      <w:bookmarkEnd w:id="371"/>
    </w:p>
    <w:p>
      <w:pPr>
        <w:keepNext w:val="0"/>
        <w:keepLines w:val="0"/>
        <w:pageBreakBefore w:val="0"/>
        <w:widowControl w:val="0"/>
        <w:kinsoku/>
        <w:wordWrap/>
        <w:overflowPunct/>
        <w:topLinePunct w:val="0"/>
        <w:autoSpaceDE/>
        <w:autoSpaceDN/>
        <w:bidi w:val="0"/>
        <w:adjustRightInd/>
        <w:snapToGrid/>
        <w:spacing w:line="570" w:lineRule="exact"/>
        <w:ind w:firstLine="641"/>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rPr>
        <w:t>全面落实</w:t>
      </w:r>
      <w:r>
        <w:rPr>
          <w:rFonts w:hint="default" w:ascii="Times New Roman" w:hAnsi="Times New Roman" w:eastAsia="仿宋_GB2312" w:cs="Times New Roman"/>
          <w:color w:val="auto"/>
          <w:spacing w:val="0"/>
          <w:sz w:val="32"/>
          <w:szCs w:val="32"/>
          <w:highlight w:val="none"/>
          <w:lang w:val="en-US" w:eastAsia="zh-CN"/>
        </w:rPr>
        <w:t>碳排放总量和强度双控制度，</w:t>
      </w:r>
      <w:r>
        <w:rPr>
          <w:rFonts w:hint="default" w:ascii="Times New Roman" w:hAnsi="Times New Roman" w:eastAsia="仿宋_GB2312" w:cs="Times New Roman"/>
          <w:color w:val="auto"/>
          <w:spacing w:val="0"/>
          <w:sz w:val="32"/>
          <w:szCs w:val="32"/>
          <w:highlight w:val="none"/>
          <w:lang w:eastAsia="zh-CN"/>
        </w:rPr>
        <w:t>持续</w:t>
      </w:r>
      <w:r>
        <w:rPr>
          <w:rFonts w:hint="default" w:ascii="Times New Roman" w:hAnsi="Times New Roman" w:eastAsia="仿宋_GB2312" w:cs="Times New Roman"/>
          <w:color w:val="auto"/>
          <w:spacing w:val="0"/>
          <w:sz w:val="32"/>
          <w:szCs w:val="32"/>
          <w:highlight w:val="none"/>
        </w:rPr>
        <w:t>推动能耗双控向碳排放双控转变</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构建降耗减排、循环利用、高效产出的经济发展模式。</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系统构建新型能源体系。</w:t>
      </w:r>
      <w:r>
        <w:rPr>
          <w:rFonts w:hint="default" w:ascii="Times New Roman" w:hAnsi="Times New Roman" w:eastAsia="仿宋_GB2312" w:cs="Times New Roman"/>
          <w:b w:val="0"/>
          <w:bCs w:val="0"/>
          <w:color w:val="auto"/>
          <w:sz w:val="32"/>
          <w:szCs w:val="32"/>
          <w:highlight w:val="none"/>
          <w:lang w:val="en-US" w:eastAsia="zh-CN"/>
        </w:rPr>
        <w:t>充分发挥我市风电、光伏等多元资源优势，以海上风电开发引领陆上风电、光伏等新能源集约化发展，全力构建绿色低碳能源体系，</w:t>
      </w:r>
      <w:r>
        <w:rPr>
          <w:rFonts w:hint="default" w:ascii="Times New Roman" w:hAnsi="Times New Roman" w:eastAsia="仿宋_GB2312" w:cs="Times New Roman"/>
          <w:color w:val="auto"/>
          <w:sz w:val="32"/>
          <w:szCs w:val="32"/>
          <w:highlight w:val="none"/>
          <w:lang w:val="en-US" w:eastAsia="zh-CN"/>
        </w:rPr>
        <w:t>力争到2030年新能源和可再生能源装机规模达1000万</w:t>
      </w:r>
      <w:r>
        <w:rPr>
          <w:rFonts w:hint="default" w:ascii="Times New Roman" w:hAnsi="Times New Roman" w:eastAsia="仿宋_GB2312" w:cs="Times New Roman"/>
          <w:b w:val="0"/>
          <w:bCs w:val="0"/>
          <w:color w:val="auto"/>
          <w:sz w:val="32"/>
          <w:szCs w:val="32"/>
          <w:highlight w:val="none"/>
          <w:lang w:val="en-US" w:eastAsia="zh-CN"/>
        </w:rPr>
        <w:t>千瓦，建成山东半岛首个千万千瓦级新能源和可再生能源大基地。海上风电方面，按照“成熟一个、实施一个”原则，加快推进半岛南2号、16号、17号、14号等优质场址开发，力争2030年总装机规模突破700万千瓦。陆上风电方面，坚持集散并举、统筹推进的开发思路，有序开发“能源绿色低碳转型试点+千乡万村驭风行动”“能交融合”等近百万千瓦陆风资源。光伏方面，以150万千瓦光伏资源为基础，通过绿电直连、绿电产业园等消纳场景，积极申报建设指标，梯次推动开发。核电方面，稳妥有序推进核电场址开发。抽水蓄能方面，加快推动120万千瓦诸往抽水蓄能电站项目，提前谋划崖子抽水蓄能电站开发前期工作。波浪能方面，积极探索波浪能与海上风电融合开发新模式，布局波浪能技术研发与示范应用，有序推进阵列式波浪能与海上风电融合示范项目落地实施。</w:t>
      </w:r>
      <w:r>
        <w:rPr>
          <w:rFonts w:hint="default" w:ascii="Times New Roman" w:hAnsi="Times New Roman" w:eastAsia="仿宋_GB2312" w:cs="Times New Roman"/>
          <w:b w:val="0"/>
          <w:bCs w:val="0"/>
          <w:color w:val="auto"/>
          <w:kern w:val="2"/>
          <w:sz w:val="32"/>
          <w:szCs w:val="32"/>
          <w:highlight w:val="none"/>
          <w:lang w:val="en-US" w:eastAsia="zh-CN" w:bidi="ar-SA"/>
        </w:rPr>
        <w:t>储能方面，推动传统储能与新型储能互补并进，</w:t>
      </w:r>
      <w:r>
        <w:rPr>
          <w:rFonts w:hint="default" w:ascii="Times New Roman" w:hAnsi="Times New Roman" w:eastAsia="仿宋_GB2312" w:cs="Times New Roman"/>
          <w:b w:val="0"/>
          <w:bCs w:val="0"/>
          <w:color w:val="auto"/>
          <w:sz w:val="32"/>
          <w:szCs w:val="32"/>
          <w:highlight w:val="none"/>
          <w:lang w:val="en-US" w:eastAsia="zh-CN"/>
        </w:rPr>
        <w:t>规划建设500千伏升压站和汇集站，有序推进飞轮储能、电化学储能、空气压缩储能等示</w:t>
      </w:r>
      <w:r>
        <w:rPr>
          <w:rFonts w:hint="default" w:ascii="Times New Roman" w:hAnsi="Times New Roman" w:eastAsia="仿宋_GB2312" w:cs="Times New Roman"/>
          <w:color w:val="auto"/>
          <w:sz w:val="32"/>
          <w:szCs w:val="32"/>
          <w:highlight w:val="none"/>
          <w:lang w:val="en-US" w:eastAsia="zh-CN"/>
        </w:rPr>
        <w:t>范项目，支持新能源场站合理配建新型储能设施，力争到2030年具备100万千瓦调节能力。</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lang w:eastAsia="zh-CN"/>
        </w:rPr>
      </w:pPr>
      <w:r>
        <w:rPr>
          <w:rFonts w:hint="default" w:ascii="Times New Roman" w:hAnsi="Times New Roman" w:eastAsia="楷体_GB2312" w:cs="Times New Roman"/>
          <w:b w:val="0"/>
          <w:bCs w:val="0"/>
          <w:color w:val="auto"/>
          <w:sz w:val="32"/>
          <w:szCs w:val="32"/>
          <w:highlight w:val="none"/>
          <w:lang w:val="en-US" w:eastAsia="zh-CN" w:bidi="ar"/>
        </w:rPr>
        <w:t>推动重点领域节能减碳。</w:t>
      </w:r>
      <w:r>
        <w:rPr>
          <w:rFonts w:hint="default" w:ascii="Times New Roman" w:hAnsi="Times New Roman" w:eastAsia="仿宋_GB2312" w:cs="Times New Roman"/>
          <w:color w:val="auto"/>
          <w:spacing w:val="0"/>
          <w:sz w:val="32"/>
          <w:szCs w:val="32"/>
          <w:highlight w:val="none"/>
        </w:rPr>
        <w:t>坚持源头管控、全过程减污降碳，完善资源总量管理和全面节约制度</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不断推动工业、交通、建筑等重点领域节能降碳。</w:t>
      </w:r>
      <w:r>
        <w:rPr>
          <w:rFonts w:hint="default" w:ascii="Times New Roman" w:hAnsi="Times New Roman" w:eastAsia="仿宋_GB2312" w:cs="Times New Roman"/>
          <w:color w:val="auto"/>
          <w:sz w:val="32"/>
          <w:szCs w:val="32"/>
          <w:highlight w:val="none"/>
          <w:lang w:val="en-US" w:eastAsia="zh-CN"/>
        </w:rPr>
        <w:t>实施重点用能单位节能降碳改造工程，</w:t>
      </w:r>
      <w:r>
        <w:rPr>
          <w:rFonts w:hint="default" w:ascii="Times New Roman" w:hAnsi="Times New Roman" w:eastAsia="仿宋_GB2312" w:cs="Times New Roman"/>
          <w:color w:val="auto"/>
          <w:spacing w:val="0"/>
          <w:sz w:val="32"/>
          <w:szCs w:val="32"/>
          <w:highlight w:val="none"/>
        </w:rPr>
        <w:t>充分发挥</w:t>
      </w:r>
      <w:r>
        <w:rPr>
          <w:rFonts w:hint="default" w:ascii="Times New Roman" w:hAnsi="Times New Roman" w:eastAsia="仿宋_GB2312" w:cs="Times New Roman"/>
          <w:color w:val="auto"/>
          <w:sz w:val="32"/>
          <w:szCs w:val="32"/>
          <w:highlight w:val="none"/>
          <w:lang w:val="en-US" w:eastAsia="zh-CN"/>
        </w:rPr>
        <w:t>能效标准、差别电价、</w:t>
      </w:r>
      <w:r>
        <w:rPr>
          <w:rFonts w:hint="default" w:ascii="Times New Roman" w:hAnsi="Times New Roman" w:eastAsia="仿宋_GB2312" w:cs="Times New Roman"/>
          <w:color w:val="auto"/>
          <w:spacing w:val="0"/>
          <w:sz w:val="32"/>
          <w:szCs w:val="32"/>
          <w:highlight w:val="none"/>
        </w:rPr>
        <w:t>节能监察</w:t>
      </w:r>
      <w:r>
        <w:rPr>
          <w:rFonts w:hint="default" w:ascii="Times New Roman" w:hAnsi="Times New Roman" w:eastAsia="仿宋_GB2312" w:cs="Times New Roman"/>
          <w:color w:val="auto"/>
          <w:sz w:val="32"/>
          <w:szCs w:val="32"/>
          <w:highlight w:val="none"/>
          <w:lang w:val="en-US" w:eastAsia="zh-CN"/>
        </w:rPr>
        <w:t>等</w:t>
      </w:r>
      <w:r>
        <w:rPr>
          <w:rFonts w:hint="default" w:ascii="Times New Roman" w:hAnsi="Times New Roman" w:eastAsia="仿宋_GB2312" w:cs="Times New Roman"/>
          <w:color w:val="auto"/>
          <w:spacing w:val="0"/>
          <w:sz w:val="32"/>
          <w:szCs w:val="32"/>
          <w:highlight w:val="none"/>
        </w:rPr>
        <w:t>政策激励约束作用</w:t>
      </w:r>
      <w:r>
        <w:rPr>
          <w:rFonts w:hint="default" w:ascii="Times New Roman" w:hAnsi="Times New Roman" w:eastAsia="仿宋_GB2312" w:cs="Times New Roman"/>
          <w:color w:val="auto"/>
          <w:sz w:val="32"/>
          <w:szCs w:val="32"/>
          <w:highlight w:val="none"/>
          <w:lang w:val="en-US" w:eastAsia="zh-CN"/>
        </w:rPr>
        <w:t>，引导企业进行设备更新、工艺升级、流程优化。</w:t>
      </w:r>
      <w:r>
        <w:rPr>
          <w:rFonts w:hint="default" w:ascii="Times New Roman" w:hAnsi="Times New Roman" w:eastAsia="仿宋_GB2312" w:cs="Times New Roman"/>
          <w:color w:val="auto"/>
          <w:spacing w:val="0"/>
          <w:sz w:val="32"/>
          <w:szCs w:val="32"/>
          <w:highlight w:val="none"/>
        </w:rPr>
        <w:t>建立完善覆盖产品全生命周期的碳排放统计核算体系、碳标识认证制度、碳足迹管理体系，开展零碳城市、园区、社区试点</w:t>
      </w:r>
      <w:r>
        <w:rPr>
          <w:rFonts w:hint="default" w:ascii="Times New Roman" w:hAnsi="Times New Roman" w:eastAsia="仿宋_GB2312" w:cs="Times New Roman"/>
          <w:color w:val="auto"/>
          <w:spacing w:val="0"/>
          <w:sz w:val="32"/>
          <w:szCs w:val="32"/>
          <w:highlight w:val="none"/>
          <w:lang w:val="en-US" w:eastAsia="zh-CN"/>
        </w:rPr>
        <w:t>建设，</w:t>
      </w:r>
      <w:r>
        <w:rPr>
          <w:rFonts w:hint="default" w:ascii="Times New Roman" w:hAnsi="Times New Roman" w:eastAsia="仿宋_GB2312" w:cs="Times New Roman"/>
          <w:color w:val="auto"/>
          <w:spacing w:val="0"/>
          <w:sz w:val="32"/>
          <w:szCs w:val="32"/>
          <w:highlight w:val="none"/>
        </w:rPr>
        <w:t>推动能耗双控向碳排放双控转变。</w:t>
      </w:r>
      <w:r>
        <w:rPr>
          <w:rFonts w:hint="default" w:ascii="Times New Roman" w:hAnsi="Times New Roman" w:eastAsia="仿宋_GB2312" w:cs="Times New Roman"/>
          <w:color w:val="auto"/>
          <w:sz w:val="32"/>
          <w:szCs w:val="32"/>
          <w:highlight w:val="none"/>
          <w:lang w:val="en-US" w:eastAsia="zh-CN"/>
        </w:rPr>
        <w:t>筑牢林业资源保护防线，推动林业生态与城市建设融合，扎实推进林业资源保护与森林生态系统碳汇能力提升协同发展。发挥海洋资源增汇减排优势，加快海洋碳汇产业链条延伸，以牡蛎碳汇为切入点，打造“蓝碳经济”乳山示范样板。</w:t>
      </w:r>
    </w:p>
    <w:p>
      <w:pPr>
        <w:keepNext w:val="0"/>
        <w:keepLines w:val="0"/>
        <w:pageBreakBefore w:val="0"/>
        <w:widowControl/>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bidi="ar"/>
        </w:rPr>
        <w:t>大力发展循环经济。</w:t>
      </w:r>
      <w:r>
        <w:rPr>
          <w:rFonts w:hint="default" w:ascii="Times New Roman" w:hAnsi="Times New Roman" w:eastAsia="仿宋_GB2312" w:cs="Times New Roman"/>
          <w:b w:val="0"/>
          <w:bCs w:val="0"/>
          <w:color w:val="auto"/>
          <w:spacing w:val="0"/>
          <w:sz w:val="32"/>
          <w:szCs w:val="32"/>
          <w:highlight w:val="none"/>
          <w:lang w:val="en-US" w:eastAsia="zh-CN"/>
        </w:rPr>
        <w:t>以打造全国自然资源节约集约示范县为抓手，构建“全链条循环、多产业融合、生态化治理”的循环经济发展新格局。加强工业、农业、矿产等领域固废资源化综合利用，</w:t>
      </w:r>
      <w:r>
        <w:rPr>
          <w:rFonts w:hint="default" w:ascii="Times New Roman" w:hAnsi="Times New Roman" w:eastAsia="仿宋_GB2312" w:cs="Times New Roman"/>
          <w:color w:val="auto"/>
          <w:sz w:val="32"/>
          <w:szCs w:val="32"/>
          <w:highlight w:val="none"/>
          <w:lang w:val="en-US" w:eastAsia="zh-CN"/>
        </w:rPr>
        <w:t>建设乳山市循环经济产业园，推动企业间废物交换利用、能量梯级利用、水资源循环利用，引导</w:t>
      </w:r>
      <w:r>
        <w:rPr>
          <w:rFonts w:hint="default" w:ascii="Times New Roman" w:hAnsi="Times New Roman" w:eastAsia="仿宋_GB2312" w:cs="Times New Roman"/>
          <w:b w:val="0"/>
          <w:bCs w:val="0"/>
          <w:color w:val="auto"/>
          <w:spacing w:val="0"/>
          <w:sz w:val="32"/>
          <w:szCs w:val="32"/>
          <w:highlight w:val="none"/>
          <w:lang w:val="en-US" w:eastAsia="zh-CN"/>
        </w:rPr>
        <w:t>企业绿色化数字化协同转型发展，建立完善全社会资源循环利用体系</w:t>
      </w:r>
      <w:r>
        <w:rPr>
          <w:rFonts w:hint="default" w:ascii="Times New Roman" w:hAnsi="Times New Roman" w:eastAsia="仿宋_GB2312" w:cs="Times New Roman"/>
          <w:color w:val="auto"/>
          <w:sz w:val="32"/>
          <w:szCs w:val="32"/>
          <w:highlight w:val="none"/>
          <w:lang w:val="en-US" w:eastAsia="zh-CN"/>
        </w:rPr>
        <w:t>。结合新能源产业发展，探索退役风电、光伏设备等新兴固废的循环利用途径，加快构建新兴固废循环利用体系，培育壮大新兴固废资源回收利用新赛道，创建省级新兴固废综合利用示范。加强矿产资源开发利用水平评估，完善矿山开发利用全过程生态修复机制，“十五五”期间，全市在产大、中型矿山绿色矿山建成比例分别不低于90%、80%。</w:t>
      </w:r>
    </w:p>
    <w:p>
      <w:pPr>
        <w:pStyle w:val="9"/>
        <w:keepNext w:val="0"/>
        <w:keepLines w:val="0"/>
        <w:pageBreakBefore w:val="0"/>
        <w:widowControl/>
        <w:kinsoku/>
        <w:wordWrap/>
        <w:overflowPunct/>
        <w:topLinePunct w:val="0"/>
        <w:autoSpaceDE w:val="0"/>
        <w:autoSpaceDN w:val="0"/>
        <w:bidi w:val="0"/>
        <w:adjustRightInd w:val="0"/>
        <w:snapToGrid w:val="0"/>
        <w:spacing w:after="157" w:afterLines="50" w:line="570" w:lineRule="exact"/>
        <w:ind w:firstLine="640" w:firstLineChars="200"/>
        <w:textAlignment w:val="baseline"/>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倡导绿色低碳生活方式。</w:t>
      </w:r>
      <w:r>
        <w:rPr>
          <w:rFonts w:hint="default" w:ascii="Times New Roman" w:hAnsi="Times New Roman" w:eastAsia="仿宋_GB2312" w:cs="Times New Roman"/>
          <w:color w:val="auto"/>
          <w:spacing w:val="0"/>
          <w:sz w:val="32"/>
          <w:szCs w:val="32"/>
          <w:highlight w:val="none"/>
          <w:lang w:val="en-US" w:eastAsia="zh-CN"/>
        </w:rPr>
        <w:t>落实促进绿色低碳发展政策，完善环保、能耗、安全等标准，从严把好产业准入，严控“两高一低”项目上马建设，加快推进工业、城乡建设、交通运输、能源等重点领域绿色低碳转型。深化低碳理念传播，借助电视、广播、网络社交媒体等将绿色理念渗透到社会各个层面。加强绿色制造体系建设，梯度培育绿色制造企业，打造一批节能、低碳、绿色、循环发展载体，大力培育有色金属和废旧物资回收利用等循环经济业态，提升垃圾分类和资源化利用水平，扎实开展“无废城市”建设。</w:t>
      </w:r>
      <w:r>
        <w:rPr>
          <w:rFonts w:hint="default" w:ascii="Times New Roman" w:hAnsi="Times New Roman" w:eastAsia="仿宋_GB2312" w:cs="Times New Roman"/>
          <w:color w:val="auto"/>
          <w:spacing w:val="0"/>
          <w:sz w:val="32"/>
          <w:szCs w:val="32"/>
          <w:highlight w:val="none"/>
        </w:rPr>
        <w:t>建立</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碳普惠</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公众参与机制</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开展绿色机关、绿色学校、绿色社区、绿色家庭创建活动，</w:t>
      </w:r>
      <w:r>
        <w:rPr>
          <w:rFonts w:hint="default" w:ascii="Times New Roman" w:hAnsi="Times New Roman" w:eastAsia="仿宋_GB2312" w:cs="Times New Roman"/>
          <w:color w:val="auto"/>
          <w:sz w:val="32"/>
          <w:szCs w:val="32"/>
          <w:highlight w:val="none"/>
          <w:lang w:eastAsia="zh-CN"/>
        </w:rPr>
        <w:t>引导全民有序参与节能降碳</w:t>
      </w:r>
      <w:r>
        <w:rPr>
          <w:rFonts w:hint="default" w:ascii="Times New Roman" w:hAnsi="Times New Roman" w:eastAsia="仿宋_GB2312" w:cs="Times New Roman"/>
          <w:color w:val="auto"/>
          <w:sz w:val="32"/>
          <w:szCs w:val="32"/>
          <w:highlight w:val="none"/>
          <w:lang w:val="en-US" w:eastAsia="zh-CN"/>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64"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cs="Times New Roman" w:eastAsiaTheme="minorEastAsia"/>
                <w:color w:val="auto"/>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专栏17：“双碳”重点项目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964" w:type="dxa"/>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eastAsia="仿宋_GB2312" w:cs="Times New Roman"/>
                <w:b w:val="0"/>
                <w:bCs w:val="0"/>
                <w:color w:val="auto"/>
                <w:kern w:val="44"/>
                <w:sz w:val="28"/>
                <w:szCs w:val="28"/>
                <w:highlight w:val="none"/>
                <w:lang w:val="en-US" w:eastAsia="zh-CN" w:bidi="ar-SA"/>
              </w:rPr>
            </w:pPr>
            <w:r>
              <w:rPr>
                <w:rFonts w:hint="eastAsia" w:ascii="黑体" w:hAnsi="黑体" w:eastAsia="黑体" w:cs="黑体"/>
                <w:b w:val="0"/>
                <w:bCs w:val="0"/>
                <w:color w:val="auto"/>
                <w:kern w:val="44"/>
                <w:sz w:val="28"/>
                <w:szCs w:val="28"/>
                <w:highlight w:val="none"/>
                <w:lang w:val="en-US" w:eastAsia="zh-CN" w:bidi="ar-SA"/>
              </w:rPr>
              <w:t>海上风电：</w:t>
            </w:r>
            <w:r>
              <w:rPr>
                <w:rFonts w:hint="default" w:ascii="Times New Roman" w:hAnsi="Times New Roman" w:eastAsia="仿宋_GB2312" w:cs="Times New Roman"/>
                <w:b w:val="0"/>
                <w:bCs w:val="0"/>
                <w:color w:val="auto"/>
                <w:kern w:val="44"/>
                <w:sz w:val="28"/>
                <w:szCs w:val="28"/>
                <w:highlight w:val="none"/>
                <w:lang w:val="en-US" w:eastAsia="zh-CN" w:bidi="ar-SA"/>
              </w:rPr>
              <w:t>重点推进山东半岛南2号场址40万千瓦海上风电项目，山东半岛南16号场址120万千瓦海上风电项目，山东半岛南17号场址100万千瓦海上风电项目，山东半岛南14号场址80万千瓦海上风电项目等。</w:t>
            </w:r>
          </w:p>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eastAsia="仿宋_GB2312" w:cs="Times New Roman"/>
                <w:b w:val="0"/>
                <w:bCs w:val="0"/>
                <w:color w:val="auto"/>
                <w:kern w:val="44"/>
                <w:sz w:val="28"/>
                <w:szCs w:val="28"/>
                <w:highlight w:val="none"/>
                <w:lang w:val="en-US" w:eastAsia="zh-CN" w:bidi="ar-SA"/>
              </w:rPr>
            </w:pPr>
            <w:r>
              <w:rPr>
                <w:rFonts w:hint="default" w:ascii="黑体" w:hAnsi="黑体" w:eastAsia="黑体" w:cs="黑体"/>
                <w:b w:val="0"/>
                <w:bCs w:val="0"/>
                <w:color w:val="auto"/>
                <w:kern w:val="44"/>
                <w:sz w:val="28"/>
                <w:szCs w:val="28"/>
                <w:highlight w:val="none"/>
                <w:lang w:val="en-US" w:eastAsia="zh-CN" w:bidi="ar-SA"/>
              </w:rPr>
              <w:t>陆上风电：</w:t>
            </w:r>
            <w:r>
              <w:rPr>
                <w:rFonts w:hint="default" w:ascii="Times New Roman" w:hAnsi="Times New Roman" w:eastAsia="仿宋_GB2312" w:cs="Times New Roman"/>
                <w:b w:val="0"/>
                <w:bCs w:val="0"/>
                <w:color w:val="auto"/>
                <w:kern w:val="44"/>
                <w:sz w:val="28"/>
                <w:szCs w:val="28"/>
                <w:highlight w:val="none"/>
                <w:lang w:val="en-US" w:eastAsia="zh-CN" w:bidi="ar-SA"/>
              </w:rPr>
              <w:t>重点推进“能源绿色低碳转型试点”20万千瓦陆上风电项目，“千乡万村驭风行动”10万千瓦陆上风电项目，第三批陆上风电竞配32.9万千瓦陆上风电项目，能交融合16.7万千瓦项目，华能风场“上大压小”增容改造项目，华电风电场“上大压小”增容改造项目等。</w:t>
            </w:r>
          </w:p>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eastAsia="仿宋_GB2312" w:cs="Times New Roman"/>
                <w:b w:val="0"/>
                <w:bCs w:val="0"/>
                <w:color w:val="auto"/>
                <w:kern w:val="44"/>
                <w:sz w:val="28"/>
                <w:szCs w:val="28"/>
                <w:highlight w:val="none"/>
                <w:lang w:val="en-US" w:eastAsia="zh-CN" w:bidi="ar-SA"/>
              </w:rPr>
            </w:pPr>
            <w:r>
              <w:rPr>
                <w:rFonts w:hint="default" w:ascii="黑体" w:hAnsi="黑体" w:eastAsia="黑体" w:cs="黑体"/>
                <w:b w:val="0"/>
                <w:bCs w:val="0"/>
                <w:color w:val="auto"/>
                <w:kern w:val="44"/>
                <w:sz w:val="28"/>
                <w:szCs w:val="28"/>
                <w:highlight w:val="none"/>
                <w:lang w:val="en-US" w:eastAsia="zh-CN" w:bidi="ar-SA"/>
              </w:rPr>
              <w:t>光伏方面：</w:t>
            </w:r>
            <w:r>
              <w:rPr>
                <w:rFonts w:hint="default" w:ascii="Times New Roman" w:hAnsi="Times New Roman" w:eastAsia="仿宋_GB2312" w:cs="Times New Roman"/>
                <w:b w:val="0"/>
                <w:bCs w:val="0"/>
                <w:color w:val="auto"/>
                <w:kern w:val="44"/>
                <w:sz w:val="28"/>
                <w:szCs w:val="28"/>
                <w:highlight w:val="none"/>
                <w:lang w:val="en-US" w:eastAsia="zh-CN" w:bidi="ar-SA"/>
              </w:rPr>
              <w:t>重点推进150万千瓦渔光互补项目，80万千瓦“风光同场”漂浮式海上光伏项目等。</w:t>
            </w:r>
          </w:p>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cs="Times New Roman"/>
                <w:color w:val="auto"/>
                <w:highlight w:val="none"/>
                <w:lang w:val="en-US" w:eastAsia="zh-CN"/>
              </w:rPr>
            </w:pPr>
            <w:r>
              <w:rPr>
                <w:rFonts w:hint="default" w:ascii="黑体" w:hAnsi="黑体" w:eastAsia="黑体" w:cs="黑体"/>
                <w:b w:val="0"/>
                <w:bCs w:val="0"/>
                <w:color w:val="auto"/>
                <w:kern w:val="44"/>
                <w:sz w:val="28"/>
                <w:szCs w:val="28"/>
                <w:highlight w:val="none"/>
                <w:lang w:val="en-US" w:eastAsia="zh-CN" w:bidi="ar-SA"/>
              </w:rPr>
              <w:t>储能方面：</w:t>
            </w:r>
            <w:r>
              <w:rPr>
                <w:rFonts w:hint="default" w:ascii="Times New Roman" w:hAnsi="Times New Roman" w:eastAsia="仿宋_GB2312" w:cs="Times New Roman"/>
                <w:b w:val="0"/>
                <w:bCs w:val="0"/>
                <w:color w:val="auto"/>
                <w:kern w:val="44"/>
                <w:sz w:val="28"/>
                <w:szCs w:val="28"/>
                <w:highlight w:val="none"/>
                <w:lang w:val="en-US" w:eastAsia="zh-CN" w:bidi="ar-SA"/>
              </w:rPr>
              <w:t>重点推进贝肯100MW飞轮储能独立调频电站项目，乳山500MW/2000MWh电化学储能项目，乳山300MW/1200MWh电化学储能项目等。</w:t>
            </w:r>
          </w:p>
        </w:tc>
      </w:tr>
    </w:tbl>
    <w:p>
      <w:pPr>
        <w:pStyle w:val="3"/>
        <w:keepNext w:val="0"/>
        <w:keepLines w:val="0"/>
        <w:pageBreakBefore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372" w:name="_Toc26484"/>
      <w:bookmarkStart w:id="373" w:name="_Toc26005"/>
      <w:bookmarkStart w:id="374" w:name="_Toc20784"/>
      <w:bookmarkStart w:id="375" w:name="_Toc16574"/>
      <w:bookmarkStart w:id="376" w:name="_Toc11844"/>
      <w:bookmarkStart w:id="377" w:name="_Toc15886"/>
      <w:bookmarkStart w:id="378" w:name="_Toc6045"/>
      <w:bookmarkStart w:id="379" w:name="_Toc14080"/>
      <w:bookmarkStart w:id="380" w:name="_Toc18077"/>
      <w:r>
        <w:rPr>
          <w:rFonts w:hint="default" w:ascii="Times New Roman" w:hAnsi="Times New Roman" w:cs="Times New Roman"/>
          <w:snapToGrid w:val="0"/>
          <w:color w:val="auto"/>
          <w:sz w:val="32"/>
          <w:highlight w:val="none"/>
          <w:lang w:val="en-US" w:eastAsia="zh-CN"/>
        </w:rPr>
        <w:t>第二节 加强生态</w:t>
      </w:r>
      <w:bookmarkEnd w:id="372"/>
      <w:bookmarkEnd w:id="373"/>
      <w:bookmarkEnd w:id="374"/>
      <w:bookmarkEnd w:id="375"/>
      <w:bookmarkEnd w:id="376"/>
      <w:bookmarkEnd w:id="377"/>
      <w:bookmarkEnd w:id="378"/>
      <w:r>
        <w:rPr>
          <w:rFonts w:hint="default" w:ascii="Times New Roman" w:hAnsi="Times New Roman" w:cs="Times New Roman"/>
          <w:snapToGrid w:val="0"/>
          <w:color w:val="auto"/>
          <w:sz w:val="32"/>
          <w:highlight w:val="none"/>
          <w:lang w:val="en-US" w:eastAsia="zh-CN"/>
        </w:rPr>
        <w:t>系统保护修复</w:t>
      </w:r>
      <w:bookmarkEnd w:id="379"/>
      <w:bookmarkEnd w:id="380"/>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kern w:val="2"/>
          <w:sz w:val="32"/>
          <w:szCs w:val="32"/>
          <w:highlight w:val="none"/>
          <w:lang w:val="en-US" w:eastAsia="zh-CN" w:bidi="ar-SA"/>
        </w:rPr>
      </w:pPr>
      <w:bookmarkStart w:id="381" w:name="OLE_LINK77"/>
      <w:r>
        <w:rPr>
          <w:rFonts w:hint="default" w:ascii="Times New Roman" w:hAnsi="Times New Roman" w:eastAsia="仿宋_GB2312" w:cs="Times New Roman"/>
          <w:color w:val="auto"/>
          <w:spacing w:val="0"/>
          <w:sz w:val="32"/>
          <w:szCs w:val="32"/>
          <w:highlight w:val="none"/>
        </w:rPr>
        <w:t>健全国土空间开发保护制度，</w:t>
      </w:r>
      <w:r>
        <w:rPr>
          <w:rFonts w:hint="default" w:ascii="Times New Roman" w:hAnsi="Times New Roman" w:eastAsia="仿宋_GB2312" w:cs="Times New Roman"/>
          <w:color w:val="auto"/>
          <w:spacing w:val="0"/>
          <w:kern w:val="2"/>
          <w:sz w:val="32"/>
          <w:szCs w:val="32"/>
          <w:highlight w:val="none"/>
          <w:lang w:val="en-US" w:eastAsia="zh-CN" w:bidi="ar-SA"/>
        </w:rPr>
        <w:t>坚持污染减排与生态扩容双向发力，实施精准科学依法治污</w:t>
      </w:r>
      <w:bookmarkStart w:id="382" w:name="OLE_LINK78"/>
      <w:r>
        <w:rPr>
          <w:rFonts w:hint="default" w:ascii="Times New Roman" w:hAnsi="Times New Roman" w:eastAsia="仿宋_GB2312" w:cs="Times New Roman"/>
          <w:color w:val="auto"/>
          <w:spacing w:val="0"/>
          <w:kern w:val="2"/>
          <w:sz w:val="32"/>
          <w:szCs w:val="32"/>
          <w:highlight w:val="none"/>
          <w:lang w:val="en-US" w:eastAsia="zh-CN" w:bidi="ar-SA"/>
        </w:rPr>
        <w:t>，持续深入打好蓝天、碧水、净土保卫战</w:t>
      </w:r>
      <w:bookmarkEnd w:id="382"/>
      <w:r>
        <w:rPr>
          <w:rFonts w:hint="default" w:ascii="Times New Roman" w:hAnsi="Times New Roman" w:eastAsia="仿宋_GB2312" w:cs="Times New Roman"/>
          <w:color w:val="auto"/>
          <w:spacing w:val="0"/>
          <w:kern w:val="2"/>
          <w:sz w:val="32"/>
          <w:szCs w:val="32"/>
          <w:highlight w:val="none"/>
          <w:lang w:val="en-US" w:eastAsia="zh-CN" w:bidi="ar-SA"/>
        </w:rPr>
        <w:t>。</w:t>
      </w:r>
      <w:bookmarkEnd w:id="381"/>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en-US"/>
        </w:rPr>
      </w:pPr>
      <w:r>
        <w:rPr>
          <w:rFonts w:hint="default" w:ascii="Times New Roman" w:hAnsi="Times New Roman" w:eastAsia="楷体_GB2312" w:cs="Times New Roman"/>
          <w:b w:val="0"/>
          <w:bCs w:val="0"/>
          <w:color w:val="auto"/>
          <w:sz w:val="32"/>
          <w:szCs w:val="32"/>
          <w:highlight w:val="none"/>
          <w:lang w:val="en-US" w:eastAsia="zh-CN" w:bidi="ar"/>
        </w:rPr>
        <w:t>优化国土空间开发保护格局。</w:t>
      </w:r>
      <w:r>
        <w:rPr>
          <w:rFonts w:hint="default" w:ascii="Times New Roman" w:hAnsi="Times New Roman" w:eastAsia="仿宋_GB2312" w:cs="Times New Roman"/>
          <w:color w:val="auto"/>
          <w:sz w:val="32"/>
          <w:szCs w:val="32"/>
          <w:highlight w:val="none"/>
          <w:lang w:val="en-US" w:eastAsia="zh-CN"/>
        </w:rPr>
        <w:t>按照“南部滨海提升、中部城区优化、北部生态保育”的开发保护思路，</w:t>
      </w:r>
      <w:r>
        <w:rPr>
          <w:rFonts w:hint="default" w:ascii="Times New Roman" w:hAnsi="Times New Roman" w:eastAsia="仿宋_GB2312" w:cs="Times New Roman"/>
          <w:color w:val="auto"/>
          <w:spacing w:val="0"/>
          <w:sz w:val="32"/>
          <w:szCs w:val="32"/>
          <w:highlight w:val="none"/>
        </w:rPr>
        <w:t>聚焦农产品主产区、重点生态功能区、城市化地区</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构建陆海统筹、分区引导的国土空间开发保护格局。</w:t>
      </w:r>
      <w:r>
        <w:rPr>
          <w:rFonts w:hint="default" w:ascii="Times New Roman" w:hAnsi="Times New Roman" w:eastAsia="仿宋_GB2312" w:cs="Times New Roman"/>
          <w:color w:val="auto"/>
          <w:sz w:val="32"/>
          <w:szCs w:val="32"/>
          <w:highlight w:val="none"/>
          <w:lang w:eastAsia="en-US"/>
        </w:rPr>
        <w:t>落实生态环境</w:t>
      </w:r>
      <w:r>
        <w:rPr>
          <w:rFonts w:hint="default" w:ascii="Times New Roman" w:hAnsi="Times New Roman" w:eastAsia="仿宋_GB2312" w:cs="Times New Roman"/>
          <w:color w:val="auto"/>
          <w:sz w:val="32"/>
          <w:szCs w:val="32"/>
          <w:highlight w:val="none"/>
          <w:lang w:val="en-US" w:eastAsia="zh-CN"/>
        </w:rPr>
        <w:t>分区</w:t>
      </w:r>
      <w:r>
        <w:rPr>
          <w:rFonts w:hint="default" w:ascii="Times New Roman" w:hAnsi="Times New Roman" w:eastAsia="仿宋_GB2312" w:cs="Times New Roman"/>
          <w:color w:val="auto"/>
          <w:sz w:val="32"/>
          <w:szCs w:val="32"/>
          <w:highlight w:val="none"/>
          <w:lang w:eastAsia="en-US"/>
        </w:rPr>
        <w:t>管控体系</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pacing w:val="0"/>
          <w:sz w:val="32"/>
          <w:szCs w:val="32"/>
          <w:highlight w:val="none"/>
        </w:rPr>
        <w:t>健全与国土空间规划和用途管制衔接机制，</w:t>
      </w:r>
      <w:r>
        <w:rPr>
          <w:rFonts w:hint="default" w:ascii="Times New Roman" w:hAnsi="Times New Roman" w:eastAsia="仿宋_GB2312" w:cs="Times New Roman"/>
          <w:color w:val="auto"/>
          <w:sz w:val="32"/>
          <w:szCs w:val="32"/>
          <w:highlight w:val="none"/>
          <w:lang w:val="en-US" w:eastAsia="en-US"/>
        </w:rPr>
        <w:t>加强生态保护红线管控，确保生态保护红线面积不减少、质量不降低。</w:t>
      </w:r>
      <w:r>
        <w:rPr>
          <w:rFonts w:hint="default" w:ascii="Times New Roman" w:hAnsi="Times New Roman" w:eastAsia="仿宋_GB2312" w:cs="Times New Roman"/>
          <w:color w:val="auto"/>
          <w:spacing w:val="0"/>
          <w:sz w:val="32"/>
          <w:szCs w:val="32"/>
          <w:highlight w:val="none"/>
        </w:rPr>
        <w:t>开展城镇开发边界局部优化调整工作</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推动城镇空间内涵式集约化绿色发展。探索优化海岸建筑退缩线制度，严控海岸线开发建设活动。健全国土空间开发保护制度，建立和实施常态化国土动态监测评估预警和监管机制，构建自然资源管理和国土空间规划</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一张图</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w:t>
      </w:r>
    </w:p>
    <w:p>
      <w:pPr>
        <w:pStyle w:val="27"/>
        <w:keepNext w:val="0"/>
        <w:keepLines w:val="0"/>
        <w:pageBreakBefore w:val="0"/>
        <w:kinsoku/>
        <w:wordWrap/>
        <w:overflowPunct/>
        <w:topLinePunct w:val="0"/>
        <w:autoSpaceDE/>
        <w:autoSpaceDN/>
        <w:bidi w:val="0"/>
        <w:spacing w:line="57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打好蓝天保卫战。</w:t>
      </w:r>
      <w:r>
        <w:rPr>
          <w:rFonts w:hint="default" w:ascii="Times New Roman" w:hAnsi="Times New Roman" w:eastAsia="仿宋_GB2312" w:cs="Times New Roman"/>
          <w:b w:val="0"/>
          <w:bCs w:val="0"/>
          <w:color w:val="auto"/>
          <w:kern w:val="0"/>
          <w:sz w:val="32"/>
          <w:szCs w:val="32"/>
          <w:highlight w:val="none"/>
          <w:lang w:val="en-US" w:eastAsia="zh-CN"/>
        </w:rPr>
        <w:t>聚焦重点污染源精准攻坚，</w:t>
      </w:r>
      <w:r>
        <w:rPr>
          <w:rFonts w:hint="default" w:ascii="Times New Roman" w:hAnsi="Times New Roman" w:eastAsia="仿宋_GB2312" w:cs="Times New Roman"/>
          <w:color w:val="auto"/>
          <w:spacing w:val="0"/>
          <w:sz w:val="32"/>
          <w:szCs w:val="32"/>
          <w:highlight w:val="none"/>
        </w:rPr>
        <w:t>大力推进多污染物协同减排</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en-US"/>
        </w:rPr>
        <w:t>守护群众</w:t>
      </w:r>
      <w:r>
        <w:rPr>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en-US"/>
        </w:rPr>
        <w:t>蓝天白云、繁星闪烁</w:t>
      </w:r>
      <w:r>
        <w:rPr>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en-US"/>
        </w:rPr>
        <w:t>的生态福祉</w:t>
      </w:r>
      <w:r>
        <w:rPr>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加强扬尘污染防治，</w:t>
      </w:r>
      <w:r>
        <w:rPr>
          <w:rFonts w:hint="default" w:ascii="Times New Roman" w:hAnsi="Times New Roman" w:eastAsia="仿宋_GB2312" w:cs="Times New Roman"/>
          <w:color w:val="auto"/>
          <w:kern w:val="2"/>
          <w:sz w:val="32"/>
          <w:szCs w:val="32"/>
          <w:highlight w:val="none"/>
          <w:lang w:val="en-US" w:eastAsia="en-US"/>
        </w:rPr>
        <w:t>落实建筑施工、道路运输、矿山开采等扬尘管控措施</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en-US"/>
        </w:rPr>
        <w:t>加强工业废气</w:t>
      </w:r>
      <w:r>
        <w:rPr>
          <w:rFonts w:hint="default" w:ascii="Times New Roman" w:hAnsi="Times New Roman" w:eastAsia="仿宋_GB2312" w:cs="Times New Roman"/>
          <w:color w:val="auto"/>
          <w:kern w:val="2"/>
          <w:sz w:val="32"/>
          <w:szCs w:val="32"/>
          <w:highlight w:val="none"/>
          <w:lang w:val="en-US" w:eastAsia="zh-CN"/>
        </w:rPr>
        <w:t>深度</w:t>
      </w:r>
      <w:r>
        <w:rPr>
          <w:rFonts w:hint="default" w:ascii="Times New Roman" w:hAnsi="Times New Roman" w:eastAsia="仿宋_GB2312" w:cs="Times New Roman"/>
          <w:color w:val="auto"/>
          <w:kern w:val="2"/>
          <w:sz w:val="32"/>
          <w:szCs w:val="32"/>
          <w:highlight w:val="none"/>
          <w:lang w:val="en-US" w:eastAsia="en-US"/>
        </w:rPr>
        <w:t>治理，推广清洁生产技术，推进</w:t>
      </w:r>
      <w:r>
        <w:rPr>
          <w:rFonts w:hint="default" w:ascii="Times New Roman" w:hAnsi="Times New Roman" w:eastAsia="仿宋_GB2312" w:cs="Times New Roman"/>
          <w:color w:val="auto"/>
          <w:kern w:val="2"/>
          <w:sz w:val="32"/>
          <w:szCs w:val="32"/>
          <w:highlight w:val="none"/>
          <w:lang w:val="en-US" w:eastAsia="zh-CN"/>
        </w:rPr>
        <w:t>企业设备</w:t>
      </w:r>
      <w:r>
        <w:rPr>
          <w:rFonts w:hint="default" w:ascii="Times New Roman" w:hAnsi="Times New Roman" w:eastAsia="仿宋_GB2312" w:cs="Times New Roman"/>
          <w:color w:val="auto"/>
          <w:kern w:val="2"/>
          <w:sz w:val="32"/>
          <w:szCs w:val="32"/>
          <w:highlight w:val="none"/>
          <w:lang w:val="en-US" w:eastAsia="en-US"/>
        </w:rPr>
        <w:t>超低排放改造，对挥发性有机物（VOCs）实施</w:t>
      </w:r>
      <w:r>
        <w:rPr>
          <w:rFonts w:hint="default"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en-US"/>
        </w:rPr>
        <w:t>源头减排+过程控制+末端治理</w:t>
      </w:r>
      <w:r>
        <w:rPr>
          <w:rFonts w:hint="default"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en-US"/>
        </w:rPr>
        <w:t>全链条管控。</w:t>
      </w:r>
      <w:r>
        <w:rPr>
          <w:rFonts w:hint="default" w:ascii="Times New Roman" w:hAnsi="Times New Roman" w:eastAsia="仿宋_GB2312" w:cs="Times New Roman"/>
          <w:color w:val="auto"/>
          <w:kern w:val="2"/>
          <w:sz w:val="32"/>
          <w:szCs w:val="32"/>
          <w:highlight w:val="none"/>
          <w:lang w:val="en-US" w:eastAsia="zh-CN"/>
        </w:rPr>
        <w:t>开展机动车尾气专项整治，扩大新能源在公交、物流、出租车等公共领域的应用比例，</w:t>
      </w:r>
      <w:r>
        <w:rPr>
          <w:rFonts w:hint="default" w:ascii="Times New Roman" w:hAnsi="Times New Roman" w:eastAsia="仿宋_GB2312" w:cs="Times New Roman"/>
          <w:color w:val="auto"/>
          <w:kern w:val="2"/>
          <w:sz w:val="32"/>
          <w:szCs w:val="32"/>
          <w:highlight w:val="none"/>
          <w:lang w:eastAsia="en-US"/>
        </w:rPr>
        <w:t>确保空气质量稳定达到国家二级标准</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综合指数保持全省前列</w:t>
      </w:r>
      <w:r>
        <w:rPr>
          <w:rFonts w:hint="default" w:ascii="Times New Roman" w:hAnsi="Times New Roman" w:eastAsia="仿宋_GB2312" w:cs="Times New Roman"/>
          <w:color w:val="auto"/>
          <w:kern w:val="2"/>
          <w:sz w:val="32"/>
          <w:szCs w:val="32"/>
          <w:highlight w:val="none"/>
          <w:lang w:val="en-US" w:eastAsia="en-US"/>
        </w:rPr>
        <w:t>。</w:t>
      </w:r>
    </w:p>
    <w:p>
      <w:pPr>
        <w:keepNext w:val="0"/>
        <w:keepLines w:val="0"/>
        <w:pageBreakBefore w:val="0"/>
        <w:widowControl/>
        <w:kinsoku/>
        <w:wordWrap/>
        <w:overflowPunct/>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打好碧水保卫战。</w:t>
      </w:r>
      <w:r>
        <w:rPr>
          <w:rFonts w:hint="default" w:ascii="Times New Roman" w:hAnsi="Times New Roman" w:eastAsia="仿宋_GB2312" w:cs="Times New Roman"/>
          <w:color w:val="auto"/>
          <w:spacing w:val="0"/>
          <w:sz w:val="32"/>
          <w:szCs w:val="32"/>
          <w:highlight w:val="none"/>
        </w:rPr>
        <w:t>以美丽河湖建设为统领，</w:t>
      </w:r>
      <w:r>
        <w:rPr>
          <w:rFonts w:hint="default" w:ascii="Times New Roman" w:hAnsi="Times New Roman" w:eastAsia="仿宋_GB2312" w:cs="Times New Roman"/>
          <w:color w:val="auto"/>
          <w:spacing w:val="0"/>
          <w:sz w:val="32"/>
          <w:szCs w:val="32"/>
          <w:highlight w:val="none"/>
          <w:lang w:val="en-US" w:eastAsia="zh-CN"/>
        </w:rPr>
        <w:t>以争创</w:t>
      </w:r>
      <w:r>
        <w:rPr>
          <w:rFonts w:hint="default" w:ascii="Times New Roman" w:hAnsi="Times New Roman" w:eastAsia="仿宋_GB2312" w:cs="Times New Roman"/>
          <w:b w:val="0"/>
          <w:bCs w:val="0"/>
          <w:color w:val="auto"/>
          <w:sz w:val="32"/>
          <w:szCs w:val="32"/>
          <w:highlight w:val="none"/>
          <w:lang w:val="en-US" w:eastAsia="zh-CN"/>
        </w:rPr>
        <w:t>国家级美丽海湾为目标，</w:t>
      </w:r>
      <w:r>
        <w:rPr>
          <w:rFonts w:hint="default" w:ascii="Times New Roman" w:hAnsi="Times New Roman" w:eastAsia="仿宋_GB2312" w:cs="Times New Roman"/>
          <w:color w:val="auto"/>
          <w:spacing w:val="0"/>
          <w:sz w:val="32"/>
          <w:szCs w:val="32"/>
          <w:highlight w:val="none"/>
          <w:lang w:val="en-US" w:eastAsia="zh-CN"/>
        </w:rPr>
        <w:t>坚持</w:t>
      </w:r>
      <w:r>
        <w:rPr>
          <w:rFonts w:hint="default" w:ascii="Times New Roman" w:hAnsi="Times New Roman" w:eastAsia="仿宋_GB2312" w:cs="Times New Roman"/>
          <w:color w:val="auto"/>
          <w:spacing w:val="0"/>
          <w:sz w:val="32"/>
          <w:szCs w:val="32"/>
          <w:highlight w:val="none"/>
        </w:rPr>
        <w:t>水资源、水环境、水生态</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三水</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协同治理。</w:t>
      </w:r>
      <w:r>
        <w:rPr>
          <w:rFonts w:hint="default" w:ascii="Times New Roman" w:hAnsi="Times New Roman" w:eastAsia="仿宋_GB2312" w:cs="Times New Roman"/>
          <w:color w:val="auto"/>
          <w:sz w:val="32"/>
          <w:szCs w:val="32"/>
          <w:highlight w:val="none"/>
          <w:u w:val="none" w:color="auto"/>
        </w:rPr>
        <w:t>加强饮用水水源地保护，推进实施一批雨洪资源利用、水系联通、供水保障、水旱灾害防御等重点水利工程，提升城市水安全保障能力</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确保</w:t>
      </w:r>
      <w:r>
        <w:rPr>
          <w:rFonts w:hint="default" w:ascii="Times New Roman" w:hAnsi="Times New Roman" w:eastAsia="仿宋_GB2312" w:cs="Times New Roman"/>
          <w:color w:val="auto"/>
          <w:sz w:val="32"/>
          <w:szCs w:val="32"/>
          <w:highlight w:val="none"/>
          <w:lang w:val="en-US" w:eastAsia="zh-CN"/>
        </w:rPr>
        <w:t>两处城市集中式饮用水源地水质优良率保持100%</w:t>
      </w:r>
      <w:r>
        <w:rPr>
          <w:rFonts w:hint="default" w:ascii="Times New Roman" w:hAnsi="Times New Roman" w:eastAsia="仿宋_GB2312" w:cs="Times New Roman"/>
          <w:color w:val="auto"/>
          <w:sz w:val="32"/>
          <w:szCs w:val="32"/>
          <w:highlight w:val="none"/>
          <w:u w:val="none" w:color="auto"/>
        </w:rPr>
        <w:t>。</w:t>
      </w:r>
      <w:r>
        <w:rPr>
          <w:rFonts w:hint="default" w:ascii="Times New Roman" w:hAnsi="Times New Roman" w:eastAsia="仿宋_GB2312" w:cs="Times New Roman"/>
          <w:color w:val="auto"/>
          <w:sz w:val="32"/>
          <w:szCs w:val="32"/>
          <w:highlight w:val="none"/>
          <w:lang w:val="en-US" w:eastAsia="en-US"/>
        </w:rPr>
        <w:t>建立地下水污染风险管控和修复机制</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严格地表水、地下水污染协同防治，推进</w:t>
      </w:r>
      <w:r>
        <w:rPr>
          <w:rFonts w:hint="default" w:ascii="Times New Roman" w:hAnsi="Times New Roman" w:eastAsia="仿宋_GB2312" w:cs="Times New Roman"/>
          <w:color w:val="auto"/>
          <w:sz w:val="32"/>
          <w:szCs w:val="32"/>
          <w:highlight w:val="none"/>
          <w:lang w:val="en-US" w:eastAsia="en-US"/>
        </w:rPr>
        <w:t>工业、城镇、农村水</w:t>
      </w:r>
      <w:r>
        <w:rPr>
          <w:rFonts w:hint="default" w:ascii="Times New Roman" w:hAnsi="Times New Roman" w:eastAsia="仿宋_GB2312" w:cs="Times New Roman"/>
          <w:color w:val="auto"/>
          <w:sz w:val="32"/>
          <w:szCs w:val="32"/>
          <w:highlight w:val="none"/>
          <w:lang w:eastAsia="en-US"/>
        </w:rPr>
        <w:t>污染</w:t>
      </w:r>
      <w:r>
        <w:rPr>
          <w:rFonts w:hint="default" w:ascii="Times New Roman" w:hAnsi="Times New Roman" w:eastAsia="仿宋_GB2312" w:cs="Times New Roman"/>
          <w:color w:val="auto"/>
          <w:spacing w:val="0"/>
          <w:sz w:val="32"/>
          <w:szCs w:val="32"/>
          <w:highlight w:val="none"/>
        </w:rPr>
        <w:t>三</w:t>
      </w:r>
      <w:r>
        <w:rPr>
          <w:rFonts w:hint="default" w:ascii="Times New Roman" w:hAnsi="Times New Roman" w:eastAsia="仿宋_GB2312" w:cs="Times New Roman"/>
          <w:color w:val="auto"/>
          <w:sz w:val="32"/>
          <w:szCs w:val="32"/>
          <w:highlight w:val="none"/>
          <w:lang w:val="en-US" w:eastAsia="en-US"/>
        </w:rPr>
        <w:t>源治理</w:t>
      </w:r>
      <w:r>
        <w:rPr>
          <w:rFonts w:hint="default" w:ascii="Times New Roman" w:hAnsi="Times New Roman" w:eastAsia="仿宋_GB2312" w:cs="Times New Roman"/>
          <w:color w:val="auto"/>
          <w:sz w:val="32"/>
          <w:szCs w:val="32"/>
          <w:highlight w:val="none"/>
          <w:lang w:eastAsia="en-US"/>
        </w:rPr>
        <w:t>。</w:t>
      </w:r>
      <w:r>
        <w:rPr>
          <w:rFonts w:hint="default" w:ascii="Times New Roman" w:hAnsi="Times New Roman" w:eastAsia="仿宋_GB2312" w:cs="Times New Roman"/>
          <w:color w:val="auto"/>
          <w:sz w:val="32"/>
          <w:szCs w:val="32"/>
          <w:highlight w:val="none"/>
          <w:lang w:val="en-US" w:eastAsia="en-US"/>
        </w:rPr>
        <w:t>加强乳山河、黄垒河等重点河流治理，实施河道清淤、生态修复等工程，改善河流水质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确保重点河流水质均值稳定达标</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en-US"/>
        </w:rPr>
        <w:t>加强近岸海域污染</w:t>
      </w:r>
      <w:r>
        <w:rPr>
          <w:rFonts w:hint="default" w:ascii="Times New Roman" w:hAnsi="Times New Roman" w:eastAsia="仿宋_GB2312" w:cs="Times New Roman"/>
          <w:color w:val="auto"/>
          <w:sz w:val="32"/>
          <w:szCs w:val="32"/>
          <w:highlight w:val="none"/>
          <w:lang w:val="en-US" w:eastAsia="zh-CN"/>
        </w:rPr>
        <w:t>防治</w:t>
      </w:r>
      <w:r>
        <w:rPr>
          <w:rFonts w:hint="default" w:ascii="Times New Roman" w:hAnsi="Times New Roman" w:eastAsia="仿宋_GB2312" w:cs="Times New Roman"/>
          <w:color w:val="auto"/>
          <w:sz w:val="32"/>
          <w:szCs w:val="32"/>
          <w:highlight w:val="none"/>
          <w:lang w:val="en-US" w:eastAsia="en-US"/>
        </w:rPr>
        <w:t>，严控陆源污染物排海，</w:t>
      </w:r>
      <w:r>
        <w:rPr>
          <w:rFonts w:hint="default" w:ascii="Times New Roman" w:hAnsi="Times New Roman" w:eastAsia="仿宋_GB2312" w:cs="Times New Roman"/>
          <w:color w:val="auto"/>
          <w:sz w:val="32"/>
          <w:szCs w:val="32"/>
          <w:highlight w:val="none"/>
          <w:lang w:val="en-US" w:eastAsia="zh-CN"/>
        </w:rPr>
        <w:t>入海总氮稳步改善，确保近岸海域海水水质优良率保持100%。</w:t>
      </w:r>
    </w:p>
    <w:p>
      <w:pPr>
        <w:keepNext w:val="0"/>
        <w:keepLines w:val="0"/>
        <w:pageBreakBefore w:val="0"/>
        <w:widowControl w:val="0"/>
        <w:kinsoku/>
        <w:wordWrap/>
        <w:overflowPunct/>
        <w:topLinePunct w:val="0"/>
        <w:autoSpaceDE/>
        <w:autoSpaceDN/>
        <w:bidi w:val="0"/>
        <w:adjustRightInd/>
        <w:snapToGrid/>
        <w:spacing w:after="157" w:afterLines="50" w:line="57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en-US"/>
        </w:rPr>
      </w:pPr>
      <w:r>
        <w:rPr>
          <w:rFonts w:hint="default" w:ascii="Times New Roman" w:hAnsi="Times New Roman" w:eastAsia="楷体_GB2312" w:cs="Times New Roman"/>
          <w:b w:val="0"/>
          <w:bCs w:val="0"/>
          <w:color w:val="auto"/>
          <w:sz w:val="32"/>
          <w:szCs w:val="32"/>
          <w:highlight w:val="none"/>
          <w:lang w:val="en-US" w:eastAsia="zh-CN" w:bidi="ar"/>
        </w:rPr>
        <w:t>打好净土保卫战。</w:t>
      </w:r>
      <w:r>
        <w:rPr>
          <w:rFonts w:hint="default" w:ascii="Times New Roman" w:hAnsi="Times New Roman" w:eastAsia="仿宋_GB2312" w:cs="Times New Roman"/>
          <w:b w:val="0"/>
          <w:bCs w:val="0"/>
          <w:color w:val="auto"/>
          <w:sz w:val="32"/>
          <w:szCs w:val="32"/>
          <w:highlight w:val="none"/>
          <w:lang w:val="en-US" w:eastAsia="en-US"/>
        </w:rPr>
        <w:t>坚守土壤环境质量底线，统筹推进农用地、建设用地、农业面源等重点领域土壤污染防治，实现</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en-US"/>
        </w:rPr>
        <w:t>土净、地绿、粮安</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en-US"/>
        </w:rPr>
        <w:t>目标。</w:t>
      </w:r>
      <w:r>
        <w:rPr>
          <w:rFonts w:hint="default" w:ascii="Times New Roman" w:hAnsi="Times New Roman" w:eastAsia="仿宋_GB2312" w:cs="Times New Roman"/>
          <w:color w:val="auto"/>
          <w:spacing w:val="0"/>
          <w:sz w:val="32"/>
          <w:szCs w:val="32"/>
          <w:highlight w:val="none"/>
          <w:lang w:eastAsia="en-US"/>
        </w:rPr>
        <w:t>实施土壤污染源头防控行动，完善工业固体废物处置体系，严厉打击非法倾倒、填埋危险废物的行为</w:t>
      </w:r>
      <w:r>
        <w:rPr>
          <w:rFonts w:hint="default" w:ascii="Times New Roman" w:hAnsi="Times New Roman" w:eastAsia="仿宋_GB2312" w:cs="Times New Roman"/>
          <w:color w:val="auto"/>
          <w:spacing w:val="0"/>
          <w:sz w:val="32"/>
          <w:szCs w:val="32"/>
          <w:highlight w:val="none"/>
          <w:lang w:eastAsia="zh-CN"/>
        </w:rPr>
        <w:t>。严格执行化肥、农药、农膜等农业投入品的质量标准，推广测土配方施肥、绿色防控技术和有机肥替代化肥行动</w:t>
      </w:r>
      <w:r>
        <w:rPr>
          <w:rFonts w:hint="default" w:ascii="Times New Roman" w:hAnsi="Times New Roman" w:eastAsia="仿宋_GB2312" w:cs="Times New Roman"/>
          <w:color w:val="auto"/>
          <w:spacing w:val="0"/>
          <w:sz w:val="32"/>
          <w:szCs w:val="32"/>
          <w:highlight w:val="none"/>
          <w:lang w:eastAsia="en-US"/>
        </w:rPr>
        <w:t>。</w:t>
      </w:r>
      <w:r>
        <w:rPr>
          <w:rFonts w:hint="default" w:ascii="Times New Roman" w:hAnsi="Times New Roman" w:eastAsia="仿宋_GB2312" w:cs="Times New Roman"/>
          <w:color w:val="auto"/>
          <w:spacing w:val="0"/>
          <w:sz w:val="32"/>
          <w:szCs w:val="32"/>
          <w:highlight w:val="none"/>
          <w:lang w:val="en-US" w:eastAsia="zh-CN"/>
        </w:rPr>
        <w:t>科学运用</w:t>
      </w:r>
      <w:r>
        <w:rPr>
          <w:rFonts w:hint="default" w:ascii="Times New Roman" w:hAnsi="Times New Roman" w:eastAsia="仿宋_GB2312" w:cs="Times New Roman"/>
          <w:color w:val="auto"/>
          <w:spacing w:val="0"/>
          <w:sz w:val="32"/>
          <w:szCs w:val="32"/>
          <w:highlight w:val="none"/>
          <w:lang w:eastAsia="en-US"/>
        </w:rPr>
        <w:t>卫星遥感、地面监测站点、</w:t>
      </w:r>
      <w:r>
        <w:rPr>
          <w:rFonts w:hint="default" w:ascii="Times New Roman" w:hAnsi="Times New Roman" w:eastAsia="仿宋_GB2312" w:cs="Times New Roman"/>
          <w:color w:val="auto"/>
          <w:spacing w:val="0"/>
          <w:sz w:val="32"/>
          <w:szCs w:val="32"/>
          <w:highlight w:val="none"/>
          <w:lang w:val="en-US" w:eastAsia="zh-CN"/>
        </w:rPr>
        <w:t>低空</w:t>
      </w:r>
      <w:r>
        <w:rPr>
          <w:rFonts w:hint="default" w:ascii="Times New Roman" w:hAnsi="Times New Roman" w:eastAsia="仿宋_GB2312" w:cs="Times New Roman"/>
          <w:color w:val="auto"/>
          <w:spacing w:val="0"/>
          <w:sz w:val="32"/>
          <w:szCs w:val="32"/>
          <w:highlight w:val="none"/>
          <w:lang w:eastAsia="en-US"/>
        </w:rPr>
        <w:t>移动监测设备等资源，建立土壤环境监测网络，实现土壤污染物实时监控和动态预警。</w:t>
      </w:r>
      <w:r>
        <w:rPr>
          <w:rFonts w:hint="default" w:ascii="Times New Roman" w:hAnsi="Times New Roman" w:eastAsia="仿宋_GB2312" w:cs="Times New Roman"/>
          <w:color w:val="auto"/>
          <w:sz w:val="32"/>
          <w:szCs w:val="32"/>
          <w:highlight w:val="none"/>
          <w:lang w:val="en-US" w:eastAsia="en-US"/>
        </w:rPr>
        <w:t>开展土壤污染状况详查，</w:t>
      </w:r>
      <w:r>
        <w:rPr>
          <w:rFonts w:hint="default" w:ascii="Times New Roman" w:hAnsi="Times New Roman" w:eastAsia="仿宋_GB2312" w:cs="Times New Roman"/>
          <w:color w:val="auto"/>
          <w:spacing w:val="0"/>
          <w:sz w:val="32"/>
          <w:szCs w:val="32"/>
          <w:highlight w:val="none"/>
          <w:lang w:eastAsia="en-US"/>
        </w:rPr>
        <w:t>利用大数据、人工智能技术分析土壤污染演变趋势，</w:t>
      </w:r>
      <w:r>
        <w:rPr>
          <w:rFonts w:hint="default" w:ascii="Times New Roman" w:hAnsi="Times New Roman" w:eastAsia="仿宋_GB2312" w:cs="Times New Roman"/>
          <w:color w:val="auto"/>
          <w:sz w:val="32"/>
          <w:szCs w:val="32"/>
          <w:highlight w:val="none"/>
          <w:lang w:val="en-US" w:eastAsia="en-US"/>
        </w:rPr>
        <w:t>实施污染地块风险管控和修复工程，确保污染地块安全利用率达100%。</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8939"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cs="Times New Roman" w:eastAsiaTheme="minorEastAsia"/>
                <w:color w:val="auto"/>
                <w:highlight w:val="none"/>
                <w:vertAlign w:val="baseline"/>
                <w:lang w:val="en-US" w:eastAsia="zh-CN"/>
              </w:rPr>
            </w:pPr>
            <w:bookmarkStart w:id="383" w:name="_Toc30138"/>
            <w:bookmarkStart w:id="384" w:name="_Toc8879"/>
            <w:bookmarkStart w:id="385" w:name="_Toc22205"/>
            <w:r>
              <w:rPr>
                <w:rFonts w:hint="default" w:ascii="Times New Roman" w:hAnsi="Times New Roman" w:eastAsia="黑体" w:cs="Times New Roman"/>
                <w:b w:val="0"/>
                <w:bCs w:val="0"/>
                <w:color w:val="auto"/>
                <w:sz w:val="28"/>
                <w:szCs w:val="28"/>
                <w:highlight w:val="none"/>
                <w:vertAlign w:val="baseline"/>
                <w:lang w:val="en-US" w:eastAsia="zh-CN"/>
              </w:rPr>
              <w:t>专栏18：生态环境治理保护修复重点项目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1" w:hRule="atLeast"/>
        </w:trPr>
        <w:tc>
          <w:tcPr>
            <w:tcW w:w="8939" w:type="dxa"/>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afterLines="0" w:line="480" w:lineRule="exact"/>
              <w:ind w:firstLine="560" w:firstLineChars="200"/>
              <w:jc w:val="both"/>
              <w:textAlignment w:val="center"/>
              <w:rPr>
                <w:rFonts w:hint="default" w:ascii="Times New Roman" w:hAnsi="Times New Roman" w:cs="Times New Roman"/>
                <w:color w:val="auto"/>
                <w:highlight w:val="none"/>
                <w:vertAlign w:val="baseline"/>
              </w:rPr>
            </w:pPr>
            <w:r>
              <w:rPr>
                <w:rFonts w:hint="default" w:ascii="Times New Roman" w:hAnsi="Times New Roman" w:eastAsia="仿宋_GB2312" w:cs="Times New Roman"/>
                <w:b w:val="0"/>
                <w:bCs w:val="0"/>
                <w:color w:val="auto"/>
                <w:kern w:val="44"/>
                <w:sz w:val="28"/>
                <w:szCs w:val="28"/>
                <w:highlight w:val="none"/>
                <w:lang w:val="en-US" w:eastAsia="zh-CN" w:bidi="ar-SA"/>
              </w:rPr>
              <w:t>乳山河流域水土保持及水土流失治理项目，乳山市河道治理工程，海洋生态修复整治项目，乳山市水库治理工程，乳山市白沙口大桥西防潮堤工程，乳山市省级幸福河湖建设项目，黄垒河拦蓄工程等。</w:t>
            </w:r>
          </w:p>
        </w:tc>
      </w:tr>
    </w:tbl>
    <w:p>
      <w:pPr>
        <w:pStyle w:val="3"/>
        <w:keepNext w:val="0"/>
        <w:keepLines w:val="0"/>
        <w:pageBreakBefore w:val="0"/>
        <w:widowControl w:val="0"/>
        <w:kinsoku/>
        <w:wordWrap/>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386" w:name="_Toc13075"/>
      <w:bookmarkStart w:id="387" w:name="_Toc11058"/>
      <w:bookmarkStart w:id="388" w:name="_Toc5666"/>
      <w:bookmarkStart w:id="389" w:name="_Toc14227"/>
      <w:bookmarkStart w:id="390" w:name="_Toc30556"/>
      <w:bookmarkStart w:id="391" w:name="_Toc9935"/>
      <w:r>
        <w:rPr>
          <w:rFonts w:hint="default" w:ascii="Times New Roman" w:hAnsi="Times New Roman" w:cs="Times New Roman"/>
          <w:snapToGrid w:val="0"/>
          <w:color w:val="auto"/>
          <w:sz w:val="32"/>
          <w:highlight w:val="none"/>
          <w:lang w:val="en-US" w:eastAsia="zh-CN"/>
        </w:rPr>
        <w:t>第三节 持续加大环境监管力度</w:t>
      </w:r>
      <w:bookmarkEnd w:id="383"/>
      <w:bookmarkEnd w:id="384"/>
      <w:bookmarkEnd w:id="385"/>
      <w:bookmarkEnd w:id="386"/>
      <w:bookmarkEnd w:id="387"/>
      <w:bookmarkEnd w:id="388"/>
      <w:bookmarkEnd w:id="389"/>
      <w:bookmarkEnd w:id="390"/>
      <w:bookmarkEnd w:id="391"/>
    </w:p>
    <w:p>
      <w:pPr>
        <w:pStyle w:val="31"/>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严格落实环境影响评价等生态环境源头预防制度，</w:t>
      </w:r>
      <w:r>
        <w:rPr>
          <w:rFonts w:hint="default" w:ascii="Times New Roman" w:hAnsi="Times New Roman" w:eastAsia="仿宋_GB2312" w:cs="Times New Roman"/>
          <w:color w:val="auto"/>
          <w:kern w:val="0"/>
          <w:sz w:val="32"/>
          <w:szCs w:val="32"/>
          <w:highlight w:val="none"/>
          <w:lang w:eastAsia="zh-CN" w:bidi="ar"/>
        </w:rPr>
        <w:t>构建全区域各行业环境污染执法监管网络，</w:t>
      </w:r>
      <w:r>
        <w:rPr>
          <w:rFonts w:hint="default" w:ascii="Times New Roman" w:hAnsi="Times New Roman" w:eastAsia="仿宋_GB2312" w:cs="Times New Roman"/>
          <w:b w:val="0"/>
          <w:bCs w:val="0"/>
          <w:color w:val="auto"/>
          <w:spacing w:val="0"/>
          <w:kern w:val="0"/>
          <w:sz w:val="32"/>
          <w:szCs w:val="32"/>
          <w:highlight w:val="none"/>
          <w:u w:val="none"/>
          <w:lang w:val="en-US" w:eastAsia="zh-CN" w:bidi="ar"/>
        </w:rPr>
        <w:t>坚决守牢生态环境安全底线。</w:t>
      </w:r>
    </w:p>
    <w:p>
      <w:pPr>
        <w:pStyle w:val="31"/>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严格环境准入制度。</w:t>
      </w:r>
      <w:r>
        <w:rPr>
          <w:rFonts w:hint="default" w:ascii="Times New Roman" w:hAnsi="Times New Roman" w:eastAsia="仿宋_GB2312" w:cs="Times New Roman"/>
          <w:b w:val="0"/>
          <w:bCs w:val="0"/>
          <w:color w:val="auto"/>
          <w:sz w:val="32"/>
          <w:szCs w:val="32"/>
          <w:highlight w:val="none"/>
          <w:lang w:val="en-US" w:eastAsia="zh-CN"/>
        </w:rPr>
        <w:t>全面实行空间准入、总量准入和项目准</w:t>
      </w:r>
    </w:p>
    <w:p>
      <w:pPr>
        <w:pStyle w:val="31"/>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0" w:firstLineChars="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入，强化建设项目全过程监管。</w:t>
      </w:r>
      <w:r>
        <w:rPr>
          <w:rFonts w:hint="default" w:ascii="Times New Roman" w:hAnsi="Times New Roman" w:eastAsia="仿宋_GB2312" w:cs="Times New Roman"/>
          <w:color w:val="auto"/>
          <w:kern w:val="0"/>
          <w:sz w:val="31"/>
          <w:szCs w:val="31"/>
          <w:highlight w:val="none"/>
          <w:lang w:val="en-US" w:eastAsia="zh-CN" w:bidi="ar"/>
        </w:rPr>
        <w:t>根据资源环境承载能力，实施差别化的环境准入和管理政策。建立规划环评和项目环评审批联动机制，完善</w:t>
      </w:r>
      <w:r>
        <w:rPr>
          <w:rFonts w:hint="default" w:ascii="Times New Roman" w:hAnsi="Times New Roman" w:eastAsia="仿宋_GB2312" w:cs="Times New Roman"/>
          <w:color w:val="auto"/>
          <w:sz w:val="32"/>
          <w:szCs w:val="32"/>
          <w:highlight w:val="none"/>
          <w:lang w:val="en-US" w:eastAsia="en-US"/>
        </w:rPr>
        <w:t>项目审批与区域环境质量、</w:t>
      </w:r>
      <w:r>
        <w:rPr>
          <w:rFonts w:hint="default" w:ascii="Times New Roman" w:hAnsi="Times New Roman" w:eastAsia="仿宋_GB2312" w:cs="Times New Roman"/>
          <w:color w:val="auto"/>
          <w:kern w:val="0"/>
          <w:sz w:val="31"/>
          <w:szCs w:val="31"/>
          <w:highlight w:val="none"/>
          <w:lang w:val="en-US" w:eastAsia="zh-CN" w:bidi="ar"/>
        </w:rPr>
        <w:t>产业结构调整、污染减排绩效</w:t>
      </w:r>
      <w:r>
        <w:rPr>
          <w:rFonts w:hint="default" w:ascii="Times New Roman" w:hAnsi="Times New Roman" w:eastAsia="仿宋_GB2312" w:cs="Times New Roman"/>
          <w:color w:val="auto"/>
          <w:sz w:val="32"/>
          <w:szCs w:val="32"/>
          <w:highlight w:val="none"/>
          <w:lang w:val="en-US" w:eastAsia="en-US"/>
        </w:rPr>
        <w:t>挂钩机制。</w:t>
      </w:r>
      <w:r>
        <w:rPr>
          <w:rFonts w:hint="default" w:ascii="Times New Roman" w:hAnsi="Times New Roman" w:eastAsia="仿宋_GB2312" w:cs="Times New Roman"/>
          <w:color w:val="auto"/>
          <w:sz w:val="32"/>
          <w:szCs w:val="32"/>
          <w:highlight w:val="none"/>
          <w:lang w:eastAsia="en-US"/>
        </w:rPr>
        <w:t>加强行业准入和执法倒逼，严格落实准入标准和负面清单，严守项目建设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en-US"/>
        </w:rPr>
        <w:t>绿色门槛</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en-US"/>
        </w:rPr>
        <w:t>增强发展的生态成本意识</w:t>
      </w:r>
      <w:r>
        <w:rPr>
          <w:rFonts w:hint="default" w:ascii="Times New Roman" w:hAnsi="Times New Roman" w:eastAsia="仿宋_GB2312" w:cs="Times New Roman"/>
          <w:color w:val="auto"/>
          <w:sz w:val="32"/>
          <w:szCs w:val="32"/>
          <w:highlight w:val="none"/>
          <w:lang w:eastAsia="zh-CN"/>
        </w:rPr>
        <w:t>。</w:t>
      </w:r>
    </w:p>
    <w:p>
      <w:pPr>
        <w:pStyle w:val="31"/>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b w:val="0"/>
          <w:bCs w:val="0"/>
          <w:color w:val="auto"/>
          <w:spacing w:val="0"/>
          <w:kern w:val="21"/>
          <w:sz w:val="32"/>
          <w:szCs w:val="32"/>
          <w:highlight w:val="none"/>
          <w:u w:val="none"/>
          <w:lang w:val="en-US" w:eastAsia="zh-CN" w:bidi="ar-SA"/>
        </w:rPr>
      </w:pPr>
      <w:r>
        <w:rPr>
          <w:rFonts w:hint="default" w:ascii="Times New Roman" w:hAnsi="Times New Roman" w:eastAsia="楷体_GB2312" w:cs="Times New Roman"/>
          <w:b w:val="0"/>
          <w:bCs w:val="0"/>
          <w:color w:val="auto"/>
          <w:sz w:val="32"/>
          <w:szCs w:val="32"/>
          <w:highlight w:val="none"/>
          <w:lang w:val="en-US" w:eastAsia="zh-CN" w:bidi="ar"/>
        </w:rPr>
        <w:t>强化生态环境执法监管。</w:t>
      </w:r>
      <w:r>
        <w:rPr>
          <w:rFonts w:hint="default" w:ascii="Times New Roman" w:hAnsi="Times New Roman" w:eastAsia="仿宋_GB2312" w:cs="Times New Roman"/>
          <w:b w:val="0"/>
          <w:bCs w:val="0"/>
          <w:color w:val="auto"/>
          <w:sz w:val="32"/>
          <w:szCs w:val="32"/>
          <w:highlight w:val="none"/>
          <w:lang w:val="en-US" w:eastAsia="zh-CN"/>
        </w:rPr>
        <w:t>加快落实以排污许可制为核心的固定污染源监管制度，</w:t>
      </w:r>
      <w:r>
        <w:rPr>
          <w:rFonts w:hint="default" w:ascii="Times New Roman" w:hAnsi="Times New Roman" w:eastAsia="仿宋_GB2312" w:cs="Times New Roman"/>
          <w:b w:val="0"/>
          <w:bCs w:val="0"/>
          <w:color w:val="auto"/>
          <w:sz w:val="32"/>
          <w:szCs w:val="32"/>
          <w:highlight w:val="none"/>
          <w:lang w:eastAsia="en-US"/>
        </w:rPr>
        <w:t>严格执行污</w:t>
      </w:r>
      <w:r>
        <w:rPr>
          <w:rFonts w:hint="default" w:ascii="Times New Roman" w:hAnsi="Times New Roman" w:eastAsia="仿宋_GB2312" w:cs="Times New Roman"/>
          <w:color w:val="auto"/>
          <w:sz w:val="32"/>
          <w:szCs w:val="32"/>
          <w:highlight w:val="none"/>
          <w:lang w:eastAsia="en-US"/>
        </w:rPr>
        <w:t>染物排放标准和主要污染物总量控制制度，</w:t>
      </w:r>
      <w:r>
        <w:rPr>
          <w:rFonts w:hint="default" w:ascii="Times New Roman" w:hAnsi="Times New Roman" w:eastAsia="仿宋_GB2312" w:cs="Times New Roman"/>
          <w:color w:val="auto"/>
          <w:sz w:val="32"/>
          <w:szCs w:val="32"/>
          <w:highlight w:val="none"/>
          <w:lang w:val="en-US" w:eastAsia="en-US"/>
        </w:rPr>
        <w:t>建立重点污染源监控平台，</w:t>
      </w:r>
      <w:r>
        <w:rPr>
          <w:rFonts w:hint="default" w:ascii="Times New Roman" w:hAnsi="Times New Roman" w:eastAsia="仿宋_GB2312" w:cs="Times New Roman"/>
          <w:color w:val="auto"/>
          <w:sz w:val="32"/>
          <w:szCs w:val="32"/>
          <w:highlight w:val="none"/>
          <w:lang w:eastAsia="en-US"/>
        </w:rPr>
        <w:t>抓好重点园区、重点行业、重点企业的污染防治</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en-US"/>
        </w:rPr>
        <w:t>建立</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en-US"/>
        </w:rPr>
        <w:t>双随机、一公开</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en-US"/>
        </w:rPr>
        <w:t>环境执法机制，加大对环境违法行为的查处力度，严厉打击偷排漏排、超标排放等环境违法行为。</w:t>
      </w:r>
      <w:r>
        <w:rPr>
          <w:rFonts w:hint="default" w:ascii="Times New Roman" w:hAnsi="Times New Roman" w:eastAsia="仿宋_GB2312" w:cs="Times New Roman"/>
          <w:color w:val="auto"/>
          <w:sz w:val="32"/>
          <w:szCs w:val="32"/>
          <w:highlight w:val="none"/>
          <w:lang w:eastAsia="en-US"/>
        </w:rPr>
        <w:t>加快环境执法队伍建设，完善环境监管联合执法制度，加强生态、公安、住建、城市综合执法等多部门统筹协调，</w:t>
      </w:r>
      <w:r>
        <w:rPr>
          <w:rFonts w:hint="default" w:ascii="Times New Roman" w:hAnsi="Times New Roman" w:eastAsia="仿宋_GB2312" w:cs="Times New Roman"/>
          <w:color w:val="auto"/>
          <w:sz w:val="32"/>
          <w:szCs w:val="32"/>
          <w:highlight w:val="none"/>
          <w:lang w:val="en-US" w:eastAsia="zh-CN"/>
        </w:rPr>
        <w:t>提升环境污染执法监管水平。</w:t>
      </w:r>
      <w:r>
        <w:rPr>
          <w:rFonts w:hint="default" w:ascii="Times New Roman" w:hAnsi="Times New Roman" w:eastAsia="仿宋_GB2312" w:cs="Times New Roman"/>
          <w:color w:val="auto"/>
          <w:sz w:val="32"/>
          <w:szCs w:val="32"/>
          <w:highlight w:val="none"/>
          <w:lang w:val="en-US" w:eastAsia="en-US"/>
        </w:rPr>
        <w:t>建立生态环境信息公开制度，定期公开环境质量状况、污染源监测数据、建设项目环评信息等，保障公众的环境知情权、参与权和监督权。</w:t>
      </w:r>
    </w:p>
    <w:p>
      <w:pPr>
        <w:pStyle w:val="31"/>
        <w:keepNext w:val="0"/>
        <w:keepLines w:val="0"/>
        <w:pageBreakBefore w:val="0"/>
        <w:widowControl w:val="0"/>
        <w:kinsoku/>
        <w:wordWrap/>
        <w:overflowPunct w:val="0"/>
        <w:topLinePunct w:val="0"/>
        <w:autoSpaceDE/>
        <w:autoSpaceDN/>
        <w:bidi w:val="0"/>
        <w:spacing w:line="570" w:lineRule="exact"/>
        <w:ind w:firstLine="640" w:firstLineChars="200"/>
        <w:textAlignment w:val="auto"/>
        <w:rPr>
          <w:rFonts w:hint="default" w:ascii="Times New Roman" w:hAnsi="Times New Roman" w:eastAsia="仿宋_GB2312" w:cs="Times New Roman"/>
          <w:b w:val="0"/>
          <w:bCs w:val="0"/>
          <w:color w:val="auto"/>
          <w:spacing w:val="0"/>
          <w:kern w:val="21"/>
          <w:sz w:val="32"/>
          <w:szCs w:val="32"/>
          <w:highlight w:val="none"/>
          <w:u w:val="none"/>
          <w:lang w:val="en-US" w:eastAsia="zh-CN" w:bidi="ar-SA"/>
        </w:rPr>
      </w:pPr>
      <w:r>
        <w:rPr>
          <w:rFonts w:hint="default" w:ascii="Times New Roman" w:hAnsi="Times New Roman" w:eastAsia="楷体_GB2312" w:cs="Times New Roman"/>
          <w:b w:val="0"/>
          <w:bCs w:val="0"/>
          <w:color w:val="auto"/>
          <w:spacing w:val="0"/>
          <w:kern w:val="2"/>
          <w:sz w:val="32"/>
          <w:szCs w:val="32"/>
          <w:highlight w:val="none"/>
          <w:u w:val="none"/>
          <w:lang w:val="en-US" w:eastAsia="zh-CN" w:bidi="ar"/>
        </w:rPr>
        <w:t>坚决守牢生态环境安全底线。</w:t>
      </w:r>
      <w:r>
        <w:rPr>
          <w:rFonts w:hint="default" w:ascii="Times New Roman" w:hAnsi="Times New Roman" w:eastAsia="仿宋_GB2312" w:cs="Times New Roman"/>
          <w:b w:val="0"/>
          <w:bCs w:val="0"/>
          <w:color w:val="auto"/>
          <w:spacing w:val="0"/>
          <w:kern w:val="21"/>
          <w:sz w:val="32"/>
          <w:szCs w:val="32"/>
          <w:highlight w:val="none"/>
          <w:u w:val="none"/>
          <w:lang w:val="en-US" w:eastAsia="zh-CN" w:bidi="ar-SA"/>
        </w:rPr>
        <w:t>完善生态环境标准、监测、评价和考核制度，强化生态保护修复统一监管，建立生态破坏问题协同监管机制，加强生态保护红线、自然保护地等重要生态空间生态环境监管。强化环境风险应急管理，健全环境风险防控体系，深化新污染物治理，强化重金属和尾矿库污染防控，提升核与辐射安全管理水平，完善核与辐射应急体系。统筹推进生态系统保护和修复工程，实施生物多样性保护重大工程，完善生物多样性保护空间网络，推进生物多样性调查。</w:t>
      </w:r>
    </w:p>
    <w:p>
      <w:pPr>
        <w:pStyle w:val="31"/>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color w:val="auto"/>
          <w:spacing w:val="0"/>
          <w:kern w:val="21"/>
          <w:sz w:val="32"/>
          <w:szCs w:val="32"/>
          <w:highlight w:val="none"/>
          <w:u w:val="none"/>
          <w:lang w:val="en-US" w:eastAsia="zh-CN" w:bidi="ar-SA"/>
        </w:rPr>
      </w:pPr>
    </w:p>
    <w:p>
      <w:pPr>
        <w:pStyle w:val="31"/>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color w:val="auto"/>
          <w:spacing w:val="0"/>
          <w:kern w:val="21"/>
          <w:sz w:val="32"/>
          <w:szCs w:val="32"/>
          <w:highlight w:val="none"/>
          <w:u w:val="none"/>
          <w:lang w:val="en-US" w:eastAsia="zh-CN" w:bidi="ar-SA"/>
        </w:rPr>
      </w:pPr>
    </w:p>
    <w:p>
      <w:pPr>
        <w:pStyle w:val="31"/>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color w:val="auto"/>
          <w:spacing w:val="0"/>
          <w:kern w:val="21"/>
          <w:sz w:val="32"/>
          <w:szCs w:val="32"/>
          <w:highlight w:val="none"/>
          <w:u w:val="none"/>
          <w:lang w:val="en-US" w:eastAsia="zh-CN" w:bidi="ar-SA"/>
        </w:rPr>
      </w:pPr>
    </w:p>
    <w:p>
      <w:pPr>
        <w:pStyle w:val="2"/>
        <w:pageBreakBefore w:val="0"/>
        <w:kinsoku/>
        <w:wordWrap/>
        <w:topLinePunct w:val="0"/>
        <w:autoSpaceDE/>
        <w:autoSpaceDN/>
        <w:bidi w:val="0"/>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392" w:name="_Toc24475"/>
      <w:bookmarkStart w:id="393" w:name="_Toc23996"/>
      <w:r>
        <w:rPr>
          <w:rFonts w:hint="default" w:ascii="Times New Roman" w:hAnsi="Times New Roman" w:eastAsia="黑体" w:cs="Times New Roman"/>
          <w:b w:val="0"/>
          <w:bCs w:val="0"/>
          <w:color w:val="auto"/>
          <w:sz w:val="32"/>
          <w:szCs w:val="32"/>
          <w:highlight w:val="none"/>
          <w:lang w:val="en-US" w:eastAsia="zh-CN"/>
        </w:rPr>
        <w:t>第十一章 传承创新优秀文化，</w:t>
      </w:r>
      <w:bookmarkEnd w:id="260"/>
      <w:bookmarkEnd w:id="261"/>
      <w:bookmarkEnd w:id="262"/>
      <w:bookmarkEnd w:id="359"/>
      <w:r>
        <w:rPr>
          <w:rFonts w:hint="default" w:ascii="Times New Roman" w:hAnsi="Times New Roman" w:eastAsia="黑体" w:cs="Times New Roman"/>
          <w:b w:val="0"/>
          <w:bCs w:val="0"/>
          <w:color w:val="auto"/>
          <w:sz w:val="32"/>
          <w:szCs w:val="32"/>
          <w:highlight w:val="none"/>
          <w:lang w:val="en-US" w:eastAsia="zh-CN"/>
        </w:rPr>
        <w:t>大力繁荣文化事业</w:t>
      </w:r>
      <w:bookmarkEnd w:id="360"/>
      <w:bookmarkEnd w:id="361"/>
      <w:bookmarkEnd w:id="362"/>
      <w:bookmarkEnd w:id="392"/>
      <w:bookmarkEnd w:id="393"/>
    </w:p>
    <w:p>
      <w:pPr>
        <w:keepNext w:val="0"/>
        <w:keepLines w:val="0"/>
        <w:pageBreakBefore w:val="0"/>
        <w:widowControl/>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i w:val="0"/>
          <w:iCs w:val="0"/>
          <w:caps w:val="0"/>
          <w:color w:val="auto"/>
          <w:spacing w:val="0"/>
          <w:sz w:val="32"/>
          <w:szCs w:val="32"/>
          <w:highlight w:val="none"/>
          <w:shd w:val="clear"/>
          <w:lang w:val="en-US" w:eastAsia="zh-CN"/>
        </w:rPr>
      </w:pPr>
      <w:bookmarkStart w:id="394" w:name="_Toc10619"/>
      <w:bookmarkStart w:id="395" w:name="_Toc17341"/>
      <w:r>
        <w:rPr>
          <w:rFonts w:hint="default" w:ascii="Times New Roman" w:hAnsi="Times New Roman" w:eastAsia="仿宋_GB2312" w:cs="Times New Roman"/>
          <w:i w:val="0"/>
          <w:iCs w:val="0"/>
          <w:caps w:val="0"/>
          <w:color w:val="auto"/>
          <w:spacing w:val="0"/>
          <w:sz w:val="32"/>
          <w:szCs w:val="32"/>
          <w:highlight w:val="none"/>
          <w:shd w:val="clear"/>
          <w:lang w:val="en-US" w:eastAsia="zh-CN"/>
        </w:rPr>
        <w:t>坚持以习近平文化思想为指引，持续深化优秀传统文化创造性转化、创新性发展，扎实做好新形势下宣传思想文化工作，更好推动文化惠民工程，不断增强城市文化软实力。</w:t>
      </w:r>
    </w:p>
    <w:bookmarkEnd w:id="394"/>
    <w:p>
      <w:pPr>
        <w:pStyle w:val="3"/>
        <w:keepNext w:val="0"/>
        <w:keepLines w:val="0"/>
        <w:pageBreakBefore w:val="0"/>
        <w:kinsoku/>
        <w:wordWrap/>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396" w:name="_Toc32498"/>
      <w:bookmarkStart w:id="397" w:name="_Toc6551"/>
      <w:bookmarkStart w:id="398" w:name="_Toc7723"/>
      <w:bookmarkStart w:id="399" w:name="_Toc4470"/>
      <w:bookmarkStart w:id="400" w:name="_Toc25582"/>
      <w:bookmarkStart w:id="401" w:name="_Toc25857"/>
      <w:bookmarkStart w:id="402" w:name="_Toc14406"/>
      <w:bookmarkStart w:id="403" w:name="_Toc28586"/>
      <w:r>
        <w:rPr>
          <w:rFonts w:hint="default" w:ascii="Times New Roman" w:hAnsi="Times New Roman" w:cs="Times New Roman"/>
          <w:snapToGrid w:val="0"/>
          <w:color w:val="auto"/>
          <w:sz w:val="32"/>
          <w:highlight w:val="none"/>
          <w:lang w:val="en-US" w:eastAsia="zh-CN"/>
        </w:rPr>
        <w:t>第一节 筑牢意识形态核心堡垒</w:t>
      </w:r>
      <w:bookmarkEnd w:id="395"/>
      <w:bookmarkEnd w:id="396"/>
      <w:bookmarkEnd w:id="397"/>
      <w:bookmarkEnd w:id="398"/>
      <w:bookmarkEnd w:id="399"/>
      <w:bookmarkEnd w:id="400"/>
      <w:bookmarkEnd w:id="401"/>
      <w:bookmarkEnd w:id="402"/>
      <w:bookmarkEnd w:id="403"/>
    </w:p>
    <w:p>
      <w:pPr>
        <w:keepNext w:val="0"/>
        <w:keepLines w:val="0"/>
        <w:pageBreakBefore w:val="0"/>
        <w:widowControl w:val="0"/>
        <w:suppressLineNumbers w:val="0"/>
        <w:kinsoku/>
        <w:wordWrap/>
        <w:overflowPunct/>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lang w:val="en-US" w:eastAsia="zh-CN" w:bidi="ar"/>
        </w:rPr>
      </w:pPr>
      <w:bookmarkStart w:id="404" w:name="_Toc133"/>
      <w:r>
        <w:rPr>
          <w:rFonts w:hint="default" w:ascii="Times New Roman" w:hAnsi="Times New Roman" w:eastAsia="仿宋_GB2312" w:cs="Times New Roman"/>
          <w:b w:val="0"/>
          <w:bCs w:val="0"/>
          <w:color w:val="auto"/>
          <w:kern w:val="0"/>
          <w:sz w:val="32"/>
          <w:szCs w:val="32"/>
          <w:highlight w:val="none"/>
          <w:lang w:val="en-US" w:eastAsia="zh-CN" w:bidi="ar"/>
        </w:rPr>
        <w:t>弘扬和践行社会主义核心价值观，推动形成适应新时代要求的思想观念、精神面貌、文明风尚、行为规范，为区域经济社会发展提供思想保证、精神力量和道德滋养。</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color w:val="auto"/>
          <w:spacing w:val="0"/>
          <w:sz w:val="32"/>
          <w:szCs w:val="32"/>
          <w:highlight w:val="none"/>
          <w:lang w:eastAsia="en-US"/>
        </w:rPr>
      </w:pPr>
      <w:r>
        <w:rPr>
          <w:rFonts w:hint="default" w:ascii="Times New Roman" w:hAnsi="Times New Roman" w:eastAsia="楷体_GB2312" w:cs="Times New Roman"/>
          <w:b w:val="0"/>
          <w:bCs w:val="0"/>
          <w:color w:val="auto"/>
          <w:sz w:val="32"/>
          <w:szCs w:val="32"/>
          <w:highlight w:val="none"/>
          <w:lang w:val="en-US" w:eastAsia="zh-CN" w:bidi="ar"/>
        </w:rPr>
        <w:t>提升思想理论引领力。</w:t>
      </w:r>
      <w:r>
        <w:rPr>
          <w:rFonts w:hint="default" w:ascii="Times New Roman" w:hAnsi="Times New Roman" w:eastAsia="仿宋_GB2312" w:cs="Times New Roman"/>
          <w:color w:val="auto"/>
          <w:spacing w:val="0"/>
          <w:sz w:val="32"/>
          <w:szCs w:val="32"/>
          <w:highlight w:val="none"/>
          <w:lang w:eastAsia="en-US"/>
        </w:rPr>
        <w:t>实施党的创新理论研究传播工程，完善习近平新时代中国特色社会主义思想研究工作机制，系统推进习近平文化思想研究。高质量开展社科理论研究，提升社科聚智、资政、育人水平。创新推进理论宣传教育，落实</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第一议题</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制度，</w:t>
      </w:r>
      <w:r>
        <w:rPr>
          <w:rFonts w:hint="default" w:ascii="Times New Roman" w:hAnsi="Times New Roman" w:eastAsia="仿宋_GB2312" w:cs="Times New Roman"/>
          <w:color w:val="auto"/>
          <w:spacing w:val="0"/>
          <w:sz w:val="32"/>
          <w:szCs w:val="32"/>
          <w:highlight w:val="none"/>
          <w:lang w:eastAsia="en-US"/>
        </w:rPr>
        <w:t>党委（党组）理论</w:t>
      </w:r>
      <w:r>
        <w:rPr>
          <w:rFonts w:hint="default" w:ascii="Times New Roman" w:hAnsi="Times New Roman" w:eastAsia="仿宋_GB2312" w:cs="Times New Roman"/>
          <w:color w:val="auto"/>
          <w:spacing w:val="0"/>
          <w:sz w:val="32"/>
          <w:szCs w:val="32"/>
          <w:highlight w:val="none"/>
          <w:lang w:eastAsia="zh-CN"/>
        </w:rPr>
        <w:t>学习</w:t>
      </w:r>
      <w:r>
        <w:rPr>
          <w:rFonts w:hint="default" w:ascii="Times New Roman" w:hAnsi="Times New Roman" w:eastAsia="仿宋_GB2312" w:cs="Times New Roman"/>
          <w:color w:val="auto"/>
          <w:spacing w:val="0"/>
          <w:sz w:val="32"/>
          <w:szCs w:val="32"/>
          <w:highlight w:val="none"/>
          <w:lang w:eastAsia="en-US"/>
        </w:rPr>
        <w:t>中心组学习</w:t>
      </w:r>
      <w:r>
        <w:rPr>
          <w:rFonts w:hint="default" w:ascii="Times New Roman" w:hAnsi="Times New Roman" w:eastAsia="仿宋_GB2312" w:cs="Times New Roman"/>
          <w:color w:val="auto"/>
          <w:spacing w:val="0"/>
          <w:sz w:val="32"/>
          <w:szCs w:val="32"/>
          <w:highlight w:val="none"/>
          <w:lang w:val="en-US" w:eastAsia="zh-CN"/>
        </w:rPr>
        <w:t>制度</w:t>
      </w:r>
      <w:r>
        <w:rPr>
          <w:rFonts w:hint="default" w:ascii="Times New Roman" w:hAnsi="Times New Roman" w:eastAsia="仿宋_GB2312" w:cs="Times New Roman"/>
          <w:color w:val="auto"/>
          <w:spacing w:val="0"/>
          <w:sz w:val="32"/>
          <w:szCs w:val="32"/>
          <w:highlight w:val="none"/>
          <w:lang w:eastAsia="en-US"/>
        </w:rPr>
        <w:t>，抓好党员干部、行业带头人、基层群众、青少年等理论教育，依托新时代</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eastAsia="en-US"/>
        </w:rPr>
        <w:t>红色乳娘</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eastAsia="en-US"/>
        </w:rPr>
        <w:t>宣讲团，</w:t>
      </w:r>
      <w:r>
        <w:rPr>
          <w:rFonts w:hint="default" w:ascii="Times New Roman" w:hAnsi="Times New Roman" w:eastAsia="仿宋_GB2312" w:cs="Times New Roman"/>
          <w:color w:val="auto"/>
          <w:spacing w:val="0"/>
          <w:sz w:val="32"/>
          <w:szCs w:val="32"/>
          <w:highlight w:val="none"/>
          <w:lang w:val="en-US" w:eastAsia="en-US"/>
        </w:rPr>
        <w:t>持续</w:t>
      </w:r>
      <w:r>
        <w:rPr>
          <w:rFonts w:hint="default" w:ascii="Times New Roman" w:hAnsi="Times New Roman" w:eastAsia="仿宋_GB2312" w:cs="Times New Roman"/>
          <w:color w:val="auto"/>
          <w:spacing w:val="0"/>
          <w:sz w:val="32"/>
          <w:szCs w:val="32"/>
          <w:highlight w:val="none"/>
          <w:lang w:eastAsia="en-US"/>
        </w:rPr>
        <w:t>开展</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eastAsia="en-US"/>
        </w:rPr>
        <w:t>传承红色基因</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eastAsia="en-US"/>
        </w:rPr>
        <w:t>爱国主义教育</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eastAsia="en-US"/>
        </w:rPr>
        <w:t>等系列主题宣讲活动，</w:t>
      </w:r>
      <w:r>
        <w:rPr>
          <w:rFonts w:hint="default" w:ascii="Times New Roman" w:hAnsi="Times New Roman" w:eastAsia="仿宋_GB2312" w:cs="Times New Roman"/>
          <w:color w:val="auto"/>
          <w:spacing w:val="0"/>
          <w:sz w:val="32"/>
          <w:szCs w:val="32"/>
          <w:highlight w:val="none"/>
          <w:lang w:val="en-US" w:eastAsia="zh-CN"/>
        </w:rPr>
        <w:t>坚持不懈用习近平新时代中国特色社会主义思想凝心铸魂</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eastAsia="en-US"/>
        </w:rPr>
        <w:t>完善思想政治工作体系，</w:t>
      </w:r>
      <w:r>
        <w:rPr>
          <w:rFonts w:hint="default" w:ascii="Times New Roman" w:hAnsi="Times New Roman" w:eastAsia="仿宋_GB2312" w:cs="Times New Roman"/>
          <w:color w:val="auto"/>
          <w:spacing w:val="0"/>
          <w:sz w:val="32"/>
          <w:szCs w:val="32"/>
          <w:highlight w:val="none"/>
          <w:lang w:eastAsia="zh-CN"/>
        </w:rPr>
        <w:t>坚持显性教育与隐性教育相统一、解决思想问题与实际问题相结合、广泛覆盖与分类指导相协同，</w:t>
      </w:r>
      <w:r>
        <w:rPr>
          <w:rFonts w:hint="default" w:ascii="Times New Roman" w:hAnsi="Times New Roman" w:eastAsia="仿宋_GB2312" w:cs="Times New Roman"/>
          <w:color w:val="auto"/>
          <w:spacing w:val="0"/>
          <w:sz w:val="32"/>
          <w:szCs w:val="32"/>
          <w:highlight w:val="none"/>
          <w:lang w:eastAsia="en-US"/>
        </w:rPr>
        <w:t>统筹推进企业、农村、机关、学校、社区等基层思想政治工作。</w:t>
      </w:r>
      <w:bookmarkEnd w:id="404"/>
      <w:bookmarkStart w:id="405" w:name="_Toc31402"/>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提升主流舆论引导力</w:t>
      </w:r>
      <w:r>
        <w:rPr>
          <w:rFonts w:hint="default" w:ascii="Times New Roman" w:hAnsi="Times New Roman" w:eastAsia="楷体_GB2312" w:cs="Times New Roman"/>
          <w:color w:val="auto"/>
          <w:sz w:val="32"/>
          <w:szCs w:val="32"/>
          <w:highlight w:val="none"/>
          <w:lang w:val="en-US" w:eastAsia="zh-CN" w:bidi="ar"/>
        </w:rPr>
        <w:t>。</w:t>
      </w:r>
      <w:bookmarkEnd w:id="405"/>
      <w:bookmarkStart w:id="406" w:name="_Toc16716"/>
      <w:r>
        <w:rPr>
          <w:rFonts w:hint="default" w:ascii="Times New Roman" w:hAnsi="Times New Roman" w:eastAsia="仿宋_GB2312" w:cs="Times New Roman"/>
          <w:b w:val="0"/>
          <w:bCs w:val="0"/>
          <w:color w:val="auto"/>
          <w:sz w:val="32"/>
          <w:szCs w:val="32"/>
          <w:highlight w:val="none"/>
          <w:lang w:val="en-US" w:eastAsia="zh-CN"/>
        </w:rPr>
        <w:t>主动顺应全媒体时代信息传播发展趋势，持续深化媒体融合，加快提升县级融媒体传播力与服务力。加强与市内外媒体交流合作，积极扩大媒体传播矩阵，不断探索城市形象宣传新路径、新方法。优化改进新闻发布工作，强化新闻发布选题策划，提升新闻发言人媒体应对能力，统筹做好常态化信息发布与突发事件信息发布，全力提升舆论引导的影响力、公信力。进一步优化国际传播策略，加强外宣产品制作，提升城市海外影响力。</w:t>
      </w:r>
    </w:p>
    <w:p>
      <w:pPr>
        <w:keepNext w:val="0"/>
        <w:keepLines w:val="0"/>
        <w:pageBreakBefore w:val="0"/>
        <w:widowControl/>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en-US"/>
        </w:rPr>
      </w:pPr>
      <w:r>
        <w:rPr>
          <w:rFonts w:hint="default" w:ascii="Times New Roman" w:hAnsi="Times New Roman" w:eastAsia="楷体_GB2312" w:cs="Times New Roman"/>
          <w:b w:val="0"/>
          <w:bCs w:val="0"/>
          <w:color w:val="auto"/>
          <w:sz w:val="32"/>
          <w:szCs w:val="32"/>
          <w:highlight w:val="none"/>
          <w:lang w:val="en-US" w:eastAsia="zh-CN" w:bidi="ar"/>
        </w:rPr>
        <w:t>提升主流价值凝聚力。</w:t>
      </w:r>
      <w:r>
        <w:rPr>
          <w:rFonts w:hint="default" w:ascii="Times New Roman" w:hAnsi="Times New Roman" w:eastAsia="仿宋_GB2312" w:cs="Times New Roman"/>
          <w:b w:val="0"/>
          <w:bCs w:val="0"/>
          <w:color w:val="auto"/>
          <w:sz w:val="32"/>
          <w:szCs w:val="32"/>
          <w:highlight w:val="none"/>
          <w:lang w:val="en-US" w:eastAsia="zh-CN"/>
        </w:rPr>
        <w:t>推动</w:t>
      </w:r>
      <w:r>
        <w:rPr>
          <w:rFonts w:hint="default" w:ascii="Times New Roman" w:hAnsi="Times New Roman" w:eastAsia="仿宋_GB2312" w:cs="Times New Roman"/>
          <w:b w:val="0"/>
          <w:bCs w:val="0"/>
          <w:color w:val="auto"/>
          <w:sz w:val="32"/>
          <w:szCs w:val="32"/>
          <w:highlight w:val="none"/>
          <w:lang w:val="en-US" w:eastAsia="en-US"/>
        </w:rPr>
        <w:t>社会主义核心价值观等主流价值理念深度融入社会发展各领域、群众生活各方面，通过思想引领、实践养成、文化浸润等多元路径，让主流价值成为全社会的共同信仰和行动遵循</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en-US"/>
        </w:rPr>
        <w:t>推动理想信念教育常态化制度化，完善党史学习教育、革命传统教育、爱国主义教育、集体主义教育、社会主义教育、全民国防教育长效机制。</w:t>
      </w:r>
      <w:r>
        <w:rPr>
          <w:rFonts w:hint="default" w:ascii="Times New Roman" w:hAnsi="Times New Roman" w:eastAsia="仿宋_GB2312" w:cs="Times New Roman"/>
          <w:color w:val="auto"/>
          <w:sz w:val="32"/>
          <w:szCs w:val="32"/>
          <w:highlight w:val="none"/>
          <w:lang w:val="en-US" w:eastAsia="zh-CN"/>
        </w:rPr>
        <w:t>深入实施</w:t>
      </w:r>
      <w:r>
        <w:rPr>
          <w:rFonts w:hint="default" w:ascii="Times New Roman" w:hAnsi="Times New Roman" w:eastAsia="仿宋_GB2312" w:cs="Times New Roman"/>
          <w:color w:val="auto"/>
          <w:sz w:val="32"/>
          <w:szCs w:val="32"/>
          <w:highlight w:val="none"/>
          <w:lang w:val="en-US" w:eastAsia="en-US"/>
        </w:rPr>
        <w:t>红色基因传承工程，</w:t>
      </w:r>
      <w:r>
        <w:rPr>
          <w:rFonts w:hint="default" w:ascii="Times New Roman" w:hAnsi="Times New Roman" w:eastAsia="仿宋_GB2312" w:cs="Times New Roman"/>
          <w:color w:val="auto"/>
          <w:sz w:val="32"/>
          <w:szCs w:val="32"/>
          <w:highlight w:val="none"/>
          <w:lang w:val="en-US" w:eastAsia="zh-CN"/>
        </w:rPr>
        <w:t>充分发挥</w:t>
      </w:r>
      <w:r>
        <w:rPr>
          <w:rFonts w:hint="default" w:ascii="Times New Roman" w:hAnsi="Times New Roman" w:eastAsia="仿宋_GB2312" w:cs="Times New Roman"/>
          <w:color w:val="auto"/>
          <w:sz w:val="32"/>
          <w:szCs w:val="32"/>
          <w:highlight w:val="none"/>
          <w:lang w:val="en-US" w:eastAsia="en-US"/>
        </w:rPr>
        <w:t>马石山、胶东育儿所等红色教育基地</w:t>
      </w:r>
      <w:r>
        <w:rPr>
          <w:rFonts w:hint="default" w:ascii="Times New Roman" w:hAnsi="Times New Roman" w:eastAsia="仿宋_GB2312" w:cs="Times New Roman"/>
          <w:color w:val="auto"/>
          <w:sz w:val="32"/>
          <w:szCs w:val="32"/>
          <w:highlight w:val="none"/>
          <w:lang w:val="en-US" w:eastAsia="zh-CN"/>
        </w:rPr>
        <w:t>作用，积极融入千里海疆爱国主义教育示范带建设。</w:t>
      </w:r>
      <w:r>
        <w:rPr>
          <w:rFonts w:hint="default" w:ascii="Times New Roman" w:hAnsi="Times New Roman" w:eastAsia="仿宋_GB2312" w:cs="Times New Roman"/>
          <w:color w:val="auto"/>
          <w:sz w:val="32"/>
          <w:szCs w:val="32"/>
          <w:highlight w:val="none"/>
          <w:lang w:val="en-US" w:eastAsia="en-US"/>
        </w:rPr>
        <w:t>开展红色文化进校园、进社区、进企业活动，推动全社会崇尚英雄、缅怀先烈、争做先锋。倡树美德健康新生活，</w:t>
      </w:r>
      <w:r>
        <w:rPr>
          <w:rFonts w:hint="default" w:ascii="Times New Roman" w:hAnsi="Times New Roman" w:eastAsia="仿宋_GB2312" w:cs="Times New Roman"/>
          <w:color w:val="auto"/>
          <w:sz w:val="32"/>
          <w:szCs w:val="32"/>
          <w:highlight w:val="none"/>
          <w:lang w:val="en-US" w:eastAsia="zh-CN"/>
        </w:rPr>
        <w:t>持续提升“让雷锋精神在母爱之城闪光”活动感染力、号召力，增强“</w:t>
      </w:r>
      <w:r>
        <w:rPr>
          <w:rFonts w:hint="default" w:ascii="Times New Roman" w:hAnsi="Times New Roman" w:eastAsia="仿宋_GB2312" w:cs="Times New Roman"/>
          <w:color w:val="auto"/>
          <w:sz w:val="32"/>
          <w:szCs w:val="32"/>
          <w:highlight w:val="none"/>
          <w:lang w:val="en-US" w:eastAsia="en-US"/>
        </w:rPr>
        <w:t>母爱乳山</w:t>
      </w:r>
      <w:r>
        <w:rPr>
          <w:rFonts w:hint="default" w:ascii="Times New Roman" w:hAnsi="Times New Roman" w:eastAsia="仿宋_GB2312" w:cs="Times New Roman"/>
          <w:color w:val="auto"/>
          <w:sz w:val="32"/>
          <w:szCs w:val="32"/>
          <w:highlight w:val="none"/>
          <w:lang w:val="en-US" w:eastAsia="zh-CN"/>
        </w:rPr>
        <w:t>”“美德</w:t>
      </w:r>
      <w:r>
        <w:rPr>
          <w:rFonts w:hint="default" w:ascii="Times New Roman" w:hAnsi="Times New Roman" w:eastAsia="仿宋_GB2312" w:cs="Times New Roman"/>
          <w:color w:val="auto"/>
          <w:sz w:val="32"/>
          <w:szCs w:val="32"/>
          <w:highlight w:val="none"/>
          <w:lang w:val="en-US" w:eastAsia="en-US"/>
        </w:rPr>
        <w:t>乳山</w:t>
      </w:r>
      <w:r>
        <w:rPr>
          <w:rFonts w:hint="default" w:ascii="Times New Roman" w:hAnsi="Times New Roman" w:eastAsia="仿宋_GB2312" w:cs="Times New Roman"/>
          <w:color w:val="auto"/>
          <w:sz w:val="32"/>
          <w:szCs w:val="32"/>
          <w:highlight w:val="none"/>
          <w:lang w:val="en-US" w:eastAsia="zh-CN"/>
        </w:rPr>
        <w:t>”“信用乳山”</w:t>
      </w:r>
      <w:r>
        <w:rPr>
          <w:rFonts w:hint="default" w:ascii="Times New Roman" w:hAnsi="Times New Roman" w:eastAsia="仿宋_GB2312" w:cs="Times New Roman"/>
          <w:color w:val="auto"/>
          <w:sz w:val="32"/>
          <w:szCs w:val="32"/>
          <w:highlight w:val="none"/>
          <w:lang w:val="en-US" w:eastAsia="en-US"/>
        </w:rPr>
        <w:t>道德文化品牌</w:t>
      </w:r>
      <w:r>
        <w:rPr>
          <w:rFonts w:hint="default" w:ascii="Times New Roman" w:hAnsi="Times New Roman" w:eastAsia="仿宋_GB2312" w:cs="Times New Roman"/>
          <w:color w:val="auto"/>
          <w:sz w:val="32"/>
          <w:szCs w:val="32"/>
          <w:highlight w:val="none"/>
          <w:lang w:val="en-US" w:eastAsia="zh-CN"/>
        </w:rPr>
        <w:t>响应力</w:t>
      </w:r>
      <w:r>
        <w:rPr>
          <w:rFonts w:hint="default" w:ascii="Times New Roman" w:hAnsi="Times New Roman" w:eastAsia="仿宋_GB2312" w:cs="Times New Roman"/>
          <w:color w:val="auto"/>
          <w:sz w:val="32"/>
          <w:szCs w:val="32"/>
          <w:highlight w:val="none"/>
          <w:lang w:val="en-US" w:eastAsia="en-US"/>
        </w:rPr>
        <w:t>。</w:t>
      </w:r>
      <w:bookmarkEnd w:id="406"/>
    </w:p>
    <w:p>
      <w:pPr>
        <w:pageBreakBefore w:val="0"/>
        <w:widowControl/>
        <w:kinsoku/>
        <w:wordWrap/>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bookmarkStart w:id="407" w:name="_Toc23716"/>
      <w:r>
        <w:rPr>
          <w:rFonts w:hint="default" w:ascii="Times New Roman" w:hAnsi="Times New Roman" w:eastAsia="楷体_GB2312" w:cs="Times New Roman"/>
          <w:b w:val="0"/>
          <w:bCs w:val="0"/>
          <w:color w:val="auto"/>
          <w:sz w:val="32"/>
          <w:szCs w:val="32"/>
          <w:highlight w:val="none"/>
          <w:lang w:val="en-US" w:eastAsia="zh-CN" w:bidi="ar"/>
        </w:rPr>
        <w:t>强化意识形态阵地管理。</w:t>
      </w:r>
      <w:r>
        <w:rPr>
          <w:rFonts w:hint="default" w:ascii="Times New Roman" w:hAnsi="Times New Roman" w:eastAsia="仿宋_GB2312" w:cs="Times New Roman"/>
          <w:b w:val="0"/>
          <w:bCs w:val="0"/>
          <w:color w:val="auto"/>
          <w:sz w:val="32"/>
          <w:szCs w:val="32"/>
          <w:highlight w:val="none"/>
          <w:lang w:val="en-US" w:eastAsia="en-US"/>
        </w:rPr>
        <w:t>加强对各类意识形态阵地的建设和管理，严格落实意识形态工作责任制，确保意识形态领域平稳有序。完善网络生态治理长效机制，坚持依法管网治网，加强网络内容建设和管理，规范网络信息传播秩序，整治不良网络文化，打击网络谣言、网络暴力等违法违规行为，营造清朗网络空间。</w:t>
      </w:r>
      <w:r>
        <w:rPr>
          <w:rFonts w:hint="default" w:ascii="Times New Roman" w:hAnsi="Times New Roman" w:eastAsia="仿宋_GB2312" w:cs="Times New Roman"/>
          <w:color w:val="auto"/>
          <w:sz w:val="32"/>
          <w:szCs w:val="32"/>
          <w:highlight w:val="none"/>
          <w:lang w:val="en-US" w:eastAsia="en-US"/>
        </w:rPr>
        <w:t>拓展新时代文明实践</w:t>
      </w:r>
      <w:r>
        <w:rPr>
          <w:rFonts w:hint="default" w:ascii="Times New Roman" w:hAnsi="Times New Roman" w:eastAsia="仿宋_GB2312" w:cs="Times New Roman"/>
          <w:color w:val="auto"/>
          <w:sz w:val="32"/>
          <w:szCs w:val="32"/>
          <w:highlight w:val="none"/>
          <w:lang w:val="en-US" w:eastAsia="zh-CN"/>
        </w:rPr>
        <w:t>中心建设，全面提升文明培育、文明实践、文明创建水平。</w:t>
      </w:r>
    </w:p>
    <w:bookmarkEnd w:id="407"/>
    <w:p>
      <w:pPr>
        <w:pStyle w:val="3"/>
        <w:keepNext w:val="0"/>
        <w:keepLines w:val="0"/>
        <w:pageBreakBefore w:val="0"/>
        <w:kinsoku/>
        <w:wordWrap/>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408" w:name="_Toc3285"/>
      <w:bookmarkStart w:id="409" w:name="_Toc4136"/>
      <w:bookmarkStart w:id="410" w:name="_Toc20885"/>
      <w:bookmarkStart w:id="411" w:name="_Toc24335"/>
      <w:bookmarkStart w:id="412" w:name="_Toc30738"/>
      <w:bookmarkStart w:id="413" w:name="_Toc4007"/>
      <w:bookmarkStart w:id="414" w:name="_Toc25706"/>
      <w:bookmarkStart w:id="415" w:name="_Toc11295"/>
      <w:bookmarkStart w:id="416" w:name="_Toc8142"/>
      <w:r>
        <w:rPr>
          <w:rFonts w:hint="default" w:ascii="Times New Roman" w:hAnsi="Times New Roman" w:cs="Times New Roman"/>
          <w:snapToGrid w:val="0"/>
          <w:color w:val="auto"/>
          <w:sz w:val="32"/>
          <w:highlight w:val="none"/>
          <w:lang w:val="en-US" w:eastAsia="zh-CN"/>
        </w:rPr>
        <w:t>第二节 推动文旅产业融合发展</w:t>
      </w:r>
      <w:bookmarkEnd w:id="408"/>
      <w:bookmarkEnd w:id="409"/>
      <w:bookmarkEnd w:id="410"/>
      <w:bookmarkEnd w:id="411"/>
      <w:bookmarkEnd w:id="412"/>
      <w:bookmarkEnd w:id="413"/>
      <w:bookmarkEnd w:id="414"/>
      <w:bookmarkEnd w:id="415"/>
      <w:bookmarkEnd w:id="416"/>
    </w:p>
    <w:p>
      <w:pPr>
        <w:keepNext w:val="0"/>
        <w:keepLines w:val="0"/>
        <w:pageBreakBefore w:val="0"/>
        <w:widowControl w:val="0"/>
        <w:kinsoku/>
        <w:wordWrap/>
        <w:overflowPunct w:val="0"/>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kern w:val="2"/>
          <w:sz w:val="32"/>
          <w:szCs w:val="32"/>
          <w:highlight w:val="none"/>
        </w:rPr>
        <w:t>坚持以文塑旅、以旅彰文，</w:t>
      </w:r>
      <w:r>
        <w:rPr>
          <w:rFonts w:hint="default" w:ascii="Times New Roman" w:hAnsi="Times New Roman" w:eastAsia="仿宋_GB2312" w:cs="Times New Roman"/>
          <w:color w:val="auto"/>
          <w:spacing w:val="0"/>
          <w:sz w:val="32"/>
          <w:szCs w:val="32"/>
          <w:highlight w:val="none"/>
        </w:rPr>
        <w:t>把文旅产业培育成为彰显文化底蕴、增强文化自信的支柱产业和富民产业。</w:t>
      </w:r>
    </w:p>
    <w:p>
      <w:pPr>
        <w:keepNext w:val="0"/>
        <w:keepLines w:val="0"/>
        <w:pageBreakBefore w:val="0"/>
        <w:widowControl w:val="0"/>
        <w:kinsoku/>
        <w:wordWrap/>
        <w:overflowPunct w:val="0"/>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u w:val="none"/>
          <w:lang w:val="en-US" w:eastAsia="zh-CN" w:bidi="ar"/>
        </w:rPr>
        <w:t>全域布局增强文旅产业吸引力。</w:t>
      </w:r>
      <w:r>
        <w:rPr>
          <w:rFonts w:hint="default" w:ascii="Times New Roman" w:hAnsi="Times New Roman" w:eastAsia="仿宋_GB2312" w:cs="Times New Roman"/>
          <w:color w:val="auto"/>
          <w:sz w:val="32"/>
          <w:szCs w:val="32"/>
          <w:highlight w:val="none"/>
          <w:u w:val="none" w:color="auto"/>
        </w:rPr>
        <w:t>围绕</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lang w:val="en-US" w:eastAsia="zh-CN"/>
        </w:rPr>
        <w:t>南北两线带动、全域多点支撑</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布局，</w:t>
      </w:r>
      <w:r>
        <w:rPr>
          <w:rFonts w:hint="default" w:ascii="Times New Roman" w:hAnsi="Times New Roman" w:eastAsia="仿宋_GB2312" w:cs="Times New Roman"/>
          <w:color w:val="auto"/>
          <w:sz w:val="32"/>
          <w:szCs w:val="32"/>
          <w:highlight w:val="none"/>
          <w:u w:val="none" w:color="auto"/>
          <w:lang w:val="en-US" w:eastAsia="zh-CN"/>
        </w:rPr>
        <w:t>以</w:t>
      </w:r>
      <w:r>
        <w:rPr>
          <w:rFonts w:hint="default" w:ascii="Times New Roman" w:hAnsi="Times New Roman" w:eastAsia="仿宋_GB2312" w:cs="Times New Roman"/>
          <w:color w:val="auto"/>
          <w:sz w:val="32"/>
          <w:szCs w:val="32"/>
          <w:highlight w:val="none"/>
          <w:u w:val="none" w:color="auto"/>
        </w:rPr>
        <w:t>红色旅游铸魂、蓝色滨海提韵、乡村</w:t>
      </w:r>
      <w:r>
        <w:rPr>
          <w:rFonts w:hint="default" w:ascii="Times New Roman" w:hAnsi="Times New Roman" w:eastAsia="仿宋_GB2312" w:cs="Times New Roman"/>
          <w:color w:val="auto"/>
          <w:sz w:val="32"/>
          <w:szCs w:val="32"/>
          <w:highlight w:val="none"/>
          <w:u w:val="none" w:color="auto"/>
          <w:lang w:val="en-US" w:eastAsia="zh-CN"/>
        </w:rPr>
        <w:t>文化</w:t>
      </w:r>
      <w:r>
        <w:rPr>
          <w:rFonts w:hint="default" w:ascii="Times New Roman" w:hAnsi="Times New Roman" w:eastAsia="仿宋_GB2312" w:cs="Times New Roman"/>
          <w:color w:val="auto"/>
          <w:sz w:val="32"/>
          <w:szCs w:val="32"/>
          <w:highlight w:val="none"/>
          <w:u w:val="none" w:color="auto"/>
        </w:rPr>
        <w:t>固本，打造处处是景、时时见景的全域大景区。</w:t>
      </w:r>
      <w:r>
        <w:rPr>
          <w:rFonts w:hint="default" w:ascii="Times New Roman" w:hAnsi="Times New Roman" w:eastAsia="仿宋_GB2312" w:cs="Times New Roman"/>
          <w:color w:val="auto"/>
          <w:sz w:val="32"/>
          <w:szCs w:val="32"/>
          <w:highlight w:val="none"/>
          <w:u w:val="none" w:color="auto"/>
          <w:lang w:val="en-US" w:eastAsia="zh-CN"/>
        </w:rPr>
        <w:t>融入省级红色旅游线路，串联田家村、下石硼村、宫家村等省级红色文化特色村，以马石山十勇士纪念馆、乳娘事迹陈列馆、胶东特委成立旧址等红色印迹为核心，将全市红色遗址串点成线、串珠成链，高标准打造红色旅游廊道。打造国家级蓝色滨海旅游线路，推进大乳山滨海旅游度假区改造提升、宫家岛保护利用项目，连线银滩旅游度假区、多福山景区等滨海景观，嵌入“低空经济+”“元宇宙+”新</w:t>
      </w:r>
      <w:r>
        <w:rPr>
          <w:rFonts w:hint="default" w:ascii="Times New Roman" w:hAnsi="Times New Roman" w:eastAsia="仿宋_GB2312" w:cs="Times New Roman"/>
          <w:color w:val="auto"/>
          <w:sz w:val="32"/>
          <w:szCs w:val="32"/>
          <w:highlight w:val="none"/>
          <w:u w:val="none"/>
          <w:lang w:val="en-US" w:eastAsia="zh-CN"/>
        </w:rPr>
        <w:t>技术新业态，</w:t>
      </w:r>
      <w:r>
        <w:rPr>
          <w:rFonts w:hint="default" w:ascii="Times New Roman" w:hAnsi="Times New Roman" w:eastAsia="仿宋_GB2312" w:cs="Times New Roman"/>
          <w:b w:val="0"/>
          <w:bCs w:val="0"/>
          <w:color w:val="auto"/>
          <w:kern w:val="2"/>
          <w:sz w:val="32"/>
          <w:szCs w:val="32"/>
          <w:highlight w:val="none"/>
          <w:lang w:val="en-US" w:eastAsia="zh-CN"/>
        </w:rPr>
        <w:t>构建以滨海度假、水上运动、休闲渔业、夜间经济为特色的黄金海岸休闲带，</w:t>
      </w:r>
      <w:r>
        <w:rPr>
          <w:rFonts w:hint="default" w:ascii="Times New Roman" w:hAnsi="Times New Roman" w:eastAsia="仿宋_GB2312" w:cs="Times New Roman"/>
          <w:color w:val="auto"/>
          <w:sz w:val="32"/>
          <w:szCs w:val="32"/>
          <w:highlight w:val="none"/>
          <w:u w:val="none"/>
          <w:lang w:val="en-US" w:eastAsia="zh-CN"/>
        </w:rPr>
        <w:t>建成国际知名的滨海精致旅游区</w:t>
      </w:r>
      <w:r>
        <w:rPr>
          <w:rFonts w:hint="default" w:ascii="Times New Roman" w:hAnsi="Times New Roman" w:eastAsia="仿宋_GB2312" w:cs="Times New Roman"/>
          <w:b w:val="0"/>
          <w:bCs w:val="0"/>
          <w:color w:val="auto"/>
          <w:kern w:val="2"/>
          <w:sz w:val="32"/>
          <w:szCs w:val="32"/>
          <w:highlight w:val="none"/>
          <w:lang w:val="en-US" w:eastAsia="zh-CN"/>
        </w:rPr>
        <w:t>。系统推进乡村旅游资源活化，高标准提升省级乡村旅游重点村、省级景区化村庄、省级精品文旅名镇，推动乡村“美丽资源”加速转化为“美丽经济”，构建“红色为魂、山海为韵、乡村为基”的融合发展新格局。</w:t>
      </w:r>
    </w:p>
    <w:p>
      <w:pPr>
        <w:pStyle w:val="27"/>
        <w:keepNext w:val="0"/>
        <w:keepLines w:val="0"/>
        <w:pageBreakBefore w:val="0"/>
        <w:widowControl w:val="0"/>
        <w:kinsoku/>
        <w:wordWrap/>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文旅融合构建特色乳山新格局。</w:t>
      </w:r>
      <w:r>
        <w:rPr>
          <w:rFonts w:hint="default" w:ascii="Times New Roman" w:hAnsi="Times New Roman" w:eastAsia="仿宋_GB2312" w:cs="Times New Roman"/>
          <w:color w:val="auto"/>
          <w:kern w:val="2"/>
          <w:sz w:val="32"/>
          <w:szCs w:val="32"/>
          <w:highlight w:val="none"/>
          <w:lang w:val="en-US" w:eastAsia="zh-CN"/>
        </w:rPr>
        <w:t>挖掘乳山渔家文化、海防文化、红色文化等特色资源，打造“山海相连·红色乳山”“渔歌晚唱·滨海乳山”等文旅IP。</w:t>
      </w:r>
      <w:r>
        <w:rPr>
          <w:rFonts w:hint="default" w:ascii="Times New Roman" w:hAnsi="Times New Roman" w:eastAsia="仿宋_GB2312" w:cs="Times New Roman"/>
          <w:b w:val="0"/>
          <w:bCs w:val="0"/>
          <w:color w:val="auto"/>
          <w:kern w:val="2"/>
          <w:sz w:val="32"/>
          <w:szCs w:val="32"/>
          <w:highlight w:val="none"/>
          <w:lang w:val="en-US" w:eastAsia="zh-CN"/>
        </w:rPr>
        <w:t>借助</w:t>
      </w:r>
      <w:r>
        <w:rPr>
          <w:rFonts w:hint="default" w:ascii="Times New Roman" w:hAnsi="Times New Roman" w:eastAsia="仿宋_GB2312" w:cs="Times New Roman"/>
          <w:b w:val="0"/>
          <w:bCs w:val="0"/>
          <w:strike w:val="0"/>
          <w:dstrike w:val="0"/>
          <w:color w:val="auto"/>
          <w:kern w:val="2"/>
          <w:sz w:val="32"/>
          <w:szCs w:val="32"/>
          <w:highlight w:val="none"/>
          <w:lang w:val="en-US" w:eastAsia="zh-CN"/>
        </w:rPr>
        <w:t>乳山牡蛎品牌</w:t>
      </w:r>
      <w:r>
        <w:rPr>
          <w:rFonts w:hint="default" w:ascii="Times New Roman" w:hAnsi="Times New Roman" w:eastAsia="仿宋_GB2312" w:cs="Times New Roman"/>
          <w:b w:val="0"/>
          <w:bCs w:val="0"/>
          <w:color w:val="auto"/>
          <w:kern w:val="2"/>
          <w:sz w:val="32"/>
          <w:szCs w:val="32"/>
          <w:highlight w:val="none"/>
          <w:lang w:val="en-US" w:eastAsia="zh-CN"/>
        </w:rPr>
        <w:t>优势，高规格</w:t>
      </w:r>
      <w:r>
        <w:rPr>
          <w:rFonts w:hint="default" w:ascii="Times New Roman" w:hAnsi="Times New Roman" w:eastAsia="仿宋_GB2312" w:cs="Times New Roman"/>
          <w:color w:val="auto"/>
          <w:kern w:val="2"/>
          <w:sz w:val="32"/>
          <w:szCs w:val="32"/>
          <w:highlight w:val="none"/>
          <w:lang w:val="en-US" w:eastAsia="zh-CN"/>
        </w:rPr>
        <w:t>举办牡蛎推广活动，开发牡蛎主题文创产品、研学课程，</w:t>
      </w:r>
      <w:r>
        <w:rPr>
          <w:rFonts w:hint="default" w:ascii="Times New Roman" w:hAnsi="Times New Roman" w:eastAsia="仿宋_GB2312" w:cs="Times New Roman"/>
          <w:b w:val="0"/>
          <w:bCs w:val="0"/>
          <w:strike w:val="0"/>
          <w:dstrike w:val="0"/>
          <w:color w:val="auto"/>
          <w:kern w:val="2"/>
          <w:sz w:val="32"/>
          <w:szCs w:val="32"/>
          <w:highlight w:val="none"/>
          <w:lang w:val="en-US" w:eastAsia="zh-CN"/>
        </w:rPr>
        <w:t>构建以“牡蛎”为核心的全产业链体验生态，</w:t>
      </w:r>
      <w:r>
        <w:rPr>
          <w:rFonts w:hint="default" w:ascii="Times New Roman" w:hAnsi="Times New Roman" w:eastAsia="仿宋_GB2312" w:cs="Times New Roman"/>
          <w:color w:val="auto"/>
          <w:kern w:val="2"/>
          <w:sz w:val="32"/>
          <w:szCs w:val="32"/>
          <w:highlight w:val="none"/>
          <w:lang w:val="en-US" w:eastAsia="zh-CN"/>
        </w:rPr>
        <w:t>形成“吃牡蛎、游乳山、学文化”的文旅闭环，</w:t>
      </w:r>
      <w:r>
        <w:rPr>
          <w:rFonts w:hint="default" w:ascii="Times New Roman" w:hAnsi="Times New Roman" w:eastAsia="仿宋_GB2312" w:cs="Times New Roman"/>
          <w:b w:val="0"/>
          <w:bCs w:val="0"/>
          <w:strike w:val="0"/>
          <w:dstrike w:val="0"/>
          <w:color w:val="auto"/>
          <w:kern w:val="2"/>
          <w:sz w:val="32"/>
          <w:szCs w:val="32"/>
          <w:highlight w:val="none"/>
          <w:lang w:val="en-US" w:eastAsia="zh-CN"/>
        </w:rPr>
        <w:t>打造“牡蛎+”乳山文旅超级IP。</w:t>
      </w:r>
      <w:r>
        <w:rPr>
          <w:rFonts w:hint="default" w:ascii="Times New Roman" w:hAnsi="Times New Roman" w:eastAsia="仿宋_GB2312" w:cs="Times New Roman"/>
          <w:color w:val="auto"/>
          <w:kern w:val="2"/>
          <w:sz w:val="32"/>
          <w:szCs w:val="32"/>
          <w:highlight w:val="none"/>
        </w:rPr>
        <w:t>发挥红色乳娘、马石山十勇士等文化资源优势，打响红色文旅</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特色牌</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rPr>
        <w:t>挖掘葫芦烙画、乳山剪纸等非遗资源，建设非遗体验园，打造非遗工坊特色旅游线路，推动非遗和旅游深度融合。</w:t>
      </w:r>
      <w:r>
        <w:rPr>
          <w:rFonts w:hint="default" w:ascii="Times New Roman" w:hAnsi="Times New Roman" w:eastAsia="仿宋_GB2312" w:cs="Times New Roman"/>
          <w:color w:val="auto"/>
          <w:kern w:val="2"/>
          <w:sz w:val="32"/>
          <w:szCs w:val="32"/>
          <w:highlight w:val="none"/>
        </w:rPr>
        <w:t>擦亮</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好客山东·好礼乳山</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城市礼物品牌，</w:t>
      </w:r>
      <w:r>
        <w:rPr>
          <w:rFonts w:hint="default" w:ascii="Times New Roman" w:hAnsi="Times New Roman" w:eastAsia="仿宋_GB2312" w:cs="Times New Roman"/>
          <w:color w:val="auto"/>
          <w:kern w:val="2"/>
          <w:sz w:val="32"/>
          <w:szCs w:val="32"/>
          <w:highlight w:val="none"/>
          <w:lang w:val="en-US" w:eastAsia="zh-CN"/>
        </w:rPr>
        <w:t>以</w:t>
      </w:r>
      <w:r>
        <w:rPr>
          <w:rFonts w:hint="default" w:ascii="Times New Roman" w:hAnsi="Times New Roman" w:eastAsia="仿宋_GB2312" w:cs="Times New Roman"/>
          <w:color w:val="auto"/>
          <w:kern w:val="2"/>
          <w:sz w:val="32"/>
          <w:szCs w:val="32"/>
          <w:highlight w:val="none"/>
        </w:rPr>
        <w:t>文旅融合</w:t>
      </w:r>
      <w:r>
        <w:rPr>
          <w:rFonts w:hint="default" w:ascii="Times New Roman" w:hAnsi="Times New Roman" w:eastAsia="仿宋_GB2312" w:cs="Times New Roman"/>
          <w:color w:val="auto"/>
          <w:kern w:val="2"/>
          <w:sz w:val="32"/>
          <w:szCs w:val="32"/>
          <w:highlight w:val="none"/>
          <w:lang w:val="en-US" w:eastAsia="zh-CN"/>
        </w:rPr>
        <w:t>强产业、塑品牌</w:t>
      </w:r>
      <w:r>
        <w:rPr>
          <w:rFonts w:hint="default" w:ascii="Times New Roman" w:hAnsi="Times New Roman" w:eastAsia="仿宋_GB2312" w:cs="Times New Roman"/>
          <w:color w:val="auto"/>
          <w:kern w:val="2"/>
          <w:sz w:val="32"/>
          <w:szCs w:val="32"/>
          <w:highlight w:val="none"/>
        </w:rPr>
        <w:t>。</w:t>
      </w:r>
    </w:p>
    <w:p>
      <w:pPr>
        <w:keepNext w:val="0"/>
        <w:keepLines w:val="0"/>
        <w:pageBreakBefore w:val="0"/>
        <w:widowControl w:val="0"/>
        <w:kinsoku/>
        <w:wordWrap/>
        <w:overflowPunct w:val="0"/>
        <w:topLinePunct w:val="0"/>
        <w:autoSpaceDE/>
        <w:autoSpaceDN/>
        <w:bidi w:val="0"/>
        <w:adjustRightInd/>
        <w:snapToGrid/>
        <w:spacing w:line="570" w:lineRule="exact"/>
        <w:ind w:firstLine="64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全业融合提升文旅产业竞争力。</w:t>
      </w:r>
      <w:r>
        <w:rPr>
          <w:rFonts w:hint="default" w:ascii="Times New Roman" w:hAnsi="Times New Roman" w:eastAsia="仿宋_GB2312" w:cs="Times New Roman"/>
          <w:color w:val="auto"/>
          <w:kern w:val="2"/>
          <w:sz w:val="32"/>
          <w:szCs w:val="32"/>
          <w:highlight w:val="none"/>
        </w:rPr>
        <w:t>坚持</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特色化、优质化、融合化</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发展原则，推动康文旅融合、体文旅融合、农文旅融合。</w:t>
      </w:r>
      <w:r>
        <w:rPr>
          <w:rFonts w:hint="default" w:ascii="Times New Roman" w:hAnsi="Times New Roman" w:eastAsia="仿宋_GB2312" w:cs="Times New Roman"/>
          <w:color w:val="auto"/>
          <w:kern w:val="2"/>
          <w:sz w:val="32"/>
          <w:szCs w:val="32"/>
          <w:highlight w:val="none"/>
          <w:lang w:val="en-US" w:eastAsia="zh-CN"/>
        </w:rPr>
        <w:t>培育“文旅+康养”新动能，建设银滩国际康养中心、岠嵎山森林康养基地等项目，</w:t>
      </w:r>
      <w:r>
        <w:rPr>
          <w:rFonts w:hint="default" w:ascii="Times New Roman" w:hAnsi="Times New Roman" w:eastAsia="仿宋_GB2312" w:cs="Times New Roman"/>
          <w:color w:val="auto"/>
          <w:sz w:val="32"/>
          <w:szCs w:val="32"/>
          <w:highlight w:val="none"/>
          <w:lang w:val="en-US" w:eastAsia="zh-CN"/>
        </w:rPr>
        <w:t>发展</w:t>
      </w:r>
      <w:r>
        <w:rPr>
          <w:rFonts w:hint="default" w:ascii="Times New Roman" w:hAnsi="Times New Roman" w:eastAsia="仿宋_GB2312" w:cs="Times New Roman"/>
          <w:color w:val="auto"/>
          <w:sz w:val="32"/>
          <w:szCs w:val="32"/>
          <w:highlight w:val="none"/>
        </w:rPr>
        <w:t>医养结合、康养度假、生态养生等产业，</w:t>
      </w:r>
      <w:r>
        <w:rPr>
          <w:rFonts w:hint="default" w:ascii="Times New Roman" w:hAnsi="Times New Roman" w:eastAsia="仿宋_GB2312" w:cs="Times New Roman"/>
          <w:color w:val="auto"/>
          <w:sz w:val="32"/>
          <w:szCs w:val="32"/>
          <w:highlight w:val="none"/>
          <w:lang w:val="en-US" w:eastAsia="zh-CN"/>
        </w:rPr>
        <w:t>打造滨海旅居康养目的地，形成</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大旅游带动大健康、大健康促进大旅游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的发展格局。</w:t>
      </w:r>
      <w:r>
        <w:rPr>
          <w:rFonts w:hint="default" w:ascii="Times New Roman" w:hAnsi="Times New Roman" w:eastAsia="仿宋_GB2312" w:cs="Times New Roman"/>
          <w:color w:val="auto"/>
          <w:sz w:val="32"/>
          <w:szCs w:val="32"/>
          <w:highlight w:val="none"/>
          <w:lang w:val="en-US" w:eastAsia="zh-CN"/>
        </w:rPr>
        <w:t>打造“文旅+体育”新名片，依托“近山亲海”省级体育旅游线路、乐享运动体育公园、美好生活综合体、潮汐湖湿地公园等，发展户外运动体育项目，拓展“城市旅游+”体育项目，打造马拉松、泵道自行车、沿海骑行、陆地帆船等高规格引领性体育赛事品牌，以“小体育”撬动“大文旅”。</w:t>
      </w:r>
      <w:r>
        <w:rPr>
          <w:rFonts w:hint="default" w:ascii="Times New Roman" w:hAnsi="Times New Roman" w:eastAsia="仿宋_GB2312" w:cs="Times New Roman"/>
          <w:color w:val="auto"/>
          <w:kern w:val="2"/>
          <w:sz w:val="32"/>
          <w:szCs w:val="32"/>
          <w:highlight w:val="none"/>
          <w:lang w:val="en-US" w:eastAsia="zh-CN"/>
        </w:rPr>
        <w:t>创建“文旅+农业”新引擎，</w:t>
      </w:r>
      <w:r>
        <w:rPr>
          <w:rFonts w:hint="default" w:ascii="Times New Roman" w:hAnsi="Times New Roman" w:eastAsia="仿宋_GB2312" w:cs="Times New Roman"/>
          <w:color w:val="auto"/>
          <w:sz w:val="32"/>
          <w:szCs w:val="32"/>
          <w:highlight w:val="none"/>
          <w:u w:val="none"/>
          <w:lang w:val="en-US" w:eastAsia="zh-CN"/>
        </w:rPr>
        <w:t>实施艺术赋能乡村，打造“墙画村”“写生村”“民俗村”等特色旅游村，借力“乳山三宝”、乳山喜饼等乳山好品，</w:t>
      </w:r>
      <w:r>
        <w:rPr>
          <w:rFonts w:hint="default" w:ascii="Times New Roman" w:hAnsi="Times New Roman" w:eastAsia="仿宋_GB2312" w:cs="Times New Roman"/>
          <w:b w:val="0"/>
          <w:bCs w:val="0"/>
          <w:color w:val="auto"/>
          <w:sz w:val="31"/>
          <w:szCs w:val="31"/>
          <w:highlight w:val="none"/>
        </w:rPr>
        <w:t>升级乡村旅游</w:t>
      </w:r>
      <w:r>
        <w:rPr>
          <w:rFonts w:hint="default" w:ascii="Times New Roman" w:hAnsi="Times New Roman" w:eastAsia="仿宋_GB2312" w:cs="Times New Roman"/>
          <w:b w:val="0"/>
          <w:bCs w:val="0"/>
          <w:color w:val="auto"/>
          <w:sz w:val="31"/>
          <w:szCs w:val="31"/>
          <w:highlight w:val="none"/>
          <w:lang w:eastAsia="zh-CN"/>
        </w:rPr>
        <w:t>“</w:t>
      </w:r>
      <w:r>
        <w:rPr>
          <w:rFonts w:hint="default" w:ascii="Times New Roman" w:hAnsi="Times New Roman" w:eastAsia="仿宋_GB2312" w:cs="Times New Roman"/>
          <w:b w:val="0"/>
          <w:bCs w:val="0"/>
          <w:color w:val="auto"/>
          <w:sz w:val="31"/>
          <w:szCs w:val="31"/>
          <w:highlight w:val="none"/>
        </w:rPr>
        <w:t>后备箱</w:t>
      </w:r>
      <w:r>
        <w:rPr>
          <w:rFonts w:hint="default" w:ascii="Times New Roman" w:hAnsi="Times New Roman" w:eastAsia="仿宋_GB2312" w:cs="Times New Roman"/>
          <w:b w:val="0"/>
          <w:bCs w:val="0"/>
          <w:color w:val="auto"/>
          <w:sz w:val="31"/>
          <w:szCs w:val="31"/>
          <w:highlight w:val="none"/>
          <w:lang w:eastAsia="zh-CN"/>
        </w:rPr>
        <w:t>”</w:t>
      </w:r>
      <w:r>
        <w:rPr>
          <w:rFonts w:hint="default" w:ascii="Times New Roman" w:hAnsi="Times New Roman" w:eastAsia="仿宋_GB2312" w:cs="Times New Roman"/>
          <w:b w:val="0"/>
          <w:bCs w:val="0"/>
          <w:color w:val="auto"/>
          <w:sz w:val="31"/>
          <w:szCs w:val="31"/>
          <w:highlight w:val="none"/>
        </w:rPr>
        <w:t>工程</w:t>
      </w:r>
      <w:r>
        <w:rPr>
          <w:rFonts w:hint="default" w:ascii="Times New Roman" w:hAnsi="Times New Roman" w:eastAsia="仿宋_GB2312" w:cs="Times New Roman"/>
          <w:b w:val="0"/>
          <w:bCs w:val="0"/>
          <w:color w:val="auto"/>
          <w:sz w:val="31"/>
          <w:szCs w:val="31"/>
          <w:highlight w:val="none"/>
          <w:lang w:eastAsia="zh-CN"/>
        </w:rPr>
        <w:t>，</w:t>
      </w:r>
      <w:r>
        <w:rPr>
          <w:rFonts w:hint="default" w:ascii="Times New Roman" w:hAnsi="Times New Roman" w:eastAsia="仿宋_GB2312" w:cs="Times New Roman"/>
          <w:b w:val="0"/>
          <w:bCs w:val="0"/>
          <w:color w:val="auto"/>
          <w:sz w:val="31"/>
          <w:szCs w:val="31"/>
          <w:highlight w:val="none"/>
          <w:lang w:val="en-US" w:eastAsia="zh-CN"/>
        </w:rPr>
        <w:t>推广</w:t>
      </w:r>
      <w:r>
        <w:rPr>
          <w:rFonts w:hint="default" w:ascii="Times New Roman" w:hAnsi="Times New Roman" w:eastAsia="仿宋_GB2312" w:cs="Times New Roman"/>
          <w:b w:val="0"/>
          <w:bCs w:val="0"/>
          <w:color w:val="auto"/>
          <w:sz w:val="31"/>
          <w:szCs w:val="31"/>
          <w:highlight w:val="none"/>
          <w:lang w:eastAsia="zh-CN"/>
        </w:rPr>
        <w:t>集产品展示、乡景互动与在线销售于一体的“观赏+体验+购物”模式。</w:t>
      </w:r>
      <w:r>
        <w:rPr>
          <w:rFonts w:hint="default" w:ascii="Times New Roman" w:hAnsi="Times New Roman" w:eastAsia="仿宋_GB2312" w:cs="Times New Roman"/>
          <w:color w:val="auto"/>
          <w:kern w:val="2"/>
          <w:sz w:val="32"/>
          <w:szCs w:val="32"/>
          <w:highlight w:val="none"/>
          <w:lang w:val="en-US" w:eastAsia="zh-CN"/>
        </w:rPr>
        <w:t>发展“文旅+数字”新业态，运用VR、AR、MR等</w:t>
      </w:r>
      <w:r>
        <w:rPr>
          <w:rFonts w:hint="default" w:ascii="Times New Roman" w:hAnsi="Times New Roman" w:eastAsia="仿宋_GB2312" w:cs="Times New Roman"/>
          <w:b w:val="0"/>
          <w:bCs w:val="0"/>
          <w:color w:val="auto"/>
          <w:sz w:val="31"/>
          <w:szCs w:val="31"/>
          <w:highlight w:val="none"/>
          <w:lang w:val="en-US" w:eastAsia="zh-CN"/>
        </w:rPr>
        <w:t>数智体验技术，构建“红色研学教育”“红色主题拓展”“沉浸式演艺”核心板块，打造集教育传承、能力培训、情境体验于一体的“海洋+红色文旅”产业链。</w:t>
      </w:r>
    </w:p>
    <w:p>
      <w:pPr>
        <w:pStyle w:val="27"/>
        <w:keepNext w:val="0"/>
        <w:keepLines w:val="0"/>
        <w:pageBreakBefore w:val="0"/>
        <w:widowControl w:val="0"/>
        <w:kinsoku/>
        <w:wordWrap/>
        <w:topLinePunct w:val="0"/>
        <w:autoSpaceDE/>
        <w:autoSpaceDN/>
        <w:bidi w:val="0"/>
        <w:adjustRightInd/>
        <w:snapToGrid/>
        <w:spacing w:line="570" w:lineRule="exact"/>
        <w:ind w:firstLine="640"/>
        <w:textAlignment w:val="auto"/>
        <w:rPr>
          <w:rFonts w:hint="default" w:ascii="Times New Roman" w:hAnsi="Times New Roman" w:cs="Times New Roman"/>
          <w:snapToGrid w:val="0"/>
          <w:color w:val="auto"/>
          <w:sz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业态提质筑牢文旅发展根基。</w:t>
      </w:r>
      <w:r>
        <w:rPr>
          <w:rFonts w:hint="default" w:ascii="Times New Roman" w:hAnsi="Times New Roman" w:eastAsia="仿宋_GB2312" w:cs="Times New Roman"/>
          <w:color w:val="auto"/>
          <w:kern w:val="2"/>
          <w:sz w:val="32"/>
          <w:szCs w:val="32"/>
          <w:highlight w:val="none"/>
          <w:lang w:val="en-US" w:eastAsia="zh-CN"/>
        </w:rPr>
        <w:t>完善旅游交通基础设施，优化观光巴士、公交线路和海上观光线路，借力“低空经济”布局拓展低空观光、婚庆航拍等高端“定制化”服务。加快推进银滩文旅综合提升项目，推动银滩旅游度假区积极争创国家级旅游度假区。提升旅游住宿设施，打造“乐宿乳山”金字招牌，构建“高端酒店为引领、精品民宿为亮点、特色农家乐为基底”的立体化住宿产业矩阵。优化旅游餐饮设施，建设一批海鲜美食街区、特色餐饮名店，提升旅游餐饮品质。健全旅游购物设施，打造</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乳山好礼旗舰店</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非遗工坊体验街</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rPr>
        <w:t>，显著提高旅游购物在文旅消费中的贡献度。</w:t>
      </w:r>
      <w:bookmarkStart w:id="417" w:name="_Toc28054"/>
      <w:bookmarkStart w:id="418" w:name="_Toc23743"/>
      <w:bookmarkStart w:id="419" w:name="_Toc11258"/>
      <w:bookmarkStart w:id="420" w:name="_Toc15464"/>
      <w:bookmarkStart w:id="421" w:name="_Toc403"/>
    </w:p>
    <w:p>
      <w:pPr>
        <w:pStyle w:val="3"/>
        <w:keepNext w:val="0"/>
        <w:keepLines w:val="0"/>
        <w:pageBreakBefore w:val="0"/>
        <w:kinsoku/>
        <w:wordWrap/>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422" w:name="_Toc7973"/>
      <w:r>
        <w:rPr>
          <w:rFonts w:hint="default" w:ascii="Times New Roman" w:hAnsi="Times New Roman" w:cs="Times New Roman"/>
          <w:snapToGrid w:val="0"/>
          <w:color w:val="auto"/>
          <w:sz w:val="32"/>
          <w:highlight w:val="none"/>
          <w:lang w:val="en-US" w:eastAsia="zh-CN"/>
        </w:rPr>
        <w:t>第三节 提升公共文化服务能力</w:t>
      </w:r>
      <w:bookmarkEnd w:id="417"/>
      <w:bookmarkEnd w:id="418"/>
      <w:bookmarkEnd w:id="419"/>
      <w:bookmarkEnd w:id="420"/>
      <w:bookmarkEnd w:id="421"/>
      <w:bookmarkEnd w:id="422"/>
    </w:p>
    <w:p>
      <w:pPr>
        <w:pStyle w:val="27"/>
        <w:keepNext w:val="0"/>
        <w:keepLines w:val="0"/>
        <w:pageBreakBefore w:val="0"/>
        <w:kinsoku/>
        <w:wordWrap/>
        <w:topLinePunct w:val="0"/>
        <w:autoSpaceDE/>
        <w:autoSpaceDN/>
        <w:bidi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积极拓展公共文化服务模式，加强高品质公共文化产品和服务供给，构建更高质量、更有效率、更可持续的现代化公共文化服务体系。</w:t>
      </w:r>
    </w:p>
    <w:p>
      <w:pPr>
        <w:pStyle w:val="27"/>
        <w:keepNext w:val="0"/>
        <w:keepLines w:val="0"/>
        <w:pageBreakBefore w:val="0"/>
        <w:kinsoku/>
        <w:wordWrap/>
        <w:topLinePunct w:val="0"/>
        <w:autoSpaceDE/>
        <w:autoSpaceDN/>
        <w:bidi w:val="0"/>
        <w:spacing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完善公共文化设施网络。</w:t>
      </w:r>
      <w:r>
        <w:rPr>
          <w:rFonts w:hint="default" w:ascii="Times New Roman" w:hAnsi="Times New Roman" w:eastAsia="仿宋_GB2312" w:cs="Times New Roman"/>
          <w:b w:val="0"/>
          <w:bCs w:val="0"/>
          <w:color w:val="auto"/>
          <w:kern w:val="2"/>
          <w:sz w:val="32"/>
          <w:szCs w:val="32"/>
          <w:highlight w:val="none"/>
          <w:lang w:val="en-US" w:eastAsia="zh-CN"/>
        </w:rPr>
        <w:t>遵循“普惠均等、布局合理、功能复合、智慧高效”原则，构建全域覆盖的公共文化网络体系，提升城市软实力。进一步完善市级公共文化设施，对博物馆、文化馆、图书馆等进行数字化提升和功能拓展。推进乡镇（街道）综合文化站、社区综合性文化服务中心改造提升，打造“15分钟文化生活圈”。加强城乡文化社区、文化书院建设及多元化利用，深化省级社区、高校放映厅试点建设成效。推动文化设施数字化建设，打造智慧文化服务平台，重点布局文化数据中心、文化创新中心、产业运维中心等功能性平台，同步打造行政村文化礼堂、数字文化室、非遗体验、民俗体验等沉浸式场景，完善文化生态链。</w:t>
      </w:r>
      <w:r>
        <w:rPr>
          <w:rFonts w:hint="default" w:ascii="Times New Roman" w:hAnsi="Times New Roman" w:eastAsia="仿宋_GB2312" w:cs="Times New Roman"/>
          <w:color w:val="auto"/>
          <w:kern w:val="2"/>
          <w:sz w:val="32"/>
          <w:szCs w:val="32"/>
          <w:highlight w:val="none"/>
          <w:lang w:val="en-US" w:eastAsia="zh-CN"/>
        </w:rPr>
        <w:t>配套建设适老化、适残化文化设施，保障特殊群体的文化权益。</w:t>
      </w:r>
    </w:p>
    <w:p>
      <w:pPr>
        <w:pStyle w:val="27"/>
        <w:pageBreakBefore w:val="0"/>
        <w:kinsoku/>
        <w:wordWrap/>
        <w:topLinePunct w:val="0"/>
        <w:autoSpaceDE/>
        <w:autoSpaceDN/>
        <w:bidi w:val="0"/>
        <w:spacing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持续实施文化惠民工程。</w:t>
      </w:r>
      <w:r>
        <w:rPr>
          <w:rFonts w:hint="default" w:ascii="Times New Roman" w:hAnsi="Times New Roman" w:eastAsia="仿宋_GB2312" w:cs="Times New Roman"/>
          <w:color w:val="auto"/>
          <w:kern w:val="2"/>
          <w:sz w:val="32"/>
          <w:szCs w:val="32"/>
          <w:highlight w:val="none"/>
          <w:lang w:val="en-US" w:eastAsia="zh-CN"/>
        </w:rPr>
        <w:t>深入实施文艺高质量发展工程，聚焦红色文化、海洋文化等领域，推出更多具有乳山特色的文艺精品，加强文化人才队伍建设，深入开展群众性文化活动，鼓励发展大众文艺、旅居文艺。</w:t>
      </w:r>
      <w:r>
        <w:rPr>
          <w:rFonts w:hint="default" w:ascii="Times New Roman" w:hAnsi="Times New Roman" w:eastAsia="仿宋_GB2312" w:cs="Times New Roman"/>
          <w:b w:val="0"/>
          <w:bCs w:val="0"/>
          <w:color w:val="auto"/>
          <w:kern w:val="2"/>
          <w:sz w:val="32"/>
          <w:szCs w:val="32"/>
          <w:highlight w:val="none"/>
          <w:lang w:val="en-US" w:eastAsia="zh-CN"/>
        </w:rPr>
        <w:t>开展“我们的中国梦</w:t>
      </w:r>
      <w:r>
        <w:rPr>
          <w:rFonts w:hint="eastAsia" w:ascii="仿宋_GB2312" w:hAnsi="仿宋_GB2312" w:eastAsia="仿宋_GB2312" w:cs="仿宋_GB2312"/>
          <w:b w:val="0"/>
          <w:bCs w:val="0"/>
          <w:color w:val="auto"/>
          <w:kern w:val="2"/>
          <w:sz w:val="32"/>
          <w:szCs w:val="32"/>
          <w:highlight w:val="none"/>
          <w:lang w:val="en-US" w:eastAsia="zh-CN"/>
        </w:rPr>
        <w:t>——</w:t>
      </w:r>
      <w:r>
        <w:rPr>
          <w:rFonts w:hint="default" w:ascii="Times New Roman" w:hAnsi="Times New Roman" w:eastAsia="仿宋_GB2312" w:cs="Times New Roman"/>
          <w:b w:val="0"/>
          <w:bCs w:val="0"/>
          <w:color w:val="auto"/>
          <w:kern w:val="2"/>
          <w:sz w:val="32"/>
          <w:szCs w:val="32"/>
          <w:highlight w:val="none"/>
          <w:lang w:val="en-US" w:eastAsia="zh-CN"/>
        </w:rPr>
        <w:t>文化进万家”“一村一年一场戏”公益演出、全民阅读推广、大秧歌文化交流展演等系列活动，深化“母爱圣地美好乳山”文化惠民品牌。常态化开展面向各年龄层的公益艺术培训，引导文化类社会组织、小微文化企业实施文化公益创投项目。推动创作一批反映乳山特色的微纪录片、网络文学、小戏小剧、舞蹈音乐等文艺精品，争取纳入省级艺术基金文艺创作扶持项目和全省优质文化资源直达基层“大盘子”。提高群众的参与性和积极性，鼓励乡村自主举办群众性特色活动，</w:t>
      </w:r>
      <w:r>
        <w:rPr>
          <w:rFonts w:hint="default" w:ascii="Times New Roman" w:hAnsi="Times New Roman" w:eastAsia="仿宋_GB2312" w:cs="Times New Roman"/>
          <w:color w:val="auto"/>
          <w:kern w:val="2"/>
          <w:sz w:val="32"/>
          <w:szCs w:val="32"/>
          <w:highlight w:val="none"/>
          <w:lang w:val="en-US" w:eastAsia="zh-CN"/>
        </w:rPr>
        <w:t>培育乡村文化品牌</w:t>
      </w:r>
      <w:r>
        <w:rPr>
          <w:rFonts w:hint="default" w:ascii="Times New Roman" w:hAnsi="Times New Roman" w:eastAsia="仿宋_GB2312" w:cs="Times New Roman"/>
          <w:b w:val="0"/>
          <w:bCs w:val="0"/>
          <w:color w:val="auto"/>
          <w:kern w:val="2"/>
          <w:sz w:val="32"/>
          <w:szCs w:val="32"/>
          <w:highlight w:val="none"/>
          <w:lang w:val="en-US" w:eastAsia="zh-CN"/>
        </w:rPr>
        <w:t>，增强人民群众文化获得感和幸福感</w:t>
      </w:r>
      <w:r>
        <w:rPr>
          <w:rFonts w:hint="default" w:ascii="Times New Roman" w:hAnsi="Times New Roman" w:eastAsia="仿宋_GB2312" w:cs="Times New Roman"/>
          <w:color w:val="auto"/>
          <w:kern w:val="2"/>
          <w:sz w:val="32"/>
          <w:szCs w:val="32"/>
          <w:highlight w:val="none"/>
          <w:lang w:val="en-US" w:eastAsia="zh-CN"/>
        </w:rPr>
        <w:t>。</w:t>
      </w:r>
    </w:p>
    <w:p>
      <w:pPr>
        <w:pStyle w:val="27"/>
        <w:keepNext w:val="0"/>
        <w:keepLines w:val="0"/>
        <w:pageBreakBefore w:val="0"/>
        <w:widowControl w:val="0"/>
        <w:kinsoku/>
        <w:wordWrap/>
        <w:overflowPunct/>
        <w:topLinePunct w:val="0"/>
        <w:autoSpaceDE/>
        <w:autoSpaceDN/>
        <w:bidi w:val="0"/>
        <w:adjustRightInd/>
        <w:snapToGrid/>
        <w:spacing w:after="157" w:afterLines="50" w:line="57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加强公共体育设施建设。</w:t>
      </w:r>
      <w:r>
        <w:rPr>
          <w:rFonts w:hint="default" w:ascii="Times New Roman" w:hAnsi="Times New Roman" w:eastAsia="仿宋_GB2312" w:cs="Times New Roman"/>
          <w:b w:val="0"/>
          <w:bCs w:val="0"/>
          <w:color w:val="auto"/>
          <w:kern w:val="2"/>
          <w:sz w:val="32"/>
          <w:szCs w:val="32"/>
          <w:highlight w:val="none"/>
          <w:lang w:val="en-US" w:eastAsia="zh-CN"/>
        </w:rPr>
        <w:t>推进公共体育设施建设与城市发展深度融合，将体育设施从“孤立配套”转变为城市空间的有机组成部分，打造“城市社区10分钟、邻里10分钟、街坊5分钟”三级健身圈。重点推进乐享体育运动公园建设，高标准建设赛事区、儿童区、运动区等公共服务功能区，打造“室内+室外”“体育+文化”“专业化+大众化”的市级体育设施，丰富“城市旅游+体育健身”业态。常态化推进学校室外体育场地全部向社会开放，做精做活全民健身运动会、社区运动会等有影响力的赛事活动，完善以体育总会为枢纽、体育协会为支撑、基层体育组织为主体的体育社会组织网络。</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76"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cs="Times New Roman" w:eastAsiaTheme="minorEastAsia"/>
                <w:color w:val="auto"/>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专栏19：文化旅游及体育健身重点项目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976" w:type="dxa"/>
            <w:vAlign w:val="center"/>
          </w:tcPr>
          <w:p>
            <w:pPr>
              <w:keepNext w:val="0"/>
              <w:keepLines w:val="0"/>
              <w:pageBreakBefore w:val="0"/>
              <w:widowControl/>
              <w:kinsoku/>
              <w:wordWrap/>
              <w:overflowPunct/>
              <w:topLinePunct w:val="0"/>
              <w:autoSpaceDE/>
              <w:autoSpaceDN/>
              <w:bidi w:val="0"/>
              <w:adjustRightInd w:val="0"/>
              <w:snapToGrid w:val="0"/>
              <w:spacing w:before="0" w:beforeLines="0" w:after="0" w:afterLines="0" w:line="480" w:lineRule="exact"/>
              <w:ind w:firstLine="560" w:firstLineChars="200"/>
              <w:textAlignment w:val="cente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pP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1.</w:t>
            </w:r>
            <w:r>
              <w:rPr>
                <w:rFonts w:hint="eastAsia" w:ascii="黑体" w:hAnsi="黑体" w:eastAsia="黑体" w:cs="黑体"/>
                <w:b w:val="0"/>
                <w:bCs w:val="0"/>
                <w:i w:val="0"/>
                <w:iCs w:val="0"/>
                <w:color w:val="auto"/>
                <w:kern w:val="0"/>
                <w:sz w:val="28"/>
                <w:szCs w:val="28"/>
                <w:highlight w:val="none"/>
                <w:u w:val="none"/>
                <w:lang w:val="en-US" w:eastAsia="zh-CN" w:bidi="ar"/>
              </w:rPr>
              <w:t>精品旅游</w:t>
            </w: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w:t>
            </w:r>
            <w:r>
              <w:rPr>
                <w:rFonts w:hint="default" w:ascii="Times New Roman" w:hAnsi="Times New Roman" w:eastAsia="仿宋_GB2312" w:cs="Times New Roman"/>
                <w:b w:val="0"/>
                <w:bCs w:val="0"/>
                <w:color w:val="auto"/>
                <w:sz w:val="28"/>
                <w:szCs w:val="28"/>
                <w:highlight w:val="none"/>
                <w:lang w:val="en-US" w:eastAsia="zh-CN"/>
              </w:rPr>
              <w:t>宫家岛保护利用项目，大乳山滨海旅游度假区改造提升项目，威豪田园综合体项目，乳山市凤凰顶农文旅融合发展项目，月亮湾休闲公园游客服务中心，乳山市马十山生态农业农场休闲农旅项目，腾甲庄村古村落保护开发项目，和尚洞综合开发项目等。</w:t>
            </w:r>
          </w:p>
          <w:p>
            <w:pPr>
              <w:keepNext w:val="0"/>
              <w:keepLines w:val="0"/>
              <w:pageBreakBefore w:val="0"/>
              <w:widowControl/>
              <w:kinsoku/>
              <w:wordWrap/>
              <w:overflowPunct/>
              <w:topLinePunct w:val="0"/>
              <w:autoSpaceDE/>
              <w:autoSpaceDN/>
              <w:bidi w:val="0"/>
              <w:adjustRightInd w:val="0"/>
              <w:snapToGrid w:val="0"/>
              <w:spacing w:before="0" w:beforeLines="0" w:after="0" w:afterLines="0" w:line="480" w:lineRule="exact"/>
              <w:ind w:firstLine="560" w:firstLineChars="200"/>
              <w:textAlignment w:val="center"/>
              <w:rPr>
                <w:rFonts w:hint="default" w:ascii="Times New Roman" w:hAnsi="Times New Roman" w:cs="Times New Roman"/>
                <w:color w:val="auto"/>
                <w:highlight w:val="none"/>
                <w:lang w:val="en-US"/>
              </w:rPr>
            </w:pP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2</w:t>
            </w:r>
            <w:r>
              <w:rPr>
                <w:rFonts w:hint="default" w:ascii="黑体" w:hAnsi="黑体" w:eastAsia="黑体" w:cs="黑体"/>
                <w:b w:val="0"/>
                <w:bCs w:val="0"/>
                <w:i w:val="0"/>
                <w:iCs w:val="0"/>
                <w:color w:val="auto"/>
                <w:kern w:val="0"/>
                <w:sz w:val="28"/>
                <w:szCs w:val="28"/>
                <w:highlight w:val="none"/>
                <w:u w:val="none"/>
                <w:lang w:val="en-US" w:eastAsia="zh-CN" w:bidi="ar"/>
              </w:rPr>
              <w:t>.体育健身</w:t>
            </w: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w:t>
            </w:r>
            <w:r>
              <w:rPr>
                <w:rFonts w:hint="default" w:ascii="Times New Roman" w:hAnsi="Times New Roman" w:eastAsia="仿宋_GB2312" w:cs="Times New Roman"/>
                <w:i w:val="0"/>
                <w:iCs w:val="0"/>
                <w:color w:val="auto"/>
                <w:kern w:val="0"/>
                <w:sz w:val="28"/>
                <w:szCs w:val="28"/>
                <w:highlight w:val="none"/>
                <w:u w:val="none"/>
                <w:lang w:val="en-US" w:eastAsia="zh-CN" w:bidi="ar"/>
              </w:rPr>
              <w:t>乐享运动体育公园项目、体育运动馆建设项目等。</w:t>
            </w:r>
          </w:p>
        </w:tc>
      </w:tr>
    </w:tbl>
    <w:p>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黑体" w:cs="Times New Roman"/>
          <w:color w:val="auto"/>
          <w:sz w:val="32"/>
          <w:szCs w:val="32"/>
          <w:highlight w:val="none"/>
          <w:lang w:val="en-US" w:eastAsia="zh-CN"/>
        </w:rPr>
      </w:pPr>
      <w:bookmarkStart w:id="423" w:name="_Toc25981"/>
      <w:bookmarkStart w:id="424" w:name="_Toc32599"/>
      <w:bookmarkStart w:id="425" w:name="_Toc8138"/>
    </w:p>
    <w:p>
      <w:pPr>
        <w:pStyle w:val="2"/>
        <w:pageBreakBefore w:val="0"/>
        <w:kinsoku/>
        <w:wordWrap/>
        <w:overflowPunct/>
        <w:topLinePunct w:val="0"/>
        <w:bidi w:val="0"/>
        <w:spacing w:before="100" w:beforeLines="100" w:after="100" w:afterLines="100" w:line="570" w:lineRule="exact"/>
        <w:jc w:val="center"/>
        <w:rPr>
          <w:rFonts w:hint="default" w:ascii="Times New Roman" w:hAnsi="Times New Roman" w:eastAsia="黑体" w:cs="Times New Roman"/>
          <w:b w:val="0"/>
          <w:bCs w:val="0"/>
          <w:color w:val="auto"/>
          <w:sz w:val="32"/>
          <w:szCs w:val="32"/>
          <w:highlight w:val="none"/>
          <w:lang w:val="en-US" w:eastAsia="zh-CN"/>
        </w:rPr>
      </w:pPr>
      <w:bookmarkStart w:id="426" w:name="_Toc19740"/>
      <w:bookmarkStart w:id="427" w:name="_Toc3658"/>
      <w:bookmarkStart w:id="428" w:name="_Toc4072"/>
      <w:bookmarkStart w:id="429" w:name="_Toc8666"/>
      <w:bookmarkStart w:id="430" w:name="_Toc10570"/>
      <w:bookmarkStart w:id="431" w:name="_Toc21795"/>
      <w:r>
        <w:rPr>
          <w:rFonts w:hint="default" w:ascii="Times New Roman" w:hAnsi="Times New Roman" w:eastAsia="黑体" w:cs="Times New Roman"/>
          <w:b w:val="0"/>
          <w:bCs w:val="0"/>
          <w:color w:val="auto"/>
          <w:sz w:val="32"/>
          <w:szCs w:val="32"/>
          <w:highlight w:val="none"/>
          <w:lang w:val="en-US" w:eastAsia="zh-CN"/>
        </w:rPr>
        <w:t>第十二章 持续增进民生福祉，扎实推进共同富裕先行区建设</w:t>
      </w:r>
      <w:bookmarkEnd w:id="423"/>
      <w:bookmarkEnd w:id="426"/>
      <w:bookmarkEnd w:id="427"/>
      <w:bookmarkEnd w:id="428"/>
      <w:bookmarkEnd w:id="429"/>
      <w:bookmarkEnd w:id="430"/>
      <w:bookmarkEnd w:id="431"/>
    </w:p>
    <w:p>
      <w:pPr>
        <w:pStyle w:val="9"/>
        <w:pageBreakBefore w:val="0"/>
        <w:widowControl/>
        <w:kinsoku/>
        <w:wordWrap/>
        <w:overflowPunct/>
        <w:topLinePunct w:val="0"/>
        <w:autoSpaceDE w:val="0"/>
        <w:autoSpaceDN w:val="0"/>
        <w:bidi w:val="0"/>
        <w:spacing w:line="570" w:lineRule="exact"/>
        <w:ind w:firstLine="640" w:firstLineChars="200"/>
        <w:textAlignment w:val="baseline"/>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color w:val="auto"/>
          <w:spacing w:val="0"/>
          <w:sz w:val="32"/>
          <w:szCs w:val="32"/>
          <w:highlight w:val="none"/>
        </w:rPr>
        <w:t>坚持</w:t>
      </w:r>
      <w:r>
        <w:rPr>
          <w:rFonts w:hint="default" w:ascii="Times New Roman" w:hAnsi="Times New Roman" w:eastAsia="仿宋_GB2312" w:cs="Times New Roman"/>
          <w:color w:val="auto"/>
          <w:spacing w:val="0"/>
          <w:sz w:val="32"/>
          <w:szCs w:val="32"/>
          <w:highlight w:val="none"/>
          <w:lang w:val="en-US" w:eastAsia="zh-CN"/>
        </w:rPr>
        <w:t>以人民为中心的发展思想</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尽力而为、量力而行，</w:t>
      </w:r>
      <w:r>
        <w:rPr>
          <w:rFonts w:hint="default" w:ascii="Times New Roman" w:hAnsi="Times New Roman" w:eastAsia="仿宋_GB2312" w:cs="Times New Roman"/>
          <w:color w:val="auto"/>
          <w:spacing w:val="0"/>
          <w:sz w:val="32"/>
          <w:szCs w:val="32"/>
          <w:highlight w:val="none"/>
        </w:rPr>
        <w:t>加强普惠性、基础性、兜底性民生建设，</w:t>
      </w:r>
      <w:r>
        <w:rPr>
          <w:rFonts w:hint="default" w:ascii="Times New Roman" w:hAnsi="Times New Roman" w:eastAsia="仿宋_GB2312" w:cs="Times New Roman"/>
          <w:color w:val="auto"/>
          <w:spacing w:val="0"/>
          <w:sz w:val="32"/>
          <w:szCs w:val="32"/>
          <w:highlight w:val="none"/>
          <w:lang w:val="en-US" w:eastAsia="zh-CN"/>
        </w:rPr>
        <w:t>用心用情办好民生实事，着力解决群众“急难愁盼”问题，不断增强人民群众的获得感、幸福感和安全感。</w:t>
      </w:r>
    </w:p>
    <w:p>
      <w:pPr>
        <w:pStyle w:val="3"/>
        <w:keepNext w:val="0"/>
        <w:keepLines w:val="0"/>
        <w:pageBreakBefore w:val="0"/>
        <w:kinsoku/>
        <w:wordWrap/>
        <w:overflowPunct/>
        <w:topLinePunct w:val="0"/>
        <w:bidi w:val="0"/>
        <w:spacing w:before="50" w:beforeLines="50" w:beforeAutospacing="0" w:after="50" w:afterLines="50" w:afterAutospacing="0" w:line="570" w:lineRule="exact"/>
        <w:ind w:firstLine="0" w:firstLineChars="0"/>
        <w:rPr>
          <w:rFonts w:hint="default" w:ascii="Times New Roman" w:hAnsi="Times New Roman" w:cs="Times New Roman"/>
          <w:snapToGrid w:val="0"/>
          <w:color w:val="auto"/>
          <w:sz w:val="32"/>
          <w:highlight w:val="none"/>
          <w:lang w:val="en-US" w:eastAsia="zh-CN"/>
        </w:rPr>
      </w:pPr>
      <w:bookmarkStart w:id="432" w:name="_Toc14492"/>
      <w:bookmarkStart w:id="433" w:name="_Toc31728"/>
      <w:bookmarkStart w:id="434" w:name="_Toc26518"/>
      <w:bookmarkStart w:id="435" w:name="_Toc28579"/>
      <w:bookmarkStart w:id="436" w:name="_Toc8982"/>
      <w:bookmarkStart w:id="437" w:name="_Toc8389"/>
      <w:bookmarkStart w:id="438" w:name="_Toc7005"/>
      <w:r>
        <w:rPr>
          <w:rFonts w:hint="default" w:ascii="Times New Roman" w:hAnsi="Times New Roman" w:cs="Times New Roman"/>
          <w:snapToGrid w:val="0"/>
          <w:color w:val="auto"/>
          <w:sz w:val="32"/>
          <w:highlight w:val="none"/>
          <w:lang w:val="en-US" w:eastAsia="zh-CN"/>
        </w:rPr>
        <w:t>第一节 全力提高就业水平质量</w:t>
      </w:r>
      <w:bookmarkEnd w:id="432"/>
      <w:bookmarkEnd w:id="433"/>
      <w:bookmarkEnd w:id="434"/>
      <w:bookmarkEnd w:id="435"/>
      <w:bookmarkEnd w:id="436"/>
      <w:bookmarkEnd w:id="437"/>
      <w:bookmarkEnd w:id="438"/>
    </w:p>
    <w:p>
      <w:pPr>
        <w:keepNext/>
        <w:keepLines/>
        <w:pageBreakBefore w:val="0"/>
        <w:widowControl w:val="0"/>
        <w:kinsoku/>
        <w:wordWrap/>
        <w:overflowPunct/>
        <w:topLinePunct w:val="0"/>
        <w:autoSpaceDE/>
        <w:autoSpaceDN/>
        <w:bidi w:val="0"/>
        <w:adjustRightInd/>
        <w:snapToGrid/>
        <w:spacing w:before="0" w:after="0" w:line="570" w:lineRule="exact"/>
        <w:ind w:firstLine="640" w:firstLineChars="200"/>
        <w:textAlignment w:val="auto"/>
        <w:outlineLvl w:val="9"/>
        <w:rPr>
          <w:rFonts w:hint="default" w:ascii="Times New Roman" w:hAnsi="Times New Roman" w:eastAsia="仿宋_GB2312" w:cs="Times New Roman"/>
          <w:b w:val="0"/>
          <w:bCs w:val="0"/>
          <w:color w:val="auto"/>
          <w:spacing w:val="0"/>
          <w:kern w:val="2"/>
          <w:sz w:val="32"/>
          <w:szCs w:val="32"/>
          <w:highlight w:val="none"/>
          <w:lang w:val="en-US" w:eastAsia="zh-CN" w:bidi="ar-SA"/>
        </w:rPr>
      </w:pPr>
      <w:r>
        <w:rPr>
          <w:rFonts w:hint="default" w:ascii="Times New Roman" w:hAnsi="Times New Roman" w:eastAsia="仿宋_GB2312" w:cs="Times New Roman"/>
          <w:b w:val="0"/>
          <w:bCs w:val="0"/>
          <w:color w:val="auto"/>
          <w:spacing w:val="0"/>
          <w:kern w:val="2"/>
          <w:sz w:val="32"/>
          <w:szCs w:val="32"/>
          <w:highlight w:val="none"/>
          <w:lang w:val="en-US" w:eastAsia="zh-CN" w:bidi="ar-SA"/>
        </w:rPr>
        <w:t>把就业作为民生之本，深入实施就业优先战略，促进多渠道多形式就业创业，加大收入分配调节力度，努力实现居民收入增长与经济发展同步。</w:t>
      </w:r>
    </w:p>
    <w:p>
      <w:pPr>
        <w:pageBreakBefore w:val="0"/>
        <w:kinsoku/>
        <w:wordWrap/>
        <w:overflowPunct/>
        <w:topLinePunct w:val="0"/>
        <w:bidi w:val="0"/>
        <w:adjustRightInd w:val="0"/>
        <w:snapToGrid w:val="0"/>
        <w:spacing w:line="570" w:lineRule="exact"/>
        <w:ind w:firstLine="640" w:firstLineChars="200"/>
        <w:rPr>
          <w:rFonts w:hint="default" w:ascii="Times New Roman" w:hAnsi="Times New Roman" w:eastAsia="仿宋_GB2312" w:cs="Times New Roman"/>
          <w:color w:val="auto"/>
          <w:kern w:val="2"/>
          <w:sz w:val="32"/>
          <w:szCs w:val="32"/>
          <w:highlight w:val="none"/>
          <w:lang w:val="en-US" w:eastAsia="en-US"/>
        </w:rPr>
      </w:pPr>
      <w:r>
        <w:rPr>
          <w:rFonts w:hint="default" w:ascii="Times New Roman" w:hAnsi="Times New Roman" w:eastAsia="楷体_GB2312" w:cs="Times New Roman"/>
          <w:b w:val="0"/>
          <w:bCs w:val="0"/>
          <w:color w:val="auto"/>
          <w:kern w:val="2"/>
          <w:sz w:val="32"/>
          <w:szCs w:val="32"/>
          <w:highlight w:val="none"/>
          <w:lang w:val="en-US" w:eastAsia="zh-CN" w:bidi="ar"/>
        </w:rPr>
        <w:t>促进高质量充分就业。</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实施现代产业体系就业支撑计划，积极培育新职业新岗位，支持各类经营主体稳岗就业，</w:t>
      </w:r>
      <w:r>
        <w:rPr>
          <w:rFonts w:hint="default" w:ascii="Times New Roman" w:hAnsi="Times New Roman" w:eastAsia="仿宋_GB2312" w:cs="Times New Roman"/>
          <w:i w:val="0"/>
          <w:iCs w:val="0"/>
          <w:caps w:val="0"/>
          <w:color w:val="auto"/>
          <w:spacing w:val="0"/>
          <w:sz w:val="32"/>
          <w:szCs w:val="32"/>
          <w:highlight w:val="none"/>
          <w:shd w:val="clear" w:fill="FFFFFF"/>
        </w:rPr>
        <w:t>年均开展补贴性职业技能培训</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3000</w:t>
      </w:r>
      <w:r>
        <w:rPr>
          <w:rFonts w:hint="default" w:ascii="Times New Roman" w:hAnsi="Times New Roman" w:eastAsia="仿宋_GB2312" w:cs="Times New Roman"/>
          <w:i w:val="0"/>
          <w:iCs w:val="0"/>
          <w:caps w:val="0"/>
          <w:color w:val="auto"/>
          <w:spacing w:val="0"/>
          <w:sz w:val="32"/>
          <w:szCs w:val="32"/>
          <w:highlight w:val="none"/>
          <w:shd w:val="clear" w:fill="FFFFFF"/>
        </w:rPr>
        <w:t>人次以上。</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健全终身职业技能培训制度，</w:t>
      </w:r>
      <w:r>
        <w:rPr>
          <w:rFonts w:hint="default" w:ascii="Times New Roman" w:hAnsi="Times New Roman" w:eastAsia="仿宋_GB2312" w:cs="Times New Roman"/>
          <w:color w:val="auto"/>
          <w:spacing w:val="0"/>
          <w:sz w:val="32"/>
          <w:szCs w:val="32"/>
          <w:highlight w:val="none"/>
        </w:rPr>
        <w:t>实施就业岗位与职业能力更新工程</w:t>
      </w:r>
      <w:r>
        <w:rPr>
          <w:rFonts w:hint="default" w:ascii="Times New Roman" w:hAnsi="Times New Roman" w:eastAsia="仿宋_GB2312" w:cs="Times New Roman"/>
          <w:color w:val="auto"/>
          <w:kern w:val="2"/>
          <w:sz w:val="32"/>
          <w:szCs w:val="32"/>
          <w:highlight w:val="none"/>
          <w:lang w:eastAsia="en-US" w:bidi="ar-SA"/>
        </w:rPr>
        <w:t>，</w:t>
      </w:r>
      <w:r>
        <w:rPr>
          <w:rFonts w:hint="default" w:ascii="Times New Roman" w:hAnsi="Times New Roman" w:eastAsia="仿宋_GB2312" w:cs="Times New Roman"/>
          <w:color w:val="auto"/>
          <w:spacing w:val="0"/>
          <w:sz w:val="32"/>
          <w:szCs w:val="32"/>
          <w:highlight w:val="none"/>
          <w:lang w:val="en-US" w:eastAsia="zh-CN"/>
        </w:rPr>
        <w:t>部署技能提升行动，</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开展多元化职业技能培训，</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建设2个技能大师工作室，</w:t>
      </w:r>
      <w:r>
        <w:rPr>
          <w:rFonts w:hint="default" w:ascii="Times New Roman" w:hAnsi="Times New Roman" w:eastAsia="仿宋_GB2312" w:cs="Times New Roman"/>
          <w:color w:val="auto"/>
          <w:spacing w:val="0"/>
          <w:sz w:val="32"/>
          <w:szCs w:val="32"/>
          <w:highlight w:val="none"/>
          <w:lang w:val="en-US" w:eastAsia="zh-CN"/>
        </w:rPr>
        <w:t>拓展职业技能等级晋升路径，畅通技能人才职业发展通道，推动</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技能人才总量突破3.5万人，高技能人才占比达30%以上。强化</w:t>
      </w:r>
      <w:r>
        <w:rPr>
          <w:rFonts w:hint="default" w:ascii="Times New Roman" w:hAnsi="Times New Roman" w:eastAsia="仿宋_GB2312" w:cs="Times New Roman"/>
          <w:color w:val="auto"/>
          <w:spacing w:val="0"/>
          <w:sz w:val="32"/>
          <w:szCs w:val="32"/>
          <w:highlight w:val="none"/>
        </w:rPr>
        <w:t>高校毕业生、农民工、退役军人等重点群体就业</w:t>
      </w:r>
      <w:r>
        <w:rPr>
          <w:rFonts w:hint="default" w:ascii="Times New Roman" w:hAnsi="Times New Roman" w:eastAsia="仿宋_GB2312" w:cs="Times New Roman"/>
          <w:color w:val="auto"/>
          <w:spacing w:val="0"/>
          <w:sz w:val="32"/>
          <w:szCs w:val="32"/>
          <w:highlight w:val="none"/>
          <w:lang w:val="en-US" w:eastAsia="zh-CN"/>
        </w:rPr>
        <w:t>保障</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i w:val="0"/>
          <w:iCs w:val="0"/>
          <w:caps w:val="0"/>
          <w:color w:val="auto"/>
          <w:spacing w:val="0"/>
          <w:sz w:val="32"/>
          <w:szCs w:val="32"/>
          <w:highlight w:val="none"/>
          <w:shd w:val="clear" w:fill="FFFFFF"/>
        </w:rPr>
        <w:t>实施</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青年人才筑梦工程</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持续打造“牡蛎优工”“黄金冶炼工”劳务品牌</w:t>
      </w:r>
      <w:r>
        <w:rPr>
          <w:rFonts w:hint="default" w:ascii="Times New Roman" w:hAnsi="Times New Roman" w:eastAsia="仿宋_GB2312" w:cs="Times New Roman"/>
          <w:i w:val="0"/>
          <w:iCs w:val="0"/>
          <w:caps w:val="0"/>
          <w:color w:val="auto"/>
          <w:spacing w:val="0"/>
          <w:sz w:val="32"/>
          <w:szCs w:val="32"/>
          <w:highlight w:val="none"/>
          <w:shd w:val="clear" w:fill="FFFFFF"/>
        </w:rPr>
        <w:t>，</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开</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发康养、文旅等银发经济就业岗位7万个</w:t>
      </w:r>
      <w:r>
        <w:rPr>
          <w:rFonts w:hint="default" w:ascii="Times New Roman" w:hAnsi="Times New Roman" w:eastAsia="仿宋_GB2312" w:cs="Times New Roman"/>
          <w:i w:val="0"/>
          <w:iCs w:val="0"/>
          <w:caps w:val="0"/>
          <w:color w:val="auto"/>
          <w:spacing w:val="0"/>
          <w:sz w:val="32"/>
          <w:szCs w:val="32"/>
          <w:highlight w:val="none"/>
          <w:shd w:val="clear" w:fill="FFFFFF"/>
        </w:rPr>
        <w:t>。</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开展“创业乳山”和“社区微业”行动，加快推进山东外事职业大学就业创业赋能中心建设，</w:t>
      </w:r>
      <w:r>
        <w:rPr>
          <w:rFonts w:hint="default" w:ascii="Times New Roman" w:hAnsi="Times New Roman" w:eastAsia="仿宋_GB2312" w:cs="Times New Roman"/>
          <w:color w:val="auto"/>
          <w:spacing w:val="0"/>
          <w:sz w:val="32"/>
          <w:szCs w:val="32"/>
          <w:highlight w:val="none"/>
        </w:rPr>
        <w:t>用好城乡公益性岗位，</w:t>
      </w:r>
      <w:r>
        <w:rPr>
          <w:rFonts w:hint="default" w:ascii="Times New Roman" w:hAnsi="Times New Roman" w:eastAsia="仿宋_GB2312" w:cs="Times New Roman"/>
          <w:color w:val="auto"/>
          <w:spacing w:val="0"/>
          <w:sz w:val="32"/>
          <w:szCs w:val="32"/>
          <w:highlight w:val="none"/>
          <w:lang w:val="en-US" w:eastAsia="zh-CN"/>
        </w:rPr>
        <w:t>健全“零工市场”工作体系，</w:t>
      </w:r>
      <w:r>
        <w:rPr>
          <w:rFonts w:hint="default" w:ascii="Times New Roman" w:hAnsi="Times New Roman" w:eastAsia="仿宋_GB2312" w:cs="Times New Roman"/>
          <w:i w:val="0"/>
          <w:iCs w:val="0"/>
          <w:caps w:val="0"/>
          <w:color w:val="auto"/>
          <w:spacing w:val="0"/>
          <w:sz w:val="32"/>
          <w:szCs w:val="32"/>
          <w:highlight w:val="none"/>
          <w:shd w:val="clear" w:fill="FFFFFF"/>
        </w:rPr>
        <w:t>年均实现城镇新增就业</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4100</w:t>
      </w:r>
      <w:r>
        <w:rPr>
          <w:rFonts w:hint="default" w:ascii="Times New Roman" w:hAnsi="Times New Roman" w:eastAsia="仿宋_GB2312" w:cs="Times New Roman"/>
          <w:i w:val="0"/>
          <w:iCs w:val="0"/>
          <w:caps w:val="0"/>
          <w:color w:val="auto"/>
          <w:spacing w:val="0"/>
          <w:sz w:val="32"/>
          <w:szCs w:val="32"/>
          <w:highlight w:val="none"/>
          <w:shd w:val="clear" w:fill="FFFFFF"/>
        </w:rPr>
        <w:t>人以上，</w:t>
      </w:r>
      <w:r>
        <w:rPr>
          <w:rFonts w:hint="default" w:ascii="Times New Roman" w:hAnsi="Times New Roman" w:eastAsia="仿宋_GB2312" w:cs="Times New Roman"/>
          <w:color w:val="auto"/>
          <w:spacing w:val="0"/>
          <w:sz w:val="32"/>
          <w:szCs w:val="32"/>
          <w:highlight w:val="none"/>
        </w:rPr>
        <w:t>确保</w:t>
      </w:r>
      <w:r>
        <w:rPr>
          <w:rFonts w:hint="default" w:ascii="Times New Roman" w:hAnsi="Times New Roman" w:eastAsia="仿宋_GB2312" w:cs="Times New Roman"/>
          <w:i w:val="0"/>
          <w:iCs w:val="0"/>
          <w:caps w:val="0"/>
          <w:color w:val="auto"/>
          <w:spacing w:val="0"/>
          <w:sz w:val="32"/>
          <w:szCs w:val="32"/>
          <w:highlight w:val="none"/>
          <w:shd w:val="clear" w:fill="FFFFFF"/>
        </w:rPr>
        <w:t>零就业家庭动态清零。</w:t>
      </w:r>
      <w:r>
        <w:rPr>
          <w:rFonts w:hint="default" w:ascii="Times New Roman" w:hAnsi="Times New Roman" w:eastAsia="仿宋_GB2312" w:cs="Times New Roman"/>
          <w:color w:val="auto"/>
          <w:spacing w:val="0"/>
          <w:sz w:val="32"/>
          <w:szCs w:val="32"/>
          <w:highlight w:val="none"/>
        </w:rPr>
        <w:t>优化创业生态环境</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优化个人创业“一件事”集成服务，</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实施</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雁归兴</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乳</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计划</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乐</w:t>
      </w:r>
      <w:r>
        <w:rPr>
          <w:rFonts w:hint="default" w:ascii="Times New Roman" w:hAnsi="Times New Roman" w:eastAsia="仿宋_GB2312" w:cs="Times New Roman"/>
          <w:color w:val="auto"/>
          <w:spacing w:val="0"/>
          <w:sz w:val="32"/>
          <w:szCs w:val="32"/>
          <w:highlight w:val="none"/>
        </w:rPr>
        <w:t>业</w:t>
      </w:r>
      <w:r>
        <w:rPr>
          <w:rFonts w:hint="default" w:ascii="Times New Roman" w:hAnsi="Times New Roman" w:eastAsia="仿宋_GB2312" w:cs="Times New Roman"/>
          <w:color w:val="auto"/>
          <w:spacing w:val="0"/>
          <w:sz w:val="32"/>
          <w:szCs w:val="32"/>
          <w:highlight w:val="none"/>
          <w:lang w:val="en-US" w:eastAsia="zh-CN"/>
        </w:rPr>
        <w:t>乳山</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行动</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探索乡村振兴“三乡人”创业服务试点，</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推进建设返乡创业园</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完善</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创业培训+孵化+融资</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rPr>
        <w:t>服务链条，</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推动</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创业成功率</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提升</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eastAsia="zh-CN"/>
        </w:rPr>
        <w:t>至</w:t>
      </w:r>
      <w:r>
        <w:rPr>
          <w:rFonts w:hint="default" w:ascii="Times New Roman" w:hAnsi="Times New Roman" w:eastAsia="仿宋_GB2312" w:cs="Times New Roman"/>
          <w:b w:val="0"/>
          <w:bCs w:val="0"/>
          <w:i w:val="0"/>
          <w:iCs w:val="0"/>
          <w:caps w:val="0"/>
          <w:strike w:val="0"/>
          <w:dstrike w:val="0"/>
          <w:color w:val="auto"/>
          <w:spacing w:val="0"/>
          <w:sz w:val="32"/>
          <w:szCs w:val="32"/>
          <w:highlight w:val="none"/>
          <w:shd w:val="clear" w:fill="FFFFFF"/>
          <w:lang w:val="en-US" w:eastAsia="zh-CN"/>
        </w:rPr>
        <w:t>60%以上，</w:t>
      </w:r>
      <w:r>
        <w:rPr>
          <w:rFonts w:hint="default" w:ascii="Times New Roman" w:hAnsi="Times New Roman" w:eastAsia="仿宋_GB2312" w:cs="Times New Roman"/>
          <w:color w:val="auto"/>
          <w:spacing w:val="0"/>
          <w:sz w:val="32"/>
          <w:szCs w:val="32"/>
          <w:highlight w:val="none"/>
        </w:rPr>
        <w:t>构建</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产城人业</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融合发展县域就业格局。</w:t>
      </w:r>
    </w:p>
    <w:p>
      <w:pPr>
        <w:pStyle w:val="27"/>
        <w:keepNext w:val="0"/>
        <w:keepLines w:val="0"/>
        <w:pageBreakBefore w:val="0"/>
        <w:kinsoku/>
        <w:wordWrap/>
        <w:overflowPunct/>
        <w:topLinePunct w:val="0"/>
        <w:bidi w:val="0"/>
        <w:spacing w:line="570" w:lineRule="exact"/>
        <w:ind w:firstLine="640" w:firstLineChars="200"/>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深化收入分配制度改革。</w:t>
      </w:r>
      <w:r>
        <w:rPr>
          <w:rFonts w:hint="default" w:ascii="Times New Roman" w:hAnsi="Times New Roman" w:eastAsia="仿宋_GB2312" w:cs="Times New Roman"/>
          <w:b w:val="0"/>
          <w:bCs w:val="0"/>
          <w:color w:val="auto"/>
          <w:kern w:val="2"/>
          <w:sz w:val="32"/>
          <w:szCs w:val="32"/>
          <w:highlight w:val="none"/>
          <w:lang w:val="en-US" w:eastAsia="zh-CN"/>
        </w:rPr>
        <w:t>完善劳动者工资决定、合理增长、支付保障机制。落实城乡居民增收计划，有序推动中低收入群体增收减负，稳步扩大中等收入群体规模，合理调节过高收入。严格落实最低工资标准，完善工资集体协商备案制度，引导工资分配向一线岗位倾斜，加强国有企业工资薪酬管理，完善事业单位工资分级分类管理。创新多元化慈善服务模式，规范促进公益慈善事业发展。支持勤劳创新合法致富，鼓励先富带后富促共富。多渠道增加城乡居民财产性收入，加强税收、社会保障、转移支付等再分配调节，推动</w:t>
      </w:r>
      <w:r>
        <w:rPr>
          <w:rFonts w:hint="default" w:ascii="Times New Roman" w:hAnsi="Times New Roman" w:eastAsia="仿宋_GB2312" w:cs="Times New Roman"/>
          <w:color w:val="auto"/>
          <w:kern w:val="2"/>
          <w:sz w:val="32"/>
          <w:szCs w:val="32"/>
          <w:highlight w:val="none"/>
          <w:lang w:val="en-US" w:eastAsia="en-US"/>
        </w:rPr>
        <w:t>城乡居民收入差距进一步缩小。</w:t>
      </w:r>
    </w:p>
    <w:p>
      <w:pPr>
        <w:pStyle w:val="3"/>
        <w:keepNext w:val="0"/>
        <w:keepLines w:val="0"/>
        <w:pageBreakBefore w:val="0"/>
        <w:kinsoku/>
        <w:wordWrap/>
        <w:overflowPunct/>
        <w:topLinePunct w:val="0"/>
        <w:bidi w:val="0"/>
        <w:spacing w:before="50" w:beforeLines="50" w:beforeAutospacing="0" w:after="50" w:afterLines="50" w:afterAutospacing="0" w:line="570" w:lineRule="exact"/>
        <w:ind w:firstLine="0" w:firstLineChars="0"/>
        <w:rPr>
          <w:rFonts w:hint="default" w:ascii="Times New Roman" w:hAnsi="Times New Roman" w:cs="Times New Roman"/>
          <w:snapToGrid w:val="0"/>
          <w:color w:val="auto"/>
          <w:sz w:val="32"/>
          <w:highlight w:val="none"/>
          <w:lang w:val="en-US" w:eastAsia="zh-CN"/>
        </w:rPr>
      </w:pPr>
      <w:bookmarkStart w:id="439" w:name="_Toc30004"/>
      <w:bookmarkStart w:id="440" w:name="_Toc4075"/>
      <w:bookmarkStart w:id="441" w:name="_Toc9718"/>
      <w:bookmarkStart w:id="442" w:name="_Toc25916"/>
      <w:bookmarkStart w:id="443" w:name="_Toc23002"/>
      <w:bookmarkStart w:id="444" w:name="_Toc4897"/>
      <w:bookmarkStart w:id="445" w:name="_Toc2973"/>
      <w:r>
        <w:rPr>
          <w:rFonts w:hint="default" w:ascii="Times New Roman" w:hAnsi="Times New Roman" w:cs="Times New Roman"/>
          <w:snapToGrid w:val="0"/>
          <w:color w:val="auto"/>
          <w:sz w:val="32"/>
          <w:highlight w:val="none"/>
          <w:lang w:val="en-US" w:eastAsia="zh-CN"/>
        </w:rPr>
        <w:t>第二节</w:t>
      </w:r>
      <w:bookmarkEnd w:id="439"/>
      <w:bookmarkEnd w:id="440"/>
      <w:r>
        <w:rPr>
          <w:rFonts w:hint="default" w:ascii="Times New Roman" w:hAnsi="Times New Roman" w:cs="Times New Roman"/>
          <w:snapToGrid w:val="0"/>
          <w:color w:val="auto"/>
          <w:sz w:val="32"/>
          <w:highlight w:val="none"/>
          <w:lang w:val="en-US" w:eastAsia="zh-CN"/>
        </w:rPr>
        <w:t xml:space="preserve"> 办好人民满意的教育</w:t>
      </w:r>
      <w:bookmarkEnd w:id="441"/>
      <w:bookmarkEnd w:id="442"/>
      <w:bookmarkEnd w:id="443"/>
      <w:bookmarkEnd w:id="444"/>
      <w:bookmarkEnd w:id="445"/>
    </w:p>
    <w:p>
      <w:pPr>
        <w:pStyle w:val="9"/>
        <w:keepNext w:val="0"/>
        <w:keepLines w:val="0"/>
        <w:pageBreakBefore w:val="0"/>
        <w:widowControl/>
        <w:kinsoku/>
        <w:wordWrap/>
        <w:overflowPunct/>
        <w:topLinePunct w:val="0"/>
        <w:autoSpaceDE/>
        <w:autoSpaceDN/>
        <w:bidi w:val="0"/>
        <w:adjustRightInd w:val="0"/>
        <w:snapToGrid w:val="0"/>
        <w:spacing w:line="570" w:lineRule="exact"/>
        <w:ind w:left="0" w:right="0" w:firstLine="640" w:firstLineChars="200"/>
        <w:jc w:val="both"/>
        <w:textAlignment w:val="baseline"/>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lang w:val="en-US" w:eastAsia="zh-CN"/>
        </w:rPr>
        <w:t>全面贯彻党的教育方针，</w:t>
      </w:r>
      <w:r>
        <w:rPr>
          <w:rFonts w:hint="default" w:ascii="Times New Roman" w:hAnsi="Times New Roman" w:eastAsia="仿宋_GB2312" w:cs="Times New Roman"/>
          <w:color w:val="auto"/>
          <w:spacing w:val="0"/>
          <w:sz w:val="32"/>
          <w:szCs w:val="32"/>
          <w:highlight w:val="none"/>
        </w:rPr>
        <w:t>统筹推进育人方式、办学模式、管理体制、保障机制改革，优化调整教育资源配置，加快建设</w:t>
      </w:r>
      <w:r>
        <w:rPr>
          <w:rFonts w:hint="default" w:ascii="Times New Roman" w:hAnsi="Times New Roman" w:eastAsia="仿宋_GB2312" w:cs="Times New Roman"/>
          <w:color w:val="auto"/>
          <w:spacing w:val="0"/>
          <w:sz w:val="32"/>
          <w:szCs w:val="32"/>
          <w:highlight w:val="none"/>
          <w:lang w:eastAsia="zh-CN"/>
        </w:rPr>
        <w:t>现代化</w:t>
      </w:r>
      <w:r>
        <w:rPr>
          <w:rFonts w:hint="default" w:ascii="Times New Roman" w:hAnsi="Times New Roman" w:eastAsia="仿宋_GB2312" w:cs="Times New Roman"/>
          <w:color w:val="auto"/>
          <w:spacing w:val="0"/>
          <w:sz w:val="32"/>
          <w:szCs w:val="32"/>
          <w:highlight w:val="none"/>
        </w:rPr>
        <w:t>教育强</w:t>
      </w:r>
      <w:r>
        <w:rPr>
          <w:rFonts w:hint="default" w:ascii="Times New Roman" w:hAnsi="Times New Roman" w:eastAsia="仿宋_GB2312" w:cs="Times New Roman"/>
          <w:color w:val="auto"/>
          <w:spacing w:val="0"/>
          <w:sz w:val="32"/>
          <w:szCs w:val="32"/>
          <w:highlight w:val="none"/>
          <w:lang w:val="en-US" w:eastAsia="zh-CN"/>
        </w:rPr>
        <w:t>市</w:t>
      </w:r>
      <w:r>
        <w:rPr>
          <w:rFonts w:hint="default" w:ascii="Times New Roman" w:hAnsi="Times New Roman" w:eastAsia="仿宋_GB2312" w:cs="Times New Roman"/>
          <w:color w:val="auto"/>
          <w:spacing w:val="0"/>
          <w:sz w:val="32"/>
          <w:szCs w:val="32"/>
          <w:highlight w:val="none"/>
        </w:rPr>
        <w:t>。</w:t>
      </w:r>
    </w:p>
    <w:p>
      <w:pPr>
        <w:pStyle w:val="27"/>
        <w:keepNext w:val="0"/>
        <w:keepLines w:val="0"/>
        <w:pageBreakBefore w:val="0"/>
        <w:kinsoku/>
        <w:wordWrap/>
        <w:overflowPunct/>
        <w:topLinePunct w:val="0"/>
        <w:bidi w:val="0"/>
        <w:spacing w:line="570" w:lineRule="exact"/>
        <w:ind w:firstLine="640" w:firstLineChars="200"/>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推动各类教育协调发展。</w:t>
      </w:r>
      <w:r>
        <w:rPr>
          <w:rFonts w:hint="default" w:ascii="Times New Roman" w:hAnsi="Times New Roman" w:eastAsia="仿宋_GB2312" w:cs="Times New Roman"/>
          <w:color w:val="auto"/>
          <w:kern w:val="2"/>
          <w:sz w:val="32"/>
          <w:szCs w:val="32"/>
          <w:highlight w:val="none"/>
          <w:lang w:val="en-US" w:eastAsia="zh-CN"/>
        </w:rPr>
        <w:t>建立健全与学龄人口变化相适应的教育资源统筹调配机制，调整优化学校布局，促进教育资源集约高效配置。实施基础教育扩优提质行动，稳步落实学前教育免费政策，推动学前教育优质普惠发展，巩固提升义务教育优质均衡发展成果，实施普通高中振兴行动计划，加大科技创新人才培养，推动职业教育与普通教育相互融通，促进高中阶段教育多样化、特色化发展。支持山东外事职业大学、威海机械工程高级技工学校等专业学校与企业共建产业学院、实训基地，形成职普融通、校企协同、产教融合的高技能人才培养机制。</w:t>
      </w:r>
      <w:r>
        <w:rPr>
          <w:rFonts w:hint="default" w:ascii="Times New Roman" w:hAnsi="Times New Roman" w:eastAsia="仿宋_GB2312" w:cs="Times New Roman"/>
          <w:color w:val="auto"/>
          <w:spacing w:val="0"/>
          <w:sz w:val="32"/>
          <w:szCs w:val="32"/>
          <w:highlight w:val="none"/>
          <w:lang w:val="en-US" w:eastAsia="zh-CN"/>
        </w:rPr>
        <w:t>引导规范民办教育发展，健全专门教育保障机制，</w:t>
      </w:r>
      <w:r>
        <w:rPr>
          <w:rFonts w:hint="default" w:ascii="Times New Roman" w:hAnsi="Times New Roman" w:eastAsia="仿宋_GB2312" w:cs="Times New Roman"/>
          <w:color w:val="auto"/>
          <w:kern w:val="2"/>
          <w:sz w:val="32"/>
          <w:szCs w:val="32"/>
          <w:highlight w:val="none"/>
          <w:lang w:val="en-US" w:eastAsia="zh-CN"/>
        </w:rPr>
        <w:t>完善特殊教育保障机制，提高特殊教育质量，确保残疾儿童少年接受合适的教育。推动高等教育提质扩容，支持山东外事职业大学发展，</w:t>
      </w:r>
      <w:bookmarkStart w:id="446" w:name="_Hlk218418787"/>
      <w:r>
        <w:rPr>
          <w:rFonts w:hint="default" w:ascii="Times New Roman" w:hAnsi="Times New Roman" w:eastAsia="仿宋_GB2312" w:cs="Times New Roman"/>
          <w:color w:val="auto"/>
          <w:kern w:val="2"/>
          <w:sz w:val="32"/>
          <w:szCs w:val="32"/>
          <w:highlight w:val="none"/>
          <w:lang w:val="en-US" w:eastAsia="zh-CN"/>
        </w:rPr>
        <w:t>提升人才培养供需适配度</w:t>
      </w:r>
      <w:bookmarkEnd w:id="446"/>
      <w:r>
        <w:rPr>
          <w:rFonts w:hint="default" w:ascii="Times New Roman" w:hAnsi="Times New Roman" w:eastAsia="仿宋_GB2312" w:cs="Times New Roman"/>
          <w:color w:val="auto"/>
          <w:kern w:val="2"/>
          <w:sz w:val="32"/>
          <w:szCs w:val="32"/>
          <w:highlight w:val="none"/>
          <w:lang w:val="en-US" w:eastAsia="zh-CN"/>
        </w:rPr>
        <w:t>，争取更多高校来乳办学、设立研发机构。</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楷体_GB2312" w:cs="Times New Roman"/>
          <w:color w:val="auto"/>
          <w:kern w:val="2"/>
          <w:sz w:val="32"/>
          <w:szCs w:val="32"/>
          <w:highlight w:val="none"/>
          <w:lang w:val="en-US" w:eastAsia="zh-CN"/>
        </w:rPr>
        <w:t>强化教育保障能力建设。</w:t>
      </w:r>
      <w:r>
        <w:rPr>
          <w:rFonts w:hint="default" w:ascii="Times New Roman" w:hAnsi="Times New Roman" w:eastAsia="仿宋_GB2312" w:cs="Times New Roman"/>
          <w:color w:val="auto"/>
          <w:kern w:val="2"/>
          <w:sz w:val="32"/>
          <w:szCs w:val="32"/>
          <w:highlight w:val="none"/>
          <w:lang w:val="en-US" w:eastAsia="zh-CN" w:bidi="ar-SA"/>
        </w:rPr>
        <w:t>健全教育经费保障长效机制，加大财政教育投入力度，优化教育经费支出结构，确保教育经费“两个只增不减”。</w:t>
      </w:r>
      <w:r>
        <w:rPr>
          <w:rFonts w:hint="default" w:ascii="Times New Roman" w:hAnsi="Times New Roman" w:eastAsia="仿宋_GB2312" w:cs="Times New Roman"/>
          <w:color w:val="auto"/>
          <w:kern w:val="2"/>
          <w:sz w:val="32"/>
          <w:szCs w:val="32"/>
          <w:highlight w:val="none"/>
          <w:lang w:val="en-US" w:eastAsia="zh-CN"/>
        </w:rPr>
        <w:t>推进教育基础设施提档升级，实施校园安全提升工程，完善校园安防体系，建设标准化食堂、宿舍和运动场地，改善办学条件。</w:t>
      </w:r>
      <w:r>
        <w:rPr>
          <w:rFonts w:hint="default" w:ascii="Times New Roman" w:hAnsi="Times New Roman" w:eastAsia="仿宋_GB2312" w:cs="Times New Roman"/>
          <w:color w:val="auto"/>
          <w:kern w:val="2"/>
          <w:sz w:val="32"/>
          <w:szCs w:val="32"/>
          <w:highlight w:val="none"/>
          <w:lang w:val="en-US" w:eastAsia="zh-CN" w:bidi="ar-SA"/>
        </w:rPr>
        <w:t>深化家校社协同育人“教联体”建设，构建学校、家庭、社会、网络、心理“五位一体”育人体系，整合社会资源建设一批校外实践教育基地，形成全社会共同关心支持教育发展的良好氛围。</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bidi="ar"/>
        </w:rPr>
        <w:t>深化教育改革创新</w:t>
      </w:r>
      <w:r>
        <w:rPr>
          <w:rFonts w:hint="default" w:ascii="Times New Roman" w:hAnsi="Times New Roman" w:eastAsia="楷体_GB2312" w:cs="Times New Roman"/>
          <w:color w:val="auto"/>
          <w:sz w:val="32"/>
          <w:szCs w:val="32"/>
          <w:highlight w:val="none"/>
          <w:lang w:val="en-US" w:eastAsia="zh-CN" w:bidi="ar"/>
        </w:rPr>
        <w:t>。</w:t>
      </w:r>
      <w:r>
        <w:rPr>
          <w:rFonts w:hint="default" w:ascii="Times New Roman" w:hAnsi="Times New Roman" w:eastAsia="仿宋_GB2312" w:cs="Times New Roman"/>
          <w:color w:val="auto"/>
          <w:sz w:val="32"/>
          <w:szCs w:val="32"/>
          <w:highlight w:val="none"/>
          <w:lang w:val="en-US" w:eastAsia="zh-CN"/>
        </w:rPr>
        <w:t>强化党对教育改革的领导，以教育评价改革为突破口，</w:t>
      </w:r>
      <w:bookmarkStart w:id="447" w:name="_Toc12416"/>
      <w:r>
        <w:rPr>
          <w:rFonts w:hint="default" w:ascii="Times New Roman" w:hAnsi="Times New Roman" w:eastAsia="仿宋_GB2312" w:cs="Times New Roman"/>
          <w:color w:val="auto"/>
          <w:sz w:val="32"/>
          <w:szCs w:val="32"/>
          <w:highlight w:val="none"/>
          <w:lang w:val="en-US" w:eastAsia="zh-CN"/>
        </w:rPr>
        <w:t>完善教育体制机制，推动教育创新发展。全面实施新时代立德树人工程，促进思政课堂和社会课堂有效融合，推进思政课大中小学一体化、校内外一体化改革，构</w:t>
      </w:r>
      <w:r>
        <w:rPr>
          <w:rFonts w:hint="default" w:ascii="Times New Roman" w:hAnsi="Times New Roman" w:eastAsia="仿宋_GB2312" w:cs="Times New Roman"/>
          <w:b w:val="0"/>
          <w:bCs w:val="0"/>
          <w:color w:val="auto"/>
          <w:sz w:val="32"/>
          <w:szCs w:val="32"/>
          <w:highlight w:val="none"/>
          <w:lang w:val="en-US" w:eastAsia="zh-CN"/>
        </w:rPr>
        <w:t>建“</w:t>
      </w:r>
      <w:r>
        <w:rPr>
          <w:rFonts w:hint="default" w:ascii="Times New Roman" w:hAnsi="Times New Roman" w:eastAsia="仿宋_GB2312" w:cs="Times New Roman"/>
          <w:b w:val="0"/>
          <w:bCs w:val="0"/>
          <w:color w:val="auto"/>
          <w:sz w:val="32"/>
          <w:szCs w:val="32"/>
          <w:highlight w:val="none"/>
          <w:u w:val="none"/>
          <w:lang w:val="en-US" w:eastAsia="zh-CN"/>
        </w:rPr>
        <w:t>五育融合</w:t>
      </w:r>
      <w:r>
        <w:rPr>
          <w:rFonts w:hint="default" w:ascii="Times New Roman" w:hAnsi="Times New Roman" w:eastAsia="仿宋_GB2312" w:cs="Times New Roman"/>
          <w:b w:val="0"/>
          <w:bCs w:val="0"/>
          <w:color w:val="auto"/>
          <w:sz w:val="32"/>
          <w:szCs w:val="32"/>
          <w:highlight w:val="none"/>
          <w:lang w:val="en-US" w:eastAsia="zh-CN"/>
        </w:rPr>
        <w:t>”多维</w:t>
      </w:r>
      <w:r>
        <w:rPr>
          <w:rFonts w:hint="default" w:ascii="Times New Roman" w:hAnsi="Times New Roman" w:eastAsia="仿宋_GB2312" w:cs="Times New Roman"/>
          <w:color w:val="auto"/>
          <w:sz w:val="32"/>
          <w:szCs w:val="32"/>
          <w:highlight w:val="none"/>
          <w:lang w:val="en-US" w:eastAsia="zh-CN"/>
        </w:rPr>
        <w:t>育人新格局。深化集团化办学改革，强校扩优缩小城乡差距，推动优质教育资源共享。深化中小学教师“县管校聘”改革，构建适应学龄人口变化的教师调配机制，加强教师队伍建设，健全教师教育培养培训体系，实施教育家精神铸魂强师行动、数字化赋能教师发展行动，提高教师师德素养、专业素质和教学能力，建设新时代高水平教师队伍。实施数字化赋能教育发展行动，建设“智慧校园”，推进现代信息技术与大中小学教育教学深度融合创新，打造数字化集成化终身学习平台，加快建设人人皆学、处处能学、时时可学的学习型社会。</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448" w:name="_Toc13926"/>
      <w:bookmarkStart w:id="449" w:name="_Toc13276"/>
      <w:bookmarkStart w:id="450" w:name="_Toc19655"/>
      <w:bookmarkStart w:id="451" w:name="_Toc30218"/>
      <w:bookmarkStart w:id="452" w:name="_Toc25481"/>
      <w:bookmarkStart w:id="453" w:name="_Toc23944"/>
      <w:r>
        <w:rPr>
          <w:rFonts w:hint="default" w:ascii="Times New Roman" w:hAnsi="Times New Roman" w:cs="Times New Roman"/>
          <w:snapToGrid w:val="0"/>
          <w:color w:val="auto"/>
          <w:sz w:val="32"/>
          <w:highlight w:val="none"/>
          <w:lang w:val="en-US" w:eastAsia="zh-CN"/>
        </w:rPr>
        <w:t>第三节 推动健康幸福乳山建设</w:t>
      </w:r>
      <w:bookmarkEnd w:id="447"/>
      <w:bookmarkEnd w:id="448"/>
      <w:bookmarkEnd w:id="449"/>
      <w:bookmarkEnd w:id="450"/>
      <w:bookmarkEnd w:id="451"/>
      <w:bookmarkEnd w:id="452"/>
      <w:bookmarkEnd w:id="453"/>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lang w:val="en-US" w:eastAsia="zh-CN"/>
        </w:rPr>
        <w:t>聚焦打造滨海旅居康养目的地</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加快以医疗为中心向以医养为中心转变，</w:t>
      </w:r>
      <w:r>
        <w:rPr>
          <w:rFonts w:hint="default" w:ascii="Times New Roman" w:hAnsi="Times New Roman" w:eastAsia="仿宋_GB2312" w:cs="Times New Roman"/>
          <w:color w:val="auto"/>
          <w:spacing w:val="0"/>
          <w:sz w:val="32"/>
          <w:szCs w:val="32"/>
          <w:highlight w:val="none"/>
        </w:rPr>
        <w:t>优化全人群全方位全周期健康服务与保障，</w:t>
      </w:r>
      <w:r>
        <w:rPr>
          <w:rFonts w:hint="default" w:ascii="Times New Roman" w:hAnsi="Times New Roman" w:eastAsia="仿宋_GB2312" w:cs="Times New Roman"/>
          <w:color w:val="auto"/>
          <w:spacing w:val="0"/>
          <w:sz w:val="32"/>
          <w:szCs w:val="32"/>
          <w:highlight w:val="none"/>
          <w:lang w:eastAsia="zh-CN"/>
        </w:rPr>
        <w:t>倡导健康生活方式，</w:t>
      </w:r>
      <w:r>
        <w:rPr>
          <w:rFonts w:hint="default" w:ascii="Times New Roman" w:hAnsi="Times New Roman" w:eastAsia="仿宋_GB2312" w:cs="Times New Roman"/>
          <w:color w:val="auto"/>
          <w:spacing w:val="0"/>
          <w:sz w:val="32"/>
          <w:szCs w:val="32"/>
          <w:highlight w:val="none"/>
          <w:lang w:val="en-US" w:eastAsia="zh-CN"/>
        </w:rPr>
        <w:t>深化医养结合，</w:t>
      </w:r>
      <w:r>
        <w:rPr>
          <w:rFonts w:hint="default" w:ascii="Times New Roman" w:hAnsi="Times New Roman" w:eastAsia="仿宋_GB2312" w:cs="Times New Roman"/>
          <w:color w:val="auto"/>
          <w:spacing w:val="0"/>
          <w:sz w:val="32"/>
          <w:szCs w:val="32"/>
          <w:highlight w:val="none"/>
        </w:rPr>
        <w:t>稳步提高人民群众健康水平和</w:t>
      </w:r>
      <w:r>
        <w:rPr>
          <w:rFonts w:hint="default" w:ascii="Times New Roman" w:hAnsi="Times New Roman" w:eastAsia="仿宋_GB2312" w:cs="Times New Roman"/>
          <w:color w:val="auto"/>
          <w:spacing w:val="0"/>
          <w:sz w:val="32"/>
          <w:szCs w:val="32"/>
          <w:highlight w:val="none"/>
          <w:lang w:val="en-US" w:eastAsia="zh-CN"/>
        </w:rPr>
        <w:t>生活品质</w:t>
      </w:r>
      <w:r>
        <w:rPr>
          <w:rFonts w:hint="default" w:ascii="Times New Roman" w:hAnsi="Times New Roman" w:eastAsia="仿宋_GB2312" w:cs="Times New Roman"/>
          <w:color w:val="auto"/>
          <w:spacing w:val="0"/>
          <w:sz w:val="32"/>
          <w:szCs w:val="32"/>
          <w:highlight w:val="none"/>
        </w:rPr>
        <w:t>。</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深化医药卫生体制改革。</w:t>
      </w:r>
      <w:r>
        <w:rPr>
          <w:rFonts w:hint="default" w:ascii="Times New Roman" w:hAnsi="Times New Roman" w:eastAsia="仿宋_GB2312" w:cs="Times New Roman"/>
          <w:b w:val="0"/>
          <w:bCs w:val="0"/>
          <w:color w:val="auto"/>
          <w:sz w:val="32"/>
          <w:szCs w:val="32"/>
          <w:highlight w:val="none"/>
          <w:lang w:val="en-US" w:eastAsia="zh-CN"/>
        </w:rPr>
        <w:t>推动医疗、医保、医药“三医”协同发展，不断完善紧密型县域医共体体系，提高县域医疗卫生资源配置和使用效率，全面落实分级诊疗制度。健全重大传染病市镇联防联控机制，推进市疾控中心实验室标准化建设，促进医防协同深度融合。坚持以公益性为导向，优化公立医院人员编制管理，推进医疗服务价格、薪酬制度与综合监管改革，引导规范社会办医健康发展。完善多层次医疗保障体系，健全基本医疗保障制度，发展商业健康保险，推动商业健康保险产品扩大创新药支付范围，开展就医费用线上快速结算探索。</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提升医疗卫生服务水平。</w:t>
      </w:r>
      <w:r>
        <w:rPr>
          <w:rFonts w:hint="default" w:ascii="Times New Roman" w:hAnsi="Times New Roman" w:eastAsia="仿宋_GB2312" w:cs="Times New Roman"/>
          <w:b w:val="0"/>
          <w:bCs w:val="0"/>
          <w:color w:val="auto"/>
          <w:sz w:val="32"/>
          <w:szCs w:val="32"/>
          <w:highlight w:val="none"/>
          <w:lang w:val="en-US" w:eastAsia="zh-CN"/>
        </w:rPr>
        <w:t>加强临床重点专科建设，高标准建设公立医院高质量发展项目，实施“专科强院”战略，</w:t>
      </w:r>
      <w:r>
        <w:rPr>
          <w:rFonts w:hint="default" w:ascii="Times New Roman" w:hAnsi="Times New Roman" w:eastAsia="仿宋_GB2312" w:cs="Times New Roman"/>
          <w:color w:val="auto"/>
          <w:sz w:val="32"/>
          <w:szCs w:val="32"/>
          <w:highlight w:val="none"/>
        </w:rPr>
        <w:t>培育2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3个在</w:t>
      </w:r>
      <w:r>
        <w:rPr>
          <w:rFonts w:hint="default" w:ascii="Times New Roman" w:hAnsi="Times New Roman" w:eastAsia="仿宋_GB2312" w:cs="Times New Roman"/>
          <w:color w:val="auto"/>
          <w:sz w:val="32"/>
          <w:szCs w:val="32"/>
          <w:highlight w:val="none"/>
          <w:lang w:eastAsia="zh-CN"/>
        </w:rPr>
        <w:t>威海</w:t>
      </w:r>
      <w:r>
        <w:rPr>
          <w:rFonts w:hint="default" w:ascii="Times New Roman" w:hAnsi="Times New Roman" w:eastAsia="仿宋_GB2312" w:cs="Times New Roman"/>
          <w:color w:val="auto"/>
          <w:sz w:val="32"/>
          <w:szCs w:val="32"/>
          <w:highlight w:val="none"/>
        </w:rPr>
        <w:t>地区有影响力的特色专科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推动医疗服务能力与学科水平同步提升</w:t>
      </w:r>
      <w:r>
        <w:rPr>
          <w:rFonts w:hint="default" w:ascii="Times New Roman" w:hAnsi="Times New Roman" w:eastAsia="仿宋_GB2312" w:cs="Times New Roman"/>
          <w:b w:val="0"/>
          <w:bCs w:val="0"/>
          <w:color w:val="auto"/>
          <w:sz w:val="32"/>
          <w:szCs w:val="32"/>
          <w:highlight w:val="none"/>
          <w:lang w:val="en-US" w:eastAsia="zh-CN"/>
        </w:rPr>
        <w:t>。实施医疗卫生提质融合行动，加强县域、基层医疗机构运行保障，补足基层医疗服务短板，加强薄弱村卫生室“五有三提升”改造，打造“15分钟健康服务圈”。加快推进卫生健康信息化建设，升级改造县域全民健康信息平台，实施医院信息化系统升级改造工程，实现电子健康档案和电子病历的连续记录以及不同级别、不同类别医疗机构之间的信息共享。推广智慧医疗辅助信息系统，完善“互联网+医疗健康”利民惠民便民服务体系，开展“互联网+护理服务”，推动数字化医疗护理服务拓展到社区和家庭。</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楷体_GB2312" w:cs="Times New Roman"/>
          <w:b w:val="0"/>
          <w:bCs w:val="0"/>
          <w:color w:val="auto"/>
          <w:kern w:val="2"/>
          <w:sz w:val="32"/>
          <w:szCs w:val="32"/>
          <w:highlight w:val="none"/>
          <w:lang w:val="en-US" w:eastAsia="zh-CN" w:bidi="ar"/>
        </w:rPr>
      </w:pPr>
      <w:r>
        <w:rPr>
          <w:rFonts w:hint="default" w:ascii="Times New Roman" w:hAnsi="Times New Roman" w:eastAsia="楷体_GB2312" w:cs="Times New Roman"/>
          <w:b w:val="0"/>
          <w:bCs w:val="0"/>
          <w:color w:val="auto"/>
          <w:kern w:val="2"/>
          <w:sz w:val="32"/>
          <w:szCs w:val="32"/>
          <w:highlight w:val="none"/>
          <w:lang w:val="en-US" w:eastAsia="zh-CN" w:bidi="ar"/>
        </w:rPr>
        <w:t>促进中医药传承创新发展。</w:t>
      </w:r>
      <w:r>
        <w:rPr>
          <w:rFonts w:hint="default" w:ascii="Times New Roman" w:hAnsi="Times New Roman" w:eastAsia="仿宋_GB2312" w:cs="Times New Roman"/>
          <w:b w:val="0"/>
          <w:bCs w:val="0"/>
          <w:color w:val="auto"/>
          <w:sz w:val="32"/>
          <w:szCs w:val="32"/>
          <w:highlight w:val="none"/>
          <w:lang w:val="en-US" w:eastAsia="zh-CN"/>
        </w:rPr>
        <w:t>按照三级医院建设标准，推动市中医院高质量发展，加强中医药特色专科建设。夯实基层中医药服务基础，提升中医馆、中医阁服务内涵，培育中医特色卫生院、卫生室。促进中西医深度融合发展，建立中西医协同长效机制，健全中西医临床协同体系，打造中西医协同“旗舰科室”、中西医协同特色病房。探索中医药深度参与医防融合体制机制和管理模式的创新举措，整合中医药在“未病先防、既病防变、瘥后防复”健康管理全链条服务。推进中医生活化纵深发展，普及中医养生保健技术方法，研发中医药大健康日用消费品，推动中医药医防融合理念、技术、产品融入群众日常生活。</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推进健康乳山建设。</w:t>
      </w:r>
      <w:r>
        <w:rPr>
          <w:rFonts w:hint="default" w:ascii="Times New Roman" w:hAnsi="Times New Roman" w:eastAsia="仿宋_GB2312" w:cs="Times New Roman"/>
          <w:b w:val="0"/>
          <w:bCs w:val="0"/>
          <w:color w:val="auto"/>
          <w:sz w:val="32"/>
          <w:szCs w:val="32"/>
          <w:highlight w:val="none"/>
          <w:u w:val="none"/>
          <w:lang w:val="en-US" w:eastAsia="zh-CN"/>
        </w:rPr>
        <w:t>以人民健康为中心，</w:t>
      </w:r>
      <w:r>
        <w:rPr>
          <w:rFonts w:hint="default" w:ascii="Times New Roman" w:hAnsi="Times New Roman" w:eastAsia="仿宋_GB2312" w:cs="Times New Roman"/>
          <w:color w:val="auto"/>
          <w:spacing w:val="0"/>
          <w:sz w:val="32"/>
          <w:szCs w:val="32"/>
          <w:highlight w:val="none"/>
        </w:rPr>
        <w:t>健全</w:t>
      </w:r>
      <w:r>
        <w:rPr>
          <w:rFonts w:hint="default" w:ascii="Times New Roman" w:hAnsi="Times New Roman" w:eastAsia="仿宋_GB2312" w:cs="Times New Roman"/>
          <w:color w:val="auto"/>
          <w:sz w:val="32"/>
          <w:szCs w:val="32"/>
          <w:highlight w:val="none"/>
          <w:lang w:val="en-US" w:eastAsia="zh-CN"/>
        </w:rPr>
        <w:t>疾病预防控制体系，加快推进国家传染病智能监测预警软件部署应用，实现基层医疗机构前置软件全覆盖，重点加强艾滋病、结核病等传染病防控，完善慢性病监测网络，推行全民健康生活方式和“三减控三高”项目，推动</w:t>
      </w:r>
      <w:r>
        <w:rPr>
          <w:rFonts w:hint="default" w:ascii="Times New Roman" w:hAnsi="Times New Roman" w:eastAsia="仿宋_GB2312" w:cs="Times New Roman"/>
          <w:color w:val="auto"/>
          <w:sz w:val="32"/>
          <w:szCs w:val="32"/>
          <w:highlight w:val="none"/>
        </w:rPr>
        <w:t>居民健康素养水平年均提升</w:t>
      </w: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个百分点</w:t>
      </w:r>
      <w:r>
        <w:rPr>
          <w:rFonts w:hint="default" w:ascii="Times New Roman" w:hAnsi="Times New Roman" w:eastAsia="仿宋_GB2312" w:cs="Times New Roman"/>
          <w:color w:val="auto"/>
          <w:sz w:val="32"/>
          <w:szCs w:val="32"/>
          <w:highlight w:val="none"/>
          <w:lang w:val="en-US" w:eastAsia="zh-CN"/>
        </w:rPr>
        <w:t>左右</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提升应急处置能力，强化市级应急医疗和传染病防控队伍建设，完善与公安、交通、环保等部门的联防联控机制，建立功能齐全、布局合理、协同顺畅、保障有力的公共卫生应急体系。</w:t>
      </w:r>
      <w:r>
        <w:rPr>
          <w:rFonts w:hint="default" w:ascii="Times New Roman" w:hAnsi="Times New Roman" w:eastAsia="仿宋_GB2312" w:cs="Times New Roman"/>
          <w:strike w:val="0"/>
          <w:dstrike w:val="0"/>
          <w:color w:val="auto"/>
          <w:sz w:val="32"/>
          <w:szCs w:val="32"/>
          <w:highlight w:val="none"/>
          <w:lang w:val="en-US" w:eastAsia="zh-CN"/>
        </w:rPr>
        <w:t>加强基层医疗卫生人才队伍建设，逐年提高具备执业（助理）医师资格的乡村医生占比。</w:t>
      </w:r>
      <w:r>
        <w:rPr>
          <w:rFonts w:hint="default" w:ascii="Times New Roman" w:hAnsi="Times New Roman" w:eastAsia="仿宋_GB2312" w:cs="Times New Roman"/>
          <w:color w:val="auto"/>
          <w:sz w:val="32"/>
          <w:szCs w:val="32"/>
          <w:highlight w:val="none"/>
          <w:lang w:val="en-US" w:eastAsia="zh-CN"/>
        </w:rPr>
        <w:t>开展全民健康促进活动，加强心理健康和精神卫生服务，建设健康社区、健康单位、健康家庭，提升人民群众健康素养。</w:t>
      </w:r>
      <w:bookmarkStart w:id="454" w:name="_Toc12953"/>
      <w:r>
        <w:rPr>
          <w:rFonts w:hint="default" w:ascii="Times New Roman" w:hAnsi="Times New Roman" w:eastAsia="仿宋_GB2312" w:cs="Times New Roman"/>
          <w:strike w:val="0"/>
          <w:dstrike w:val="0"/>
          <w:color w:val="auto"/>
          <w:sz w:val="32"/>
          <w:szCs w:val="32"/>
          <w:highlight w:val="none"/>
          <w:lang w:val="en-US" w:eastAsia="zh-CN"/>
        </w:rPr>
        <w:t>全面推进健康城镇创建，完善爱国卫生工作机制，成立创建工作领导小组，实施“将健康融入所有政策”工作策略，全力争创首批全国健康县。</w:t>
      </w:r>
    </w:p>
    <w:p>
      <w:pPr>
        <w:pStyle w:val="3"/>
        <w:keepNext w:val="0"/>
        <w:keepLines w:val="0"/>
        <w:pageBreakBefore w:val="0"/>
        <w:kinsoku/>
        <w:wordWrap/>
        <w:overflowPunct/>
        <w:topLinePunct w:val="0"/>
        <w:bidi w:val="0"/>
        <w:spacing w:before="50" w:beforeLines="50" w:beforeAutospacing="0" w:after="50" w:afterLines="50" w:afterAutospacing="0" w:line="570" w:lineRule="exact"/>
        <w:ind w:firstLine="0" w:firstLineChars="0"/>
        <w:outlineLvl w:val="0"/>
        <w:rPr>
          <w:rFonts w:hint="default" w:ascii="Times New Roman" w:hAnsi="Times New Roman" w:eastAsia="仿宋_GB2312" w:cs="Times New Roman"/>
          <w:color w:val="auto"/>
          <w:sz w:val="32"/>
          <w:szCs w:val="32"/>
          <w:highlight w:val="none"/>
          <w:lang w:val="en-US" w:eastAsia="zh-CN"/>
        </w:rPr>
      </w:pPr>
      <w:bookmarkStart w:id="455" w:name="_Toc8992"/>
      <w:bookmarkStart w:id="456" w:name="_Toc3573"/>
      <w:bookmarkStart w:id="457" w:name="_Toc19451"/>
      <w:bookmarkStart w:id="458" w:name="_Toc22533"/>
      <w:bookmarkStart w:id="459" w:name="_Toc48"/>
      <w:bookmarkStart w:id="460" w:name="_Toc12496"/>
      <w:r>
        <w:rPr>
          <w:rFonts w:hint="default" w:ascii="Times New Roman" w:hAnsi="Times New Roman" w:cs="Times New Roman"/>
          <w:snapToGrid w:val="0"/>
          <w:color w:val="auto"/>
          <w:sz w:val="32"/>
          <w:highlight w:val="none"/>
          <w:lang w:val="en-US" w:eastAsia="zh-CN"/>
        </w:rPr>
        <w:t>第四节 促进人口结构健康发展</w:t>
      </w:r>
      <w:bookmarkEnd w:id="455"/>
      <w:bookmarkEnd w:id="456"/>
      <w:bookmarkEnd w:id="457"/>
      <w:bookmarkEnd w:id="458"/>
      <w:bookmarkEnd w:id="459"/>
      <w:bookmarkEnd w:id="460"/>
    </w:p>
    <w:p>
      <w:pPr>
        <w:pStyle w:val="9"/>
        <w:keepNext w:val="0"/>
        <w:keepLines w:val="0"/>
        <w:pageBreakBefore w:val="0"/>
        <w:widowControl/>
        <w:kinsoku/>
        <w:wordWrap/>
        <w:overflowPunct/>
        <w:topLinePunct w:val="0"/>
        <w:autoSpaceDE/>
        <w:autoSpaceDN/>
        <w:bidi w:val="0"/>
        <w:adjustRightInd w:val="0"/>
        <w:snapToGrid w:val="0"/>
        <w:spacing w:after="0" w:afterLines="0" w:line="570" w:lineRule="exact"/>
        <w:ind w:right="0" w:firstLine="640" w:firstLineChars="200"/>
        <w:jc w:val="both"/>
        <w:textAlignment w:val="baseline"/>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积极应对老龄化、少子化，健全覆盖全人群、全生命周期的人口发展支持和服务体系，打造生育友好型、全龄友好型</w:t>
      </w:r>
      <w:r>
        <w:rPr>
          <w:rFonts w:hint="default" w:ascii="Times New Roman" w:hAnsi="Times New Roman" w:eastAsia="仿宋_GB2312" w:cs="Times New Roman"/>
          <w:color w:val="auto"/>
          <w:spacing w:val="0"/>
          <w:sz w:val="32"/>
          <w:szCs w:val="32"/>
          <w:highlight w:val="none"/>
          <w:lang w:val="en-US" w:eastAsia="zh-CN"/>
        </w:rPr>
        <w:t>城市</w:t>
      </w:r>
      <w:r>
        <w:rPr>
          <w:rFonts w:hint="default" w:ascii="Times New Roman" w:hAnsi="Times New Roman" w:eastAsia="仿宋_GB2312" w:cs="Times New Roman"/>
          <w:color w:val="auto"/>
          <w:spacing w:val="0"/>
          <w:sz w:val="32"/>
          <w:szCs w:val="32"/>
          <w:highlight w:val="none"/>
        </w:rPr>
        <w:t>。</w:t>
      </w:r>
    </w:p>
    <w:p>
      <w:pPr>
        <w:pStyle w:val="27"/>
        <w:pageBreakBefore w:val="0"/>
        <w:kinsoku/>
        <w:wordWrap/>
        <w:overflowPunct/>
        <w:topLinePunct w:val="0"/>
        <w:bidi w:val="0"/>
        <w:spacing w:line="570" w:lineRule="exact"/>
        <w:ind w:firstLine="640" w:firstLineChars="200"/>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楷体_GB2312" w:cs="Times New Roman"/>
          <w:b w:val="0"/>
          <w:bCs w:val="0"/>
          <w:color w:val="auto"/>
          <w:kern w:val="2"/>
          <w:sz w:val="32"/>
          <w:szCs w:val="32"/>
          <w:highlight w:val="none"/>
          <w:lang w:val="en-US" w:eastAsia="zh-CN" w:bidi="ar"/>
        </w:rPr>
        <w:t>完善生育支持政策体系。</w:t>
      </w:r>
      <w:r>
        <w:rPr>
          <w:rFonts w:hint="default" w:ascii="Times New Roman" w:hAnsi="Times New Roman" w:eastAsia="仿宋_GB2312" w:cs="Times New Roman"/>
          <w:color w:val="auto"/>
          <w:spacing w:val="0"/>
          <w:sz w:val="32"/>
          <w:szCs w:val="32"/>
          <w:highlight w:val="none"/>
        </w:rPr>
        <w:t>大力倡导新型婚育文化，优化生育支持政策和激励措施，落实生育补贴、生育假期制度，</w:t>
      </w:r>
      <w:r>
        <w:rPr>
          <w:rFonts w:hint="default" w:ascii="Times New Roman" w:hAnsi="Times New Roman" w:eastAsia="仿宋_GB2312" w:cs="Times New Roman"/>
          <w:color w:val="auto"/>
          <w:spacing w:val="0"/>
          <w:sz w:val="32"/>
          <w:szCs w:val="32"/>
          <w:highlight w:val="none"/>
          <w:lang w:val="en-US" w:eastAsia="zh-CN"/>
        </w:rPr>
        <w:t>增强生育保险保障功能，做好灵活就业人员、未就业人员生育医疗费用待遇保障工作</w:t>
      </w:r>
      <w:r>
        <w:rPr>
          <w:rFonts w:hint="default" w:ascii="Times New Roman" w:hAnsi="Times New Roman" w:eastAsia="仿宋_GB2312" w:cs="Times New Roman"/>
          <w:color w:val="auto"/>
          <w:spacing w:val="0"/>
          <w:sz w:val="32"/>
          <w:szCs w:val="32"/>
          <w:highlight w:val="none"/>
        </w:rPr>
        <w:t>。建</w:t>
      </w:r>
      <w:r>
        <w:rPr>
          <w:rFonts w:hint="default" w:ascii="Times New Roman" w:hAnsi="Times New Roman" w:eastAsia="仿宋_GB2312" w:cs="Times New Roman"/>
          <w:color w:val="auto"/>
          <w:spacing w:val="0"/>
          <w:sz w:val="32"/>
          <w:szCs w:val="32"/>
          <w:highlight w:val="none"/>
          <w:lang w:val="en-US" w:eastAsia="zh-CN"/>
        </w:rPr>
        <w:t>设</w:t>
      </w:r>
      <w:r>
        <w:rPr>
          <w:rFonts w:hint="default" w:ascii="Times New Roman" w:hAnsi="Times New Roman" w:eastAsia="仿宋_GB2312" w:cs="Times New Roman"/>
          <w:color w:val="auto"/>
          <w:spacing w:val="0"/>
          <w:sz w:val="32"/>
          <w:szCs w:val="32"/>
          <w:highlight w:val="none"/>
        </w:rPr>
        <w:t>儿童友好医院</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生育友好医院，</w:t>
      </w:r>
      <w:r>
        <w:rPr>
          <w:rFonts w:hint="default" w:ascii="Times New Roman" w:hAnsi="Times New Roman" w:eastAsia="仿宋_GB2312" w:cs="Times New Roman"/>
          <w:color w:val="auto"/>
          <w:spacing w:val="0"/>
          <w:sz w:val="32"/>
          <w:szCs w:val="32"/>
          <w:highlight w:val="none"/>
          <w:lang w:val="en-US" w:eastAsia="zh-CN"/>
        </w:rPr>
        <w:t>持续做好</w:t>
      </w:r>
      <w:r>
        <w:rPr>
          <w:rFonts w:hint="default" w:ascii="Times New Roman" w:hAnsi="Times New Roman" w:eastAsia="仿宋_GB2312" w:cs="Times New Roman"/>
          <w:color w:val="auto"/>
          <w:spacing w:val="0"/>
          <w:sz w:val="32"/>
          <w:szCs w:val="32"/>
          <w:highlight w:val="none"/>
        </w:rPr>
        <w:t>城乡适龄妇女</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两癌</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筛查</w:t>
      </w:r>
      <w:r>
        <w:rPr>
          <w:rFonts w:hint="default" w:ascii="Times New Roman" w:hAnsi="Times New Roman" w:eastAsia="仿宋_GB2312" w:cs="Times New Roman"/>
          <w:color w:val="auto"/>
          <w:spacing w:val="0"/>
          <w:sz w:val="32"/>
          <w:szCs w:val="32"/>
          <w:highlight w:val="none"/>
          <w:lang w:val="en-US" w:eastAsia="zh-CN"/>
        </w:rPr>
        <w:t>工作，确保</w:t>
      </w:r>
      <w:r>
        <w:rPr>
          <w:rFonts w:hint="default" w:ascii="Times New Roman" w:hAnsi="Times New Roman" w:eastAsia="仿宋_GB2312" w:cs="Times New Roman"/>
          <w:color w:val="auto"/>
          <w:sz w:val="32"/>
          <w:szCs w:val="32"/>
          <w:highlight w:val="none"/>
        </w:rPr>
        <w:t>筛查率保持90%以上</w:t>
      </w:r>
      <w:r>
        <w:rPr>
          <w:rFonts w:hint="default" w:ascii="Times New Roman" w:hAnsi="Times New Roman" w:eastAsia="仿宋_GB2312" w:cs="Times New Roman"/>
          <w:color w:val="auto"/>
          <w:spacing w:val="0"/>
          <w:sz w:val="32"/>
          <w:szCs w:val="32"/>
          <w:highlight w:val="none"/>
          <w:lang w:val="en-US" w:eastAsia="zh-CN"/>
        </w:rPr>
        <w:t>。加强普惠育幼服务体系建设，</w:t>
      </w:r>
      <w:r>
        <w:rPr>
          <w:rFonts w:hint="default" w:ascii="Times New Roman" w:hAnsi="Times New Roman" w:eastAsia="仿宋_GB2312" w:cs="Times New Roman"/>
          <w:b w:val="0"/>
          <w:bCs w:val="0"/>
          <w:color w:val="auto"/>
          <w:sz w:val="32"/>
          <w:szCs w:val="32"/>
          <w:highlight w:val="none"/>
          <w:lang w:val="en-US" w:eastAsia="zh-CN"/>
        </w:rPr>
        <w:t>增强孕产妇服务保障能力，推进婴幼儿“医育结合”签约服务，开展托育综合服务中心和公办托育服务网络建设，发展社区嵌入式托育</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完善生育登记制度和出生人口统计监测预警机制。</w:t>
      </w:r>
    </w:p>
    <w:p>
      <w:pPr>
        <w:pStyle w:val="27"/>
        <w:pageBreakBefore w:val="0"/>
        <w:kinsoku/>
        <w:wordWrap/>
        <w:overflowPunct/>
        <w:topLinePunct w:val="0"/>
        <w:bidi w:val="0"/>
        <w:spacing w:line="570" w:lineRule="exact"/>
        <w:ind w:firstLine="640" w:firstLineChars="200"/>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加强未成年人服务关爱</w:t>
      </w:r>
      <w:r>
        <w:rPr>
          <w:rFonts w:hint="default" w:ascii="Times New Roman" w:hAnsi="Times New Roman" w:eastAsia="仿宋_GB2312" w:cs="Times New Roman"/>
          <w:color w:val="auto"/>
          <w:spacing w:val="0"/>
          <w:sz w:val="32"/>
          <w:szCs w:val="32"/>
          <w:highlight w:val="none"/>
          <w:lang w:val="en-US" w:eastAsia="zh-CN"/>
        </w:rPr>
        <w:t>。站在“一米高度”发展城市，全面推进儿童友好型城市建设。完善未成年人监护制度，健全儿童保护和服务体系。持续开展农村留守儿童和困境儿童关爱服务质量提升行动、流动儿童关爱保护行动。加强未成年人思想道德和劳动教育，保障未成年人生存、发展、受保护和参与权利以及身心健康，促进未成年人在德智体美劳各方面实现全面发展。</w:t>
      </w:r>
    </w:p>
    <w:p>
      <w:pPr>
        <w:pStyle w:val="27"/>
        <w:keepNext w:val="0"/>
        <w:keepLines w:val="0"/>
        <w:pageBreakBefore w:val="0"/>
        <w:widowControl w:val="0"/>
        <w:kinsoku/>
        <w:wordWrap/>
        <w:overflowPunct/>
        <w:topLinePunct w:val="0"/>
        <w:autoSpaceDE/>
        <w:autoSpaceDN/>
        <w:bidi w:val="0"/>
        <w:adjustRightInd/>
        <w:snapToGrid/>
        <w:spacing w:after="0" w:afterLines="0" w:line="570" w:lineRule="exact"/>
        <w:ind w:firstLine="640" w:firstLineChars="200"/>
        <w:textAlignment w:val="auto"/>
        <w:rPr>
          <w:rFonts w:hint="default" w:ascii="Times New Roman" w:hAnsi="Times New Roman" w:eastAsia="楷体_GB2312" w:cs="Times New Roman"/>
          <w:b w:val="0"/>
          <w:bCs w:val="0"/>
          <w:color w:val="auto"/>
          <w:kern w:val="2"/>
          <w:sz w:val="32"/>
          <w:szCs w:val="32"/>
          <w:highlight w:val="none"/>
          <w:lang w:val="en-US" w:eastAsia="zh-CN" w:bidi="ar"/>
        </w:rPr>
      </w:pPr>
      <w:r>
        <w:rPr>
          <w:rFonts w:hint="default" w:ascii="Times New Roman" w:hAnsi="Times New Roman" w:eastAsia="楷体_GB2312" w:cs="Times New Roman"/>
          <w:b w:val="0"/>
          <w:bCs w:val="0"/>
          <w:color w:val="auto"/>
          <w:kern w:val="2"/>
          <w:sz w:val="32"/>
          <w:szCs w:val="32"/>
          <w:highlight w:val="none"/>
          <w:lang w:val="en-US" w:eastAsia="zh-CN" w:bidi="ar-SA"/>
        </w:rPr>
        <w:t>建设青年友好型城市。</w:t>
      </w:r>
      <w:r>
        <w:rPr>
          <w:rFonts w:hint="default" w:ascii="Times New Roman" w:hAnsi="Times New Roman" w:eastAsia="仿宋_GB2312" w:cs="Times New Roman"/>
          <w:b w:val="0"/>
          <w:bCs w:val="0"/>
          <w:color w:val="auto"/>
          <w:kern w:val="0"/>
          <w:sz w:val="32"/>
          <w:szCs w:val="32"/>
          <w:highlight w:val="none"/>
          <w:lang w:val="en-US" w:eastAsia="zh-CN" w:bidi="ar-SA"/>
        </w:rPr>
        <w:t>积极融入全省青年发展友好型城市建设，坚持党管青年原则，践行青年优先发展理念，为新时代乳山建设注入青春动能。纵深实施中长期青年发展规划，完善青年发展政策体系，开通青年服务“绿色通道”，积极推广普惠金融，为中小微青创企业提供精准服务。实施青年安居工程，建设一批人才公寓，落实高层次青年人才补贴，保障青年人才发展需求。建设青年发展服务平台，完善“青年驿站”建设，打造高品质青春社区，构建多层次、多功能青年交流、成长、服务载体。促进青年身心健康发展，实施青年思想政治工程，加强青年典型选树，健全青少年心理健康服务体系，打造充满活力的青春文化之城。</w:t>
      </w:r>
    </w:p>
    <w:p>
      <w:pPr>
        <w:pStyle w:val="27"/>
        <w:keepNext w:val="0"/>
        <w:keepLines w:val="0"/>
        <w:pageBreakBefore w:val="0"/>
        <w:widowControl w:val="0"/>
        <w:kinsoku/>
        <w:wordWrap/>
        <w:overflowPunct/>
        <w:topLinePunct w:val="0"/>
        <w:autoSpaceDE/>
        <w:autoSpaceDN/>
        <w:bidi w:val="0"/>
        <w:adjustRightInd/>
        <w:snapToGrid/>
        <w:spacing w:after="0" w:afterLines="0"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积极应对人口老龄化。</w:t>
      </w:r>
      <w:r>
        <w:rPr>
          <w:rFonts w:hint="default" w:ascii="Times New Roman" w:hAnsi="Times New Roman" w:eastAsia="仿宋_GB2312" w:cs="Times New Roman"/>
          <w:color w:val="auto"/>
          <w:spacing w:val="0"/>
          <w:sz w:val="32"/>
          <w:szCs w:val="32"/>
          <w:highlight w:val="none"/>
        </w:rPr>
        <w:t>完善老年人</w:t>
      </w:r>
      <w:r>
        <w:rPr>
          <w:rFonts w:hint="default" w:ascii="Times New Roman" w:hAnsi="Times New Roman" w:eastAsia="仿宋_GB2312" w:cs="Times New Roman"/>
          <w:color w:val="auto"/>
          <w:spacing w:val="0"/>
          <w:sz w:val="32"/>
          <w:szCs w:val="32"/>
          <w:highlight w:val="none"/>
          <w:lang w:val="en-US" w:eastAsia="zh-CN"/>
        </w:rPr>
        <w:t>社会保障，着力发展养老服务体系，</w:t>
      </w:r>
      <w:r>
        <w:rPr>
          <w:rFonts w:hint="default" w:ascii="Times New Roman" w:hAnsi="Times New Roman" w:eastAsia="仿宋_GB2312" w:cs="Times New Roman"/>
          <w:color w:val="auto"/>
          <w:spacing w:val="0"/>
          <w:sz w:val="32"/>
          <w:szCs w:val="32"/>
          <w:highlight w:val="none"/>
        </w:rPr>
        <w:t>加快建设老年友好型社会</w:t>
      </w:r>
      <w:r>
        <w:rPr>
          <w:rFonts w:hint="default" w:ascii="Times New Roman" w:hAnsi="Times New Roman" w:eastAsia="仿宋_GB2312" w:cs="Times New Roman"/>
          <w:color w:val="auto"/>
          <w:spacing w:val="0"/>
          <w:sz w:val="32"/>
          <w:szCs w:val="32"/>
          <w:highlight w:val="none"/>
          <w:lang w:eastAsia="zh-CN"/>
        </w:rPr>
        <w:t>，不断开创老龄事业新局面。完善老年人社会救助和社会福利制度，</w:t>
      </w:r>
      <w:r>
        <w:rPr>
          <w:rFonts w:hint="default" w:ascii="Times New Roman" w:hAnsi="Times New Roman" w:eastAsia="仿宋_GB2312" w:cs="Times New Roman"/>
          <w:color w:val="auto"/>
          <w:spacing w:val="0"/>
          <w:sz w:val="32"/>
          <w:szCs w:val="32"/>
          <w:highlight w:val="none"/>
          <w:lang w:val="en-US" w:eastAsia="zh-CN"/>
        </w:rPr>
        <w:t>建立</w:t>
      </w:r>
      <w:r>
        <w:rPr>
          <w:rFonts w:hint="default" w:ascii="Times New Roman" w:hAnsi="Times New Roman" w:eastAsia="仿宋_GB2312" w:cs="Times New Roman"/>
          <w:color w:val="auto"/>
          <w:spacing w:val="0"/>
          <w:sz w:val="32"/>
          <w:szCs w:val="32"/>
          <w:highlight w:val="none"/>
          <w:lang w:eastAsia="zh-CN"/>
        </w:rPr>
        <w:t>以基本养老保险为基础、以企业年金和职业年金为补充、与个人储蓄性养老保险和商业养老保险相衔接的“三支柱”养老保险体系。</w:t>
      </w:r>
      <w:r>
        <w:rPr>
          <w:rFonts w:hint="default" w:ascii="Times New Roman" w:hAnsi="Times New Roman" w:eastAsia="仿宋_GB2312" w:cs="Times New Roman"/>
          <w:color w:val="auto"/>
          <w:spacing w:val="0"/>
          <w:sz w:val="32"/>
          <w:szCs w:val="32"/>
          <w:highlight w:val="none"/>
          <w:lang w:val="en-US" w:eastAsia="zh-CN"/>
        </w:rPr>
        <w:t>推动公立医疗机构医养结合项目建设，</w:t>
      </w:r>
      <w:r>
        <w:rPr>
          <w:rFonts w:hint="default" w:ascii="Times New Roman" w:hAnsi="Times New Roman" w:eastAsia="仿宋_GB2312" w:cs="Times New Roman"/>
          <w:color w:val="auto"/>
          <w:spacing w:val="0"/>
          <w:sz w:val="32"/>
          <w:szCs w:val="32"/>
          <w:highlight w:val="none"/>
        </w:rPr>
        <w:t>健全居家社区机构相协调、医养康养相结合、县乡村相配套的养老服务体系</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构建</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预防、治疗、康复、护理、安宁疗护</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相衔接的连续性医养服务体系</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z w:val="32"/>
          <w:highlight w:val="none"/>
        </w:rPr>
        <w:t>实现</w:t>
      </w:r>
      <w:r>
        <w:rPr>
          <w:rFonts w:hint="default"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rPr>
        <w:t>五床联动</w:t>
      </w:r>
      <w:r>
        <w:rPr>
          <w:rFonts w:hint="default"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rPr>
        <w:t>的机构比例达100%</w:t>
      </w:r>
      <w:r>
        <w:rPr>
          <w:rFonts w:hint="default"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rPr>
        <w:t>全市建成认知障碍照护专区的养老机构</w:t>
      </w:r>
      <w:r>
        <w:rPr>
          <w:rFonts w:hint="default" w:ascii="Times New Roman" w:hAnsi="Times New Roman" w:eastAsia="仿宋_GB2312" w:cs="Times New Roman"/>
          <w:color w:val="auto"/>
          <w:sz w:val="32"/>
          <w:highlight w:val="none"/>
          <w:lang w:eastAsia="zh-CN"/>
        </w:rPr>
        <w:t>占比达</w:t>
      </w:r>
      <w:r>
        <w:rPr>
          <w:rFonts w:hint="default" w:ascii="Times New Roman" w:hAnsi="Times New Roman" w:eastAsia="仿宋_GB2312" w:cs="Times New Roman"/>
          <w:color w:val="auto"/>
          <w:sz w:val="32"/>
          <w:highlight w:val="none"/>
        </w:rPr>
        <w:t>50%</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推进街道乡镇、城乡社区公共服务环境无障碍和适老化改造，深入开展“智慧助老”行动。</w:t>
      </w:r>
      <w:r>
        <w:rPr>
          <w:rFonts w:hint="default" w:ascii="Times New Roman" w:hAnsi="Times New Roman" w:eastAsia="仿宋_GB2312" w:cs="Times New Roman"/>
          <w:color w:val="auto"/>
          <w:spacing w:val="0"/>
          <w:sz w:val="32"/>
          <w:szCs w:val="32"/>
          <w:highlight w:val="none"/>
        </w:rPr>
        <w:t>实施银发经济发展和银发人力资源开发助力行动，引导老年人以志愿服务形式积极参加基层治理、文教卫生等活动，促进老年人社会参与</w:t>
      </w:r>
      <w:r>
        <w:rPr>
          <w:rFonts w:hint="default" w:ascii="Times New Roman" w:hAnsi="Times New Roman" w:eastAsia="仿宋_GB2312" w:cs="Times New Roman"/>
          <w:color w:val="auto"/>
          <w:spacing w:val="0"/>
          <w:sz w:val="32"/>
          <w:szCs w:val="32"/>
          <w:highlight w:val="none"/>
          <w:lang w:eastAsia="zh-CN"/>
        </w:rPr>
        <w:t>。</w:t>
      </w:r>
    </w:p>
    <w:bookmarkEnd w:id="454"/>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51"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cs="Times New Roman" w:eastAsiaTheme="minorEastAsia"/>
                <w:color w:val="auto"/>
                <w:highlight w:val="none"/>
                <w:vertAlign w:val="baseline"/>
                <w:lang w:val="en-US" w:eastAsia="zh-CN"/>
              </w:rPr>
            </w:pPr>
            <w:r>
              <w:rPr>
                <w:rFonts w:hint="default" w:ascii="Times New Roman" w:hAnsi="Times New Roman" w:eastAsia="黑体" w:cs="Times New Roman"/>
                <w:b w:val="0"/>
                <w:bCs w:val="0"/>
                <w:color w:val="auto"/>
                <w:sz w:val="28"/>
                <w:szCs w:val="28"/>
                <w:highlight w:val="none"/>
                <w:vertAlign w:val="baseline"/>
                <w:lang w:val="en-US" w:eastAsia="zh-CN"/>
              </w:rPr>
              <w:t>专栏20：社会公共服务重点项目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951" w:type="dxa"/>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Lines="0" w:afterLines="0" w:line="480" w:lineRule="exact"/>
              <w:ind w:firstLine="560" w:firstLineChars="200"/>
              <w:jc w:val="left"/>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1</w:t>
            </w:r>
            <w:r>
              <w:rPr>
                <w:rFonts w:hint="eastAsia" w:ascii="黑体" w:hAnsi="黑体" w:eastAsia="黑体" w:cs="黑体"/>
                <w:b w:val="0"/>
                <w:bCs w:val="0"/>
                <w:i w:val="0"/>
                <w:iCs w:val="0"/>
                <w:color w:val="auto"/>
                <w:kern w:val="0"/>
                <w:sz w:val="28"/>
                <w:szCs w:val="28"/>
                <w:highlight w:val="none"/>
                <w:u w:val="none"/>
                <w:lang w:val="en-US" w:eastAsia="zh-CN" w:bidi="ar"/>
              </w:rPr>
              <w:t>.教育教学</w:t>
            </w: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w:t>
            </w:r>
            <w:r>
              <w:rPr>
                <w:rFonts w:hint="default" w:ascii="Times New Roman" w:hAnsi="Times New Roman" w:eastAsia="仿宋_GB2312" w:cs="Times New Roman"/>
                <w:b w:val="0"/>
                <w:bCs w:val="0"/>
                <w:color w:val="auto"/>
                <w:sz w:val="28"/>
                <w:szCs w:val="28"/>
                <w:highlight w:val="none"/>
                <w:lang w:val="en-US" w:eastAsia="zh-CN"/>
              </w:rPr>
              <w:t>启臻高级中学教育项目，校舍安全加固工程，学校操场维修工程，校舍维修工程，教室宿舍降温项目，校园监控提升项目，教学设施更新项目等。</w:t>
            </w:r>
          </w:p>
          <w:p>
            <w:pPr>
              <w:keepNext w:val="0"/>
              <w:keepLines w:val="0"/>
              <w:pageBreakBefore w:val="0"/>
              <w:widowControl/>
              <w:kinsoku/>
              <w:wordWrap/>
              <w:overflowPunct/>
              <w:topLinePunct w:val="0"/>
              <w:autoSpaceDE/>
              <w:autoSpaceDN/>
              <w:bidi w:val="0"/>
              <w:adjustRightInd w:val="0"/>
              <w:snapToGrid w:val="0"/>
              <w:spacing w:beforeLines="0" w:afterLines="0" w:line="480" w:lineRule="exact"/>
              <w:ind w:firstLine="560" w:firstLineChars="200"/>
              <w:textAlignment w:val="center"/>
              <w:rPr>
                <w:rFonts w:hint="default" w:ascii="Times New Roman" w:hAnsi="Times New Roman" w:eastAsia="仿宋_GB2312" w:cs="Times New Roman"/>
                <w:b w:val="0"/>
                <w:bCs w:val="0"/>
                <w:strike/>
                <w:dstrike w:val="0"/>
                <w:color w:val="auto"/>
                <w:sz w:val="28"/>
                <w:szCs w:val="28"/>
                <w:highlight w:val="none"/>
                <w:lang w:val="en-US" w:eastAsia="zh-CN"/>
              </w:rPr>
            </w:pP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2.</w:t>
            </w:r>
            <w:r>
              <w:rPr>
                <w:rFonts w:hint="default" w:ascii="黑体" w:hAnsi="黑体" w:eastAsia="黑体" w:cs="黑体"/>
                <w:b w:val="0"/>
                <w:bCs w:val="0"/>
                <w:i w:val="0"/>
                <w:iCs w:val="0"/>
                <w:color w:val="auto"/>
                <w:kern w:val="0"/>
                <w:sz w:val="28"/>
                <w:szCs w:val="28"/>
                <w:highlight w:val="none"/>
                <w:u w:val="none"/>
                <w:lang w:val="en-US" w:eastAsia="zh-CN" w:bidi="ar"/>
              </w:rPr>
              <w:t>医疗卫生</w:t>
            </w: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w:t>
            </w:r>
            <w:r>
              <w:rPr>
                <w:rFonts w:hint="default" w:ascii="Times New Roman" w:hAnsi="Times New Roman" w:eastAsia="仿宋_GB2312" w:cs="Times New Roman"/>
                <w:b w:val="0"/>
                <w:bCs w:val="0"/>
                <w:color w:val="auto"/>
                <w:sz w:val="28"/>
                <w:szCs w:val="28"/>
                <w:highlight w:val="none"/>
                <w:lang w:val="en-US" w:eastAsia="zh-CN"/>
              </w:rPr>
              <w:t>威海仁心医院建设项目，</w:t>
            </w:r>
            <w:r>
              <w:rPr>
                <w:rFonts w:hint="default" w:ascii="Times New Roman" w:hAnsi="Times New Roman" w:eastAsia="仿宋_GB2312" w:cs="Times New Roman"/>
                <w:b w:val="0"/>
                <w:bCs w:val="0"/>
                <w:strike w:val="0"/>
                <w:dstrike w:val="0"/>
                <w:color w:val="auto"/>
                <w:sz w:val="28"/>
                <w:szCs w:val="28"/>
                <w:highlight w:val="none"/>
                <w:lang w:val="en-US" w:eastAsia="zh-CN"/>
              </w:rPr>
              <w:t>人民医院设备更新项目等。</w:t>
            </w:r>
          </w:p>
          <w:p>
            <w:pPr>
              <w:keepNext w:val="0"/>
              <w:keepLines w:val="0"/>
              <w:pageBreakBefore w:val="0"/>
              <w:widowControl/>
              <w:kinsoku/>
              <w:wordWrap/>
              <w:overflowPunct/>
              <w:topLinePunct w:val="0"/>
              <w:autoSpaceDE/>
              <w:autoSpaceDN/>
              <w:bidi w:val="0"/>
              <w:adjustRightInd w:val="0"/>
              <w:snapToGrid w:val="0"/>
              <w:spacing w:beforeLines="0" w:after="0" w:afterLines="0" w:line="480" w:lineRule="exact"/>
              <w:ind w:firstLine="560" w:firstLineChars="200"/>
              <w:textAlignment w:val="center"/>
              <w:rPr>
                <w:rFonts w:hint="default" w:ascii="Times New Roman" w:hAnsi="Times New Roman" w:cs="Times New Roman"/>
                <w:color w:val="auto"/>
                <w:highlight w:val="none"/>
              </w:rPr>
            </w:pP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3.</w:t>
            </w:r>
            <w:r>
              <w:rPr>
                <w:rFonts w:hint="default" w:ascii="黑体" w:hAnsi="黑体" w:eastAsia="黑体" w:cs="黑体"/>
                <w:b w:val="0"/>
                <w:bCs w:val="0"/>
                <w:i w:val="0"/>
                <w:iCs w:val="0"/>
                <w:color w:val="auto"/>
                <w:kern w:val="0"/>
                <w:sz w:val="28"/>
                <w:szCs w:val="28"/>
                <w:highlight w:val="none"/>
                <w:u w:val="none"/>
                <w:lang w:val="en-US" w:eastAsia="zh-CN" w:bidi="ar"/>
              </w:rPr>
              <w:t>养老托幼</w:t>
            </w:r>
            <w:r>
              <w:rPr>
                <w:rFonts w:hint="default" w:ascii="Times New Roman" w:hAnsi="Times New Roman" w:eastAsia="仿宋_GB2312" w:cs="Times New Roman"/>
                <w:b w:val="0"/>
                <w:bCs w:val="0"/>
                <w:i w:val="0"/>
                <w:iCs w:val="0"/>
                <w:color w:val="auto"/>
                <w:kern w:val="0"/>
                <w:sz w:val="28"/>
                <w:szCs w:val="28"/>
                <w:highlight w:val="none"/>
                <w:u w:val="none"/>
                <w:lang w:val="en-US" w:eastAsia="zh-CN" w:bidi="ar"/>
              </w:rPr>
              <w:t>：</w:t>
            </w:r>
            <w:r>
              <w:rPr>
                <w:rFonts w:hint="default" w:ascii="Times New Roman" w:hAnsi="Times New Roman" w:eastAsia="仿宋_GB2312" w:cs="Times New Roman"/>
                <w:b w:val="0"/>
                <w:bCs w:val="0"/>
                <w:strike w:val="0"/>
                <w:dstrike w:val="0"/>
                <w:color w:val="auto"/>
                <w:sz w:val="28"/>
                <w:szCs w:val="28"/>
                <w:highlight w:val="none"/>
                <w:lang w:val="en-US" w:eastAsia="zh-CN"/>
              </w:rPr>
              <w:t>乳山市公立医院医养结合服务项目，中医康养综合体项目，医疗康养一体化项目（原妇幼医院），智慧医疗康养项目（原康宁医院）等</w:t>
            </w:r>
            <w:r>
              <w:rPr>
                <w:rFonts w:hint="default" w:ascii="Times New Roman" w:hAnsi="Times New Roman" w:eastAsia="仿宋_GB2312" w:cs="Times New Roman"/>
                <w:b w:val="0"/>
                <w:bCs w:val="0"/>
                <w:strike w:val="0"/>
                <w:color w:val="auto"/>
                <w:sz w:val="28"/>
                <w:szCs w:val="28"/>
                <w:highlight w:val="none"/>
                <w:lang w:val="en-US" w:eastAsia="zh-CN"/>
              </w:rPr>
              <w:t>。</w:t>
            </w:r>
          </w:p>
        </w:tc>
      </w:tr>
      <w:bookmarkEnd w:id="424"/>
      <w:bookmarkEnd w:id="425"/>
    </w:tbl>
    <w:p>
      <w:pPr>
        <w:pStyle w:val="3"/>
        <w:keepNext w:val="0"/>
        <w:keepLines w:val="0"/>
        <w:pageBreakBefore w:val="0"/>
        <w:kinsoku/>
        <w:wordWrap/>
        <w:overflowPunct/>
        <w:topLinePunct w:val="0"/>
        <w:autoSpaceDE/>
        <w:autoSpaceDN/>
        <w:bidi w:val="0"/>
        <w:spacing w:before="50" w:beforeLines="50" w:beforeAutospacing="0" w:after="50" w:afterLines="50" w:afterAutospacing="0" w:line="560" w:lineRule="exact"/>
        <w:ind w:firstLine="320" w:firstLineChars="100"/>
        <w:jc w:val="center"/>
        <w:outlineLvl w:val="0"/>
        <w:rPr>
          <w:rFonts w:hint="default" w:ascii="Times New Roman" w:hAnsi="Times New Roman" w:cs="Times New Roman"/>
          <w:snapToGrid w:val="0"/>
          <w:color w:val="auto"/>
          <w:sz w:val="32"/>
          <w:highlight w:val="none"/>
          <w:lang w:val="en-US" w:eastAsia="zh-CN"/>
        </w:rPr>
      </w:pPr>
      <w:bookmarkStart w:id="461" w:name="_Toc6473"/>
      <w:bookmarkStart w:id="462" w:name="_Toc22956"/>
      <w:bookmarkStart w:id="463" w:name="_Toc9478"/>
      <w:bookmarkStart w:id="464" w:name="_Toc16891"/>
      <w:bookmarkStart w:id="465" w:name="_Toc918"/>
      <w:bookmarkStart w:id="466" w:name="_Toc11176"/>
      <w:bookmarkStart w:id="467" w:name="_Toc3041"/>
      <w:bookmarkStart w:id="468" w:name="_Toc5847"/>
      <w:bookmarkStart w:id="469" w:name="_Toc14448"/>
      <w:bookmarkStart w:id="470" w:name="_Toc1039"/>
      <w:r>
        <w:rPr>
          <w:rFonts w:hint="default" w:ascii="Times New Roman" w:hAnsi="Times New Roman" w:cs="Times New Roman"/>
          <w:snapToGrid w:val="0"/>
          <w:color w:val="auto"/>
          <w:sz w:val="32"/>
          <w:highlight w:val="none"/>
          <w:lang w:val="en-US" w:eastAsia="zh-CN"/>
        </w:rPr>
        <w:t>第五节 健全完善社会保障体系</w:t>
      </w:r>
      <w:bookmarkEnd w:id="461"/>
      <w:bookmarkEnd w:id="462"/>
      <w:bookmarkEnd w:id="463"/>
      <w:bookmarkEnd w:id="464"/>
      <w:bookmarkEnd w:id="465"/>
      <w:bookmarkEnd w:id="466"/>
      <w:bookmarkEnd w:id="467"/>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9"/>
        <w:rPr>
          <w:rFonts w:hint="default" w:ascii="Times New Roman" w:hAnsi="Times New Roman" w:eastAsia="仿宋_GB2312" w:cs="Times New Roman"/>
          <w:color w:val="auto"/>
          <w:spacing w:val="0"/>
          <w:kern w:val="2"/>
          <w:sz w:val="32"/>
          <w:szCs w:val="32"/>
          <w:highlight w:val="none"/>
          <w:lang w:val="en-US" w:eastAsia="zh-CN" w:bidi="ar-SA"/>
        </w:rPr>
      </w:pPr>
      <w:r>
        <w:rPr>
          <w:rFonts w:hint="default" w:ascii="Times New Roman" w:hAnsi="Times New Roman" w:eastAsia="仿宋_GB2312" w:cs="Times New Roman"/>
          <w:color w:val="auto"/>
          <w:spacing w:val="0"/>
          <w:kern w:val="2"/>
          <w:sz w:val="32"/>
          <w:szCs w:val="32"/>
          <w:highlight w:val="none"/>
          <w:lang w:val="en-US" w:eastAsia="zh-CN" w:bidi="ar-SA"/>
        </w:rPr>
        <w:t>建设全覆盖、多层次、可持续、兜底线的社会保障体系，提升社会保障水平，使人民群众获得感、幸福感、安全感更加充实、更有保障、更可持续。</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扩大社会保险覆盖面。</w:t>
      </w:r>
      <w:r>
        <w:rPr>
          <w:rFonts w:hint="default" w:ascii="Times New Roman" w:hAnsi="Times New Roman" w:eastAsia="仿宋_GB2312" w:cs="Times New Roman"/>
          <w:color w:val="auto"/>
          <w:kern w:val="0"/>
          <w:sz w:val="32"/>
          <w:szCs w:val="32"/>
          <w:highlight w:val="none"/>
          <w:lang w:val="en-US" w:eastAsia="zh-CN"/>
        </w:rPr>
        <w:t>深入推进高质量全民参保工作，持续实施“全民参保·福暖万家”工程，重点推动灵活就业人员、农民工及新就业形态人员参保扩面。落实基本养老保险全国统筹制度、渐进式延迟法定退休年龄政策，深化机关事业单位养老保险制度改革，构建多层次、多支柱养老保险体系，落实养老保险待遇调整机制，逐步提高城乡居民基础养老金。落实失业保险、工伤保险、基本医疗保险省级统筹，落实社保待遇合理调整机制。构建覆盖全民、城乡统筹、保障适度多层次医疗保障网，落实基本医疗保险省级统筹要求，执行药品集采、医保支付和结余资金使用政策，落实大病保险和医疗救助制度，健全职业伤害保障制度。强化社保基金全链条安全监管，确保基金运行稳健可持续。发挥个人养老金、企业年金补充保障功能，优化社保经办服务流程。</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楷体_GB2312" w:cs="Times New Roman"/>
          <w:b w:val="0"/>
          <w:bCs w:val="0"/>
          <w:color w:val="auto"/>
          <w:sz w:val="32"/>
          <w:szCs w:val="32"/>
          <w:highlight w:val="none"/>
          <w:lang w:val="en-US" w:eastAsia="zh-CN" w:bidi="ar"/>
        </w:rPr>
        <w:t>健全社会救助和福利体系。</w:t>
      </w:r>
      <w:r>
        <w:rPr>
          <w:rFonts w:hint="default" w:ascii="Times New Roman" w:hAnsi="Times New Roman" w:eastAsia="仿宋_GB2312" w:cs="Times New Roman"/>
          <w:color w:val="auto"/>
          <w:sz w:val="32"/>
          <w:szCs w:val="32"/>
          <w:highlight w:val="none"/>
          <w:lang w:val="en-US" w:eastAsia="zh-CN"/>
        </w:rPr>
        <w:t>建立政府救助与慈善帮扶衔接工作机制，打造以社区为服务平台，社会组织、社区企业、社会工作者、社区志愿者为补充，社会救助资源为依托的“六社联动”模式，</w:t>
      </w:r>
      <w:r>
        <w:rPr>
          <w:rFonts w:hint="default" w:ascii="Times New Roman" w:hAnsi="Times New Roman" w:eastAsia="仿宋_GB2312" w:cs="Times New Roman"/>
          <w:b w:val="0"/>
          <w:bCs w:val="0"/>
          <w:color w:val="auto"/>
          <w:sz w:val="32"/>
          <w:szCs w:val="32"/>
          <w:highlight w:val="none"/>
          <w:lang w:val="en-US" w:eastAsia="zh-CN"/>
        </w:rPr>
        <w:t>筑牢保障困难群众基本生活的“最后一道防线”</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严格执行威海市困难群众救助保障标准</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加强低收入人口动态监测与常态化救助帮扶</w:t>
      </w:r>
      <w:r>
        <w:rPr>
          <w:rFonts w:hint="default" w:ascii="Times New Roman" w:hAnsi="Times New Roman" w:eastAsia="仿宋_GB2312" w:cs="Times New Roman"/>
          <w:color w:val="auto"/>
          <w:sz w:val="32"/>
          <w:szCs w:val="32"/>
          <w:highlight w:val="none"/>
          <w:lang w:val="en-US" w:eastAsia="zh-CN"/>
        </w:rPr>
        <w:t>，积极开展临时救助工作，帮助困难群众解决突发性生活困难。</w:t>
      </w:r>
      <w:r>
        <w:rPr>
          <w:rFonts w:hint="default" w:ascii="Times New Roman" w:hAnsi="Times New Roman" w:eastAsia="仿宋_GB2312" w:cs="Times New Roman"/>
          <w:color w:val="auto"/>
          <w:spacing w:val="0"/>
          <w:sz w:val="32"/>
          <w:szCs w:val="32"/>
          <w:highlight w:val="none"/>
        </w:rPr>
        <w:t>健全分层分类救助体系，严格落实空巢老人</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孤困儿童基本生活制度和残疾儿童康复救助制度，</w:t>
      </w:r>
      <w:r>
        <w:rPr>
          <w:rFonts w:hint="default" w:ascii="Times New Roman" w:hAnsi="Times New Roman" w:eastAsia="仿宋_GB2312" w:cs="Times New Roman"/>
          <w:color w:val="auto"/>
          <w:sz w:val="32"/>
          <w:szCs w:val="32"/>
          <w:highlight w:val="none"/>
          <w:lang w:val="en-US" w:eastAsia="zh-CN"/>
        </w:rPr>
        <w:t>重点保障妇女平等获得就业、教育、医疗、救助等权利，</w:t>
      </w:r>
      <w:r>
        <w:rPr>
          <w:rFonts w:hint="default" w:ascii="Times New Roman" w:hAnsi="Times New Roman" w:eastAsia="仿宋_GB2312" w:cs="Times New Roman"/>
          <w:color w:val="auto"/>
          <w:spacing w:val="0"/>
          <w:sz w:val="32"/>
          <w:szCs w:val="32"/>
          <w:highlight w:val="none"/>
        </w:rPr>
        <w:t>完善残疾人社会保障制度和关爱服务体系</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强化殡葬服务公益属性，健全退役军人服务保障体系，持续巩固和加强军政军民团结。</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rPr>
        <w:t>强化基金风险防控。</w:t>
      </w:r>
      <w:r>
        <w:rPr>
          <w:rFonts w:hint="default" w:ascii="Times New Roman" w:hAnsi="Times New Roman" w:eastAsia="仿宋_GB2312" w:cs="Times New Roman"/>
          <w:color w:val="auto"/>
          <w:spacing w:val="0"/>
          <w:sz w:val="32"/>
          <w:szCs w:val="32"/>
          <w:highlight w:val="none"/>
        </w:rPr>
        <w:t>构建</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人防+技防+智防</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监管体系，建立跨部门数据共享平台，实现疑点数据实时比对。深入开展社保基金</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啄木鸟</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专项行动，严厉打击欺诈骗保等违法违规行为，切实守护好人民群众的</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养老钱</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救命钱</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，确保基金安全可持续，为社会保障体系稳定运行提供坚实支撑。</w:t>
      </w:r>
    </w:p>
    <w:p>
      <w:pPr>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highlight w:val="none"/>
          <w:lang w:eastAsia="en-US"/>
        </w:rPr>
      </w:pPr>
    </w:p>
    <w:p>
      <w:pPr>
        <w:pStyle w:val="2"/>
        <w:keepNext w:val="0"/>
        <w:keepLines w:val="0"/>
        <w:pageBreakBefore w:val="0"/>
        <w:widowControl w:val="0"/>
        <w:kinsoku/>
        <w:wordWrap/>
        <w:overflowPunct/>
        <w:topLinePunct w:val="0"/>
        <w:autoSpaceDE/>
        <w:autoSpaceDN/>
        <w:bidi w:val="0"/>
        <w:spacing w:before="100" w:beforeLines="100" w:after="100" w:afterLines="100" w:line="570" w:lineRule="exact"/>
        <w:jc w:val="center"/>
        <w:rPr>
          <w:rFonts w:hint="default" w:ascii="Times New Roman" w:hAnsi="Times New Roman" w:eastAsia="黑体" w:cs="Times New Roman"/>
          <w:b w:val="0"/>
          <w:bCs w:val="0"/>
          <w:color w:val="auto"/>
          <w:sz w:val="32"/>
          <w:szCs w:val="32"/>
          <w:highlight w:val="none"/>
          <w:lang w:val="en-US" w:eastAsia="zh-CN"/>
        </w:rPr>
      </w:pPr>
      <w:bookmarkStart w:id="471" w:name="_Toc6378"/>
      <w:bookmarkStart w:id="472" w:name="_Toc8810"/>
      <w:bookmarkStart w:id="473" w:name="_Toc12263"/>
      <w:bookmarkStart w:id="474" w:name="_Toc27057"/>
      <w:bookmarkStart w:id="475" w:name="_Toc31397"/>
      <w:bookmarkStart w:id="476" w:name="_Toc15961"/>
      <w:r>
        <w:rPr>
          <w:rFonts w:hint="default" w:ascii="Times New Roman" w:hAnsi="Times New Roman" w:eastAsia="黑体" w:cs="Times New Roman"/>
          <w:b w:val="0"/>
          <w:bCs w:val="0"/>
          <w:color w:val="auto"/>
          <w:sz w:val="32"/>
          <w:szCs w:val="32"/>
          <w:highlight w:val="none"/>
          <w:lang w:val="en-US" w:eastAsia="zh-CN"/>
        </w:rPr>
        <w:t>第十三章 统筹发展和安全，筑牢高质量发展屏障</w:t>
      </w:r>
      <w:bookmarkEnd w:id="468"/>
      <w:bookmarkEnd w:id="469"/>
      <w:bookmarkEnd w:id="470"/>
      <w:bookmarkEnd w:id="471"/>
      <w:bookmarkEnd w:id="472"/>
      <w:bookmarkEnd w:id="473"/>
      <w:bookmarkEnd w:id="474"/>
      <w:bookmarkEnd w:id="475"/>
      <w:bookmarkEnd w:id="476"/>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9"/>
        <w:rPr>
          <w:rStyle w:val="29"/>
          <w:rFonts w:hint="default" w:ascii="Times New Roman" w:hAnsi="Times New Roman" w:eastAsia="仿宋_GB2312" w:cs="Times New Roman"/>
          <w:color w:val="auto"/>
          <w:highlight w:val="none"/>
        </w:rPr>
      </w:pPr>
      <w:bookmarkStart w:id="477" w:name="_Toc17718"/>
      <w:r>
        <w:rPr>
          <w:rStyle w:val="29"/>
          <w:rFonts w:hint="default" w:ascii="Times New Roman" w:hAnsi="Times New Roman" w:eastAsia="仿宋_GB2312" w:cs="Times New Roman"/>
          <w:color w:val="auto"/>
          <w:highlight w:val="none"/>
          <w:lang w:val="en-US" w:eastAsia="zh-CN"/>
        </w:rPr>
        <w:t>坚定不移</w:t>
      </w:r>
      <w:r>
        <w:rPr>
          <w:rStyle w:val="29"/>
          <w:rFonts w:hint="default" w:ascii="Times New Roman" w:hAnsi="Times New Roman" w:eastAsia="仿宋_GB2312" w:cs="Times New Roman"/>
          <w:color w:val="auto"/>
          <w:highlight w:val="none"/>
        </w:rPr>
        <w:t>贯彻总体国家安全观，</w:t>
      </w:r>
      <w:r>
        <w:rPr>
          <w:rStyle w:val="29"/>
          <w:rFonts w:hint="default" w:ascii="Times New Roman" w:hAnsi="Times New Roman" w:eastAsia="仿宋_GB2312" w:cs="Times New Roman"/>
          <w:color w:val="auto"/>
          <w:highlight w:val="none"/>
          <w:lang w:val="en-US" w:eastAsia="zh-CN"/>
        </w:rPr>
        <w:t>坚持系统治理、依法治理、综合治理、源头治理，坚决守牢安全底线，全力争创平安乳山“长安杯”，以高水平安全护航高质量发展。</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478" w:name="_Toc2210"/>
      <w:bookmarkStart w:id="479" w:name="_Toc8118"/>
      <w:bookmarkStart w:id="480" w:name="_Toc15320"/>
      <w:bookmarkStart w:id="481" w:name="_Toc4814"/>
      <w:bookmarkStart w:id="482" w:name="_Toc26194"/>
      <w:bookmarkStart w:id="483" w:name="_Toc11016"/>
      <w:bookmarkStart w:id="484" w:name="_Toc31221"/>
      <w:bookmarkStart w:id="485" w:name="_Toc5817"/>
      <w:r>
        <w:rPr>
          <w:rFonts w:hint="default" w:ascii="Times New Roman" w:hAnsi="Times New Roman" w:cs="Times New Roman"/>
          <w:snapToGrid w:val="0"/>
          <w:color w:val="auto"/>
          <w:sz w:val="32"/>
          <w:highlight w:val="none"/>
          <w:lang w:val="en-US" w:eastAsia="zh-CN"/>
        </w:rPr>
        <w:t>第一节 强化重点领域安全保障</w:t>
      </w:r>
      <w:bookmarkEnd w:id="477"/>
      <w:bookmarkEnd w:id="478"/>
      <w:bookmarkEnd w:id="479"/>
      <w:bookmarkEnd w:id="480"/>
      <w:bookmarkEnd w:id="481"/>
      <w:bookmarkEnd w:id="482"/>
      <w:bookmarkEnd w:id="483"/>
      <w:bookmarkEnd w:id="484"/>
      <w:bookmarkEnd w:id="485"/>
    </w:p>
    <w:p>
      <w:pPr>
        <w:pStyle w:val="9"/>
        <w:keepNext w:val="0"/>
        <w:keepLines w:val="0"/>
        <w:pageBreakBefore w:val="0"/>
        <w:widowControl w:val="0"/>
        <w:kinsoku/>
        <w:wordWrap/>
        <w:overflowPunct/>
        <w:topLinePunct w:val="0"/>
        <w:autoSpaceDE/>
        <w:autoSpaceDN/>
        <w:bidi w:val="0"/>
        <w:adjustRightInd w:val="0"/>
        <w:snapToGrid w:val="0"/>
        <w:spacing w:line="570" w:lineRule="exact"/>
        <w:ind w:left="0" w:right="0" w:firstLine="640" w:firstLineChars="200"/>
        <w:jc w:val="both"/>
        <w:textAlignment w:val="baseline"/>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全面加强国家安全保障能力建设，</w:t>
      </w:r>
      <w:bookmarkStart w:id="486" w:name="OLE_LINK98"/>
      <w:r>
        <w:rPr>
          <w:rFonts w:hint="default" w:ascii="Times New Roman" w:hAnsi="Times New Roman" w:eastAsia="仿宋_GB2312" w:cs="Times New Roman"/>
          <w:color w:val="auto"/>
          <w:spacing w:val="0"/>
          <w:sz w:val="32"/>
          <w:szCs w:val="32"/>
          <w:highlight w:val="none"/>
        </w:rPr>
        <w:t>完善重点领域安全保障体系和重要专项协调指挥体系</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加强安全风险隐患排查整治，坚决守牢安全底线</w:t>
      </w:r>
      <w:bookmarkEnd w:id="486"/>
      <w:r>
        <w:rPr>
          <w:rFonts w:hint="default" w:ascii="Times New Roman" w:hAnsi="Times New Roman" w:eastAsia="仿宋_GB2312" w:cs="Times New Roman"/>
          <w:color w:val="auto"/>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outlineLvl w:val="9"/>
        <w:rPr>
          <w:rFonts w:hint="default" w:ascii="Times New Roman" w:hAnsi="Times New Roman" w:eastAsia="楷体_GB2312" w:cs="Times New Roman"/>
          <w:b w:val="0"/>
          <w:bCs w:val="0"/>
          <w:color w:val="auto"/>
          <w:sz w:val="32"/>
          <w:szCs w:val="32"/>
          <w:highlight w:val="none"/>
          <w:lang w:bidi="ar"/>
        </w:rPr>
      </w:pPr>
      <w:r>
        <w:rPr>
          <w:rFonts w:hint="default" w:ascii="Times New Roman" w:hAnsi="Times New Roman" w:eastAsia="楷体_GB2312" w:cs="Times New Roman"/>
          <w:b w:val="0"/>
          <w:bCs w:val="0"/>
          <w:color w:val="auto"/>
          <w:sz w:val="32"/>
          <w:szCs w:val="32"/>
          <w:highlight w:val="none"/>
          <w:lang w:bidi="ar"/>
        </w:rPr>
        <w:t>维护国家安全和社会稳定。</w:t>
      </w:r>
      <w:r>
        <w:rPr>
          <w:rFonts w:hint="default" w:ascii="Times New Roman" w:hAnsi="Times New Roman" w:eastAsia="仿宋_GB2312" w:cs="Times New Roman"/>
          <w:color w:val="auto"/>
          <w:spacing w:val="0"/>
          <w:kern w:val="2"/>
          <w:sz w:val="32"/>
          <w:szCs w:val="32"/>
          <w:highlight w:val="none"/>
          <w:lang w:val="en-US" w:eastAsia="zh-CN" w:bidi="ar-SA"/>
        </w:rPr>
        <w:t>严格落实党委（党组）国家安全责任制，完善国家安全重点领域协调机制。积极融入全省国家安全风险监测预警体系建设，健全全域联动、立体高效的危机管控机制，提高风险防范化解、应急处突能力。完善应对外部冲击工作机制，加强海外利益保护。开展国家安全宣传教育活动，用好马石山十勇士纪念馆等总体国家安全观基地现场教学点，提升全民国家安全意识。加强国家安全人民防线建设，形成共同维护和塑造国家安全的整体合力。深化全民国防教育，推动国防动员建设准备和军民一体化应急应战体系建设。</w:t>
      </w:r>
    </w:p>
    <w:p>
      <w:pPr>
        <w:pStyle w:val="27"/>
        <w:keepNext w:val="0"/>
        <w:keepLines w:val="0"/>
        <w:pageBreakBefore w:val="0"/>
        <w:widowControl w:val="0"/>
        <w:kinsoku/>
        <w:wordWrap/>
        <w:overflowPunct/>
        <w:topLinePunct w:val="0"/>
        <w:autoSpaceDE/>
        <w:autoSpaceDN/>
        <w:bidi w:val="0"/>
        <w:adjustRightInd w:val="0"/>
        <w:snapToGrid w:val="0"/>
        <w:spacing w:line="570" w:lineRule="exact"/>
        <w:ind w:leftChars="0" w:right="0" w:firstLine="640" w:firstLineChars="200"/>
        <w:textAlignment w:val="auto"/>
        <w:rPr>
          <w:rStyle w:val="29"/>
          <w:rFonts w:hint="default" w:ascii="Times New Roman" w:hAnsi="Times New Roman" w:cs="Times New Roman"/>
          <w:color w:val="auto"/>
          <w:highlight w:val="none"/>
        </w:rPr>
      </w:pPr>
      <w:r>
        <w:rPr>
          <w:rFonts w:hint="default" w:ascii="Times New Roman" w:hAnsi="Times New Roman" w:eastAsia="楷体_GB2312" w:cs="Times New Roman"/>
          <w:b w:val="0"/>
          <w:bCs w:val="0"/>
          <w:color w:val="auto"/>
          <w:sz w:val="32"/>
          <w:szCs w:val="32"/>
          <w:highlight w:val="none"/>
          <w:lang w:bidi="ar"/>
        </w:rPr>
        <w:t>加强安全生产监管。</w:t>
      </w:r>
      <w:r>
        <w:rPr>
          <w:rStyle w:val="29"/>
          <w:rFonts w:hint="default" w:ascii="Times New Roman" w:hAnsi="Times New Roman" w:eastAsia="仿宋_GB2312" w:cs="Times New Roman"/>
          <w:color w:val="auto"/>
          <w:highlight w:val="none"/>
          <w:lang w:val="en-US" w:eastAsia="zh-CN"/>
        </w:rPr>
        <w:t>持续推进安全生产治本攻坚行动，</w:t>
      </w:r>
      <w:r>
        <w:rPr>
          <w:rFonts w:hint="default" w:ascii="Times New Roman" w:hAnsi="Times New Roman" w:eastAsia="仿宋_GB2312" w:cs="Times New Roman"/>
          <w:color w:val="auto"/>
          <w:sz w:val="32"/>
          <w:szCs w:val="40"/>
          <w:highlight w:val="none"/>
        </w:rPr>
        <w:t>聚焦</w:t>
      </w:r>
      <w:r>
        <w:rPr>
          <w:rFonts w:hint="default" w:ascii="Times New Roman" w:hAnsi="Times New Roman" w:eastAsia="仿宋_GB2312"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lang w:val="en-US" w:eastAsia="zh-CN"/>
        </w:rPr>
        <w:t>八大行动</w:t>
      </w:r>
      <w:r>
        <w:rPr>
          <w:rFonts w:hint="default" w:ascii="Times New Roman" w:hAnsi="Times New Roman" w:eastAsia="仿宋_GB2312"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lang w:val="en-US" w:eastAsia="zh-CN"/>
        </w:rPr>
        <w:t>六项</w:t>
      </w:r>
      <w:r>
        <w:rPr>
          <w:rFonts w:hint="default" w:ascii="Times New Roman" w:hAnsi="Times New Roman" w:eastAsia="仿宋_GB2312"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lang w:val="en-US" w:eastAsia="zh-CN"/>
        </w:rPr>
        <w:t>攻坚治理</w:t>
      </w:r>
      <w:r>
        <w:rPr>
          <w:rFonts w:hint="default" w:ascii="Times New Roman" w:hAnsi="Times New Roman" w:eastAsia="仿宋_GB2312" w:cs="Times New Roman"/>
          <w:color w:val="auto"/>
          <w:sz w:val="32"/>
          <w:szCs w:val="40"/>
          <w:highlight w:val="none"/>
        </w:rPr>
        <w:t>，</w:t>
      </w:r>
      <w:r>
        <w:rPr>
          <w:rStyle w:val="29"/>
          <w:rFonts w:hint="default" w:ascii="Times New Roman" w:hAnsi="Times New Roman" w:eastAsia="仿宋_GB2312" w:cs="Times New Roman"/>
          <w:color w:val="auto"/>
          <w:highlight w:val="none"/>
          <w:lang w:val="en-US" w:eastAsia="zh-CN"/>
        </w:rPr>
        <w:t>扎实开展隐患排查整治。强化非煤矿山、冶金工贸、</w:t>
      </w:r>
      <w:r>
        <w:rPr>
          <w:rStyle w:val="29"/>
          <w:rFonts w:hint="default" w:ascii="Times New Roman" w:hAnsi="Times New Roman" w:cs="Times New Roman"/>
          <w:color w:val="auto"/>
          <w:highlight w:val="none"/>
        </w:rPr>
        <w:t>危险化学品、建筑施工、道路交通、消防安全</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eastAsia="仿宋_GB2312" w:cs="Times New Roman"/>
          <w:color w:val="auto"/>
          <w:highlight w:val="none"/>
          <w:lang w:val="en-US" w:eastAsia="zh-CN"/>
        </w:rPr>
        <w:t>海上安全等重点行业领域安全监管，开展“审计式”诊断检查，严格高危行业领域安全审查，提升企业本质安全水平，坚决防范遏制较大及以上事故发生。</w:t>
      </w:r>
      <w:r>
        <w:rPr>
          <w:rFonts w:hint="default" w:ascii="Times New Roman" w:hAnsi="Times New Roman" w:eastAsia="仿宋_GB2312" w:cs="Times New Roman"/>
          <w:color w:val="auto"/>
          <w:sz w:val="32"/>
          <w:szCs w:val="40"/>
          <w:highlight w:val="none"/>
        </w:rPr>
        <w:t>聚焦</w:t>
      </w:r>
      <w:r>
        <w:rPr>
          <w:rFonts w:hint="default" w:ascii="Times New Roman" w:hAnsi="Times New Roman" w:eastAsia="仿宋_GB2312"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rPr>
        <w:t>关键人</w:t>
      </w:r>
      <w:r>
        <w:rPr>
          <w:rFonts w:hint="default" w:ascii="Times New Roman" w:hAnsi="Times New Roman" w:eastAsia="仿宋_GB2312"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rPr>
        <w:t>和危险作业人员，</w:t>
      </w:r>
      <w:r>
        <w:rPr>
          <w:rFonts w:hint="default" w:ascii="Times New Roman" w:hAnsi="Times New Roman" w:eastAsia="仿宋_GB2312" w:cs="Times New Roman"/>
          <w:color w:val="auto"/>
          <w:sz w:val="32"/>
          <w:szCs w:val="40"/>
          <w:highlight w:val="none"/>
          <w:lang w:val="en-US" w:eastAsia="zh-CN"/>
        </w:rPr>
        <w:t>加强安全生产宣传教育培训，</w:t>
      </w:r>
      <w:r>
        <w:rPr>
          <w:rFonts w:hint="default" w:ascii="Times New Roman" w:hAnsi="Times New Roman" w:eastAsia="仿宋_GB2312" w:cs="Times New Roman"/>
          <w:color w:val="auto"/>
          <w:sz w:val="32"/>
          <w:szCs w:val="40"/>
          <w:highlight w:val="none"/>
        </w:rPr>
        <w:t>推动全员安全素质提升。</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outlineLvl w:val="9"/>
        <w:rPr>
          <w:rStyle w:val="29"/>
          <w:rFonts w:hint="default" w:ascii="Times New Roman" w:hAnsi="Times New Roman" w:eastAsia="仿宋_GB2312" w:cs="Times New Roman"/>
          <w:color w:val="auto"/>
          <w:highlight w:val="none"/>
          <w:lang w:val="en-US"/>
        </w:rPr>
      </w:pPr>
      <w:r>
        <w:rPr>
          <w:rFonts w:hint="default" w:ascii="Times New Roman" w:hAnsi="Times New Roman" w:eastAsia="楷体_GB2312" w:cs="Times New Roman"/>
          <w:b w:val="0"/>
          <w:bCs w:val="0"/>
          <w:color w:val="auto"/>
          <w:sz w:val="32"/>
          <w:szCs w:val="32"/>
          <w:highlight w:val="none"/>
          <w:lang w:bidi="ar"/>
        </w:rPr>
        <w:t>维护经济安全。</w:t>
      </w:r>
      <w:r>
        <w:rPr>
          <w:rStyle w:val="29"/>
          <w:rFonts w:hint="default" w:ascii="Times New Roman" w:hAnsi="Times New Roman" w:eastAsia="仿宋_GB2312" w:cs="Times New Roman"/>
          <w:color w:val="auto"/>
          <w:highlight w:val="none"/>
        </w:rPr>
        <w:t>保障粮食安全，严格落实耕地保护和粮食安全党政同责，稳定粮食播种面积和产量，加强粮食储备和应急保障能力建设，实现</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eastAsia="仿宋_GB2312" w:cs="Times New Roman"/>
          <w:color w:val="auto"/>
          <w:highlight w:val="none"/>
        </w:rPr>
        <w:t>藏粮于地、藏粮于技、藏粮于库</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eastAsia="仿宋_GB2312" w:cs="Times New Roman"/>
          <w:color w:val="auto"/>
          <w:highlight w:val="none"/>
        </w:rPr>
        <w:t>。保障能源</w:t>
      </w:r>
      <w:r>
        <w:rPr>
          <w:rStyle w:val="29"/>
          <w:rFonts w:hint="default" w:ascii="Times New Roman" w:hAnsi="Times New Roman" w:eastAsia="仿宋_GB2312" w:cs="Times New Roman"/>
          <w:color w:val="auto"/>
          <w:highlight w:val="none"/>
          <w:lang w:val="en-US" w:eastAsia="zh-CN"/>
        </w:rPr>
        <w:t>资源</w:t>
      </w:r>
      <w:r>
        <w:rPr>
          <w:rStyle w:val="29"/>
          <w:rFonts w:hint="default" w:ascii="Times New Roman" w:hAnsi="Times New Roman" w:eastAsia="仿宋_GB2312" w:cs="Times New Roman"/>
          <w:color w:val="auto"/>
          <w:highlight w:val="none"/>
        </w:rPr>
        <w:t>安全，建立</w:t>
      </w:r>
      <w:r>
        <w:rPr>
          <w:rStyle w:val="29"/>
          <w:rFonts w:hint="default" w:ascii="Times New Roman" w:hAnsi="Times New Roman" w:eastAsia="仿宋_GB2312" w:cs="Times New Roman"/>
          <w:color w:val="auto"/>
          <w:highlight w:val="none"/>
          <w:lang w:val="en-US" w:eastAsia="zh-CN"/>
        </w:rPr>
        <w:t>新型</w:t>
      </w:r>
      <w:r>
        <w:rPr>
          <w:rStyle w:val="29"/>
          <w:rFonts w:hint="default" w:ascii="Times New Roman" w:hAnsi="Times New Roman" w:eastAsia="仿宋_GB2312" w:cs="Times New Roman"/>
          <w:color w:val="auto"/>
          <w:highlight w:val="none"/>
        </w:rPr>
        <w:t>多元化能源供应体系，</w:t>
      </w:r>
      <w:r>
        <w:rPr>
          <w:rStyle w:val="29"/>
          <w:rFonts w:hint="default" w:ascii="Times New Roman" w:hAnsi="Times New Roman" w:eastAsia="仿宋_GB2312" w:cs="Times New Roman"/>
          <w:color w:val="auto"/>
          <w:highlight w:val="none"/>
          <w:lang w:val="en-US" w:eastAsia="zh-CN"/>
        </w:rPr>
        <w:t>提升</w:t>
      </w:r>
      <w:r>
        <w:rPr>
          <w:rStyle w:val="29"/>
          <w:rFonts w:hint="default" w:ascii="Times New Roman" w:hAnsi="Times New Roman" w:eastAsia="仿宋_GB2312" w:cs="Times New Roman"/>
          <w:color w:val="auto"/>
          <w:highlight w:val="none"/>
        </w:rPr>
        <w:t>能源管网建设和维护</w:t>
      </w:r>
      <w:r>
        <w:rPr>
          <w:rStyle w:val="29"/>
          <w:rFonts w:hint="default" w:ascii="Times New Roman" w:hAnsi="Times New Roman" w:eastAsia="仿宋_GB2312" w:cs="Times New Roman"/>
          <w:color w:val="auto"/>
          <w:highlight w:val="none"/>
          <w:lang w:val="en-US" w:eastAsia="zh-CN"/>
        </w:rPr>
        <w:t>水平；开展地质矿产调查，围绕牟乳成矿带，加强金、铁等战略性矿产“攻深找盲”</w:t>
      </w:r>
      <w:r>
        <w:rPr>
          <w:rStyle w:val="29"/>
          <w:rFonts w:hint="default" w:ascii="Times New Roman" w:hAnsi="Times New Roman" w:eastAsia="仿宋_GB2312" w:cs="Times New Roman"/>
          <w:color w:val="auto"/>
          <w:highlight w:val="none"/>
        </w:rPr>
        <w:t>。</w:t>
      </w:r>
      <w:r>
        <w:rPr>
          <w:rStyle w:val="29"/>
          <w:rFonts w:hint="default" w:ascii="Times New Roman" w:hAnsi="Times New Roman" w:eastAsia="仿宋_GB2312" w:cs="Times New Roman"/>
          <w:color w:val="auto"/>
          <w:highlight w:val="none"/>
          <w:lang w:eastAsia="zh-CN"/>
        </w:rPr>
        <w:t>打造安全可靠的</w:t>
      </w:r>
      <w:r>
        <w:rPr>
          <w:rStyle w:val="29"/>
          <w:rFonts w:hint="default" w:ascii="Times New Roman" w:hAnsi="Times New Roman" w:eastAsia="仿宋_GB2312" w:cs="Times New Roman"/>
          <w:color w:val="auto"/>
          <w:highlight w:val="none"/>
        </w:rPr>
        <w:t>产业链供应链，围绕新能源、海工装备、高端制造等重点产业链，建立产业链供应链风险监测预警机制</w:t>
      </w:r>
      <w:r>
        <w:rPr>
          <w:rStyle w:val="29"/>
          <w:rFonts w:hint="default" w:ascii="Times New Roman" w:hAnsi="Times New Roman" w:eastAsia="仿宋_GB2312" w:cs="Times New Roman"/>
          <w:color w:val="auto"/>
          <w:highlight w:val="none"/>
          <w:lang w:val="en-US" w:eastAsia="zh-CN"/>
        </w:rPr>
        <w:t>与应对机制</w:t>
      </w:r>
      <w:r>
        <w:rPr>
          <w:rStyle w:val="29"/>
          <w:rFonts w:hint="default" w:ascii="Times New Roman" w:hAnsi="Times New Roman" w:eastAsia="仿宋_GB2312" w:cs="Times New Roman"/>
          <w:color w:val="auto"/>
          <w:highlight w:val="none"/>
        </w:rPr>
        <w:t>，</w:t>
      </w:r>
      <w:r>
        <w:rPr>
          <w:rStyle w:val="29"/>
          <w:rFonts w:hint="default" w:ascii="Times New Roman" w:hAnsi="Times New Roman" w:eastAsia="仿宋_GB2312" w:cs="Times New Roman"/>
          <w:color w:val="auto"/>
          <w:highlight w:val="none"/>
          <w:lang w:val="en-US" w:eastAsia="zh-CN"/>
        </w:rPr>
        <w:t>加强</w:t>
      </w:r>
      <w:r>
        <w:rPr>
          <w:rStyle w:val="29"/>
          <w:rFonts w:hint="default" w:ascii="Times New Roman" w:hAnsi="Times New Roman" w:eastAsia="仿宋_GB2312" w:cs="Times New Roman"/>
          <w:color w:val="auto"/>
          <w:highlight w:val="none"/>
          <w:lang w:eastAsia="zh-CN"/>
        </w:rPr>
        <w:t>专业化应急救援队伍和物资储备体系建设。</w:t>
      </w:r>
      <w:r>
        <w:rPr>
          <w:rStyle w:val="29"/>
          <w:rFonts w:hint="default" w:ascii="Times New Roman" w:hAnsi="Times New Roman" w:eastAsia="仿宋_GB2312" w:cs="Times New Roman"/>
          <w:color w:val="auto"/>
          <w:highlight w:val="none"/>
          <w:lang w:val="en-US" w:eastAsia="zh-CN"/>
        </w:rPr>
        <w:t>全力防控</w:t>
      </w:r>
      <w:r>
        <w:rPr>
          <w:rStyle w:val="29"/>
          <w:rFonts w:hint="default" w:ascii="Times New Roman" w:hAnsi="Times New Roman" w:eastAsia="仿宋_GB2312" w:cs="Times New Roman"/>
          <w:color w:val="auto"/>
          <w:highlight w:val="none"/>
          <w:lang w:eastAsia="zh-CN"/>
        </w:rPr>
        <w:t>房地产、地方政府债务、中小金融机构等领域风险，织密全口径债务监管网络，加快融资平台和城投公司改革转型，加快构建统一协调的地方金融监管体系，严厉打击非法金融活动。</w:t>
      </w:r>
      <w:r>
        <w:rPr>
          <w:rStyle w:val="29"/>
          <w:rFonts w:hint="default" w:ascii="Times New Roman" w:hAnsi="Times New Roman" w:eastAsia="仿宋_GB2312" w:cs="Times New Roman"/>
          <w:color w:val="auto"/>
          <w:highlight w:val="none"/>
          <w:lang w:val="en-US" w:eastAsia="zh-CN"/>
        </w:rPr>
        <w:t>强化网络、数据、人工智能、生物、生态、核、海洋、低空经济等新兴领域风险防控和安全保障。</w:t>
      </w:r>
    </w:p>
    <w:p>
      <w:pPr>
        <w:pStyle w:val="27"/>
        <w:keepNext w:val="0"/>
        <w:keepLines w:val="0"/>
        <w:pageBreakBefore w:val="0"/>
        <w:widowControl w:val="0"/>
        <w:kinsoku/>
        <w:wordWrap/>
        <w:overflowPunct/>
        <w:topLinePunct w:val="0"/>
        <w:autoSpaceDE/>
        <w:autoSpaceDN/>
        <w:bidi w:val="0"/>
        <w:adjustRightInd w:val="0"/>
        <w:snapToGrid w:val="0"/>
        <w:spacing w:line="570" w:lineRule="exact"/>
        <w:ind w:leftChars="0" w:right="0" w:firstLine="640" w:firstLineChars="200"/>
        <w:textAlignment w:val="auto"/>
        <w:rPr>
          <w:rStyle w:val="29"/>
          <w:rFonts w:hint="default" w:ascii="Times New Roman" w:hAnsi="Times New Roman" w:eastAsia="仿宋_GB2312" w:cs="Times New Roman"/>
          <w:color w:val="auto"/>
          <w:highlight w:val="none"/>
          <w:lang w:val="en-US" w:eastAsia="zh-CN"/>
        </w:rPr>
      </w:pPr>
      <w:r>
        <w:rPr>
          <w:rFonts w:hint="default" w:ascii="Times New Roman" w:hAnsi="Times New Roman" w:eastAsia="楷体_GB2312" w:cs="Times New Roman"/>
          <w:b w:val="0"/>
          <w:bCs w:val="0"/>
          <w:color w:val="auto"/>
          <w:sz w:val="32"/>
          <w:szCs w:val="32"/>
          <w:highlight w:val="none"/>
          <w:lang w:bidi="ar"/>
        </w:rPr>
        <w:t>保障食品药品安全。</w:t>
      </w:r>
      <w:r>
        <w:rPr>
          <w:rStyle w:val="29"/>
          <w:rFonts w:hint="default" w:ascii="Times New Roman" w:hAnsi="Times New Roman" w:cs="Times New Roman"/>
          <w:color w:val="auto"/>
          <w:highlight w:val="none"/>
          <w:lang w:eastAsia="zh-CN"/>
        </w:rPr>
        <w:t>深入</w:t>
      </w:r>
      <w:r>
        <w:rPr>
          <w:rStyle w:val="29"/>
          <w:rFonts w:hint="default" w:ascii="Times New Roman" w:hAnsi="Times New Roman" w:cs="Times New Roman"/>
          <w:color w:val="auto"/>
          <w:highlight w:val="none"/>
        </w:rPr>
        <w:t>推进</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食安</w:t>
      </w:r>
      <w:r>
        <w:rPr>
          <w:rStyle w:val="29"/>
          <w:rFonts w:hint="default" w:ascii="Times New Roman" w:hAnsi="Times New Roman" w:eastAsia="仿宋_GB2312" w:cs="Times New Roman"/>
          <w:color w:val="auto"/>
          <w:highlight w:val="none"/>
          <w:lang w:val="en-US" w:eastAsia="zh-CN"/>
        </w:rPr>
        <w:t>乳山</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cs="Times New Roman"/>
          <w:color w:val="auto"/>
          <w:highlight w:val="none"/>
        </w:rPr>
        <w:t>建设，</w:t>
      </w:r>
      <w:r>
        <w:rPr>
          <w:rStyle w:val="29"/>
          <w:rFonts w:hint="default" w:ascii="Times New Roman" w:hAnsi="Times New Roman" w:eastAsia="仿宋_GB2312" w:cs="Times New Roman"/>
          <w:color w:val="auto"/>
          <w:highlight w:val="none"/>
          <w:lang w:eastAsia="zh-CN"/>
        </w:rPr>
        <w:t>在</w:t>
      </w:r>
      <w:r>
        <w:rPr>
          <w:rStyle w:val="29"/>
          <w:rFonts w:hint="default" w:ascii="Times New Roman" w:hAnsi="Times New Roman" w:eastAsia="仿宋_GB2312" w:cs="Times New Roman"/>
          <w:color w:val="auto"/>
          <w:highlight w:val="none"/>
          <w:lang w:val="en-US" w:eastAsia="zh-CN"/>
        </w:rPr>
        <w:t>学校、养老机构等重点领域推广“互联网+明厨亮灶”监管模式，</w:t>
      </w:r>
      <w:r>
        <w:rPr>
          <w:rStyle w:val="29"/>
          <w:rFonts w:hint="default" w:ascii="Times New Roman" w:hAnsi="Times New Roman" w:eastAsia="仿宋_GB2312" w:cs="Times New Roman"/>
          <w:color w:val="auto"/>
          <w:highlight w:val="none"/>
        </w:rPr>
        <w:t>构建从农田到餐桌的全链条追溯体系。</w:t>
      </w:r>
      <w:r>
        <w:rPr>
          <w:rStyle w:val="29"/>
          <w:rFonts w:hint="default" w:ascii="Times New Roman" w:hAnsi="Times New Roman" w:eastAsia="仿宋_GB2312" w:cs="Times New Roman"/>
          <w:color w:val="auto"/>
          <w:highlight w:val="none"/>
          <w:lang w:val="en-US" w:eastAsia="zh-CN"/>
        </w:rPr>
        <w:t>强化药品质量安全监管</w:t>
      </w:r>
      <w:r>
        <w:rPr>
          <w:rStyle w:val="29"/>
          <w:rFonts w:hint="default" w:ascii="Times New Roman" w:hAnsi="Times New Roman" w:eastAsia="仿宋_GB2312" w:cs="Times New Roman"/>
          <w:color w:val="auto"/>
          <w:highlight w:val="none"/>
        </w:rPr>
        <w:t>，完善药品追溯体系，</w:t>
      </w:r>
      <w:r>
        <w:rPr>
          <w:rStyle w:val="29"/>
          <w:rFonts w:hint="default" w:ascii="Times New Roman" w:hAnsi="Times New Roman" w:cs="Times New Roman"/>
          <w:color w:val="auto"/>
          <w:highlight w:val="none"/>
        </w:rPr>
        <w:t>进一步提升药品、保健品、医疗器械等质量安全管理水平</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eastAsia="仿宋_GB2312" w:cs="Times New Roman"/>
          <w:color w:val="auto"/>
          <w:highlight w:val="none"/>
        </w:rPr>
        <w:t>严厉打击制售假冒伪劣</w:t>
      </w:r>
      <w:r>
        <w:rPr>
          <w:rStyle w:val="29"/>
          <w:rFonts w:hint="default" w:ascii="Times New Roman" w:hAnsi="Times New Roman" w:eastAsia="仿宋_GB2312" w:cs="Times New Roman"/>
          <w:color w:val="auto"/>
          <w:highlight w:val="none"/>
          <w:lang w:val="en-US" w:eastAsia="zh-CN"/>
        </w:rPr>
        <w:t>产品</w:t>
      </w:r>
      <w:r>
        <w:rPr>
          <w:rStyle w:val="29"/>
          <w:rFonts w:hint="default" w:ascii="Times New Roman" w:hAnsi="Times New Roman" w:eastAsia="仿宋_GB2312" w:cs="Times New Roman"/>
          <w:color w:val="auto"/>
          <w:highlight w:val="none"/>
        </w:rPr>
        <w:t>行为</w:t>
      </w:r>
      <w:r>
        <w:rPr>
          <w:rStyle w:val="29"/>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b w:val="0"/>
          <w:bCs w:val="0"/>
          <w:color w:val="auto"/>
          <w:kern w:val="2"/>
          <w:sz w:val="32"/>
          <w:szCs w:val="32"/>
          <w:highlight w:val="none"/>
          <w:lang w:val="en" w:eastAsia="zh-CN" w:bidi="ar-SA"/>
        </w:rPr>
        <w:t>药品安全违法行为线索调查处置率持续保持100%</w:t>
      </w:r>
      <w:r>
        <w:rPr>
          <w:rStyle w:val="29"/>
          <w:rFonts w:hint="default" w:ascii="Times New Roman" w:hAnsi="Times New Roman" w:eastAsia="仿宋_GB2312" w:cs="Times New Roman"/>
          <w:color w:val="auto"/>
          <w:highlight w:val="none"/>
        </w:rPr>
        <w:t>。</w:t>
      </w:r>
      <w:r>
        <w:rPr>
          <w:rStyle w:val="29"/>
          <w:rFonts w:hint="default" w:ascii="Times New Roman" w:hAnsi="Times New Roman" w:eastAsia="仿宋_GB2312" w:cs="Times New Roman"/>
          <w:color w:val="auto"/>
          <w:highlight w:val="none"/>
          <w:lang w:eastAsia="zh-CN"/>
        </w:rPr>
        <w:t>加强食品药品安全应急能力和保障体系建设，提高应对食品药品安全突发事件的快速响应和处置能力。</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487" w:name="_Toc1001"/>
      <w:bookmarkStart w:id="488" w:name="_Toc20884"/>
      <w:bookmarkStart w:id="489" w:name="_Toc22679"/>
      <w:bookmarkStart w:id="490" w:name="_Toc11702"/>
      <w:bookmarkStart w:id="491" w:name="_Toc6898"/>
      <w:bookmarkStart w:id="492" w:name="_Toc7013"/>
      <w:bookmarkStart w:id="493" w:name="_Toc13884"/>
      <w:bookmarkStart w:id="494" w:name="_Toc20991"/>
      <w:bookmarkStart w:id="495" w:name="_Toc10632"/>
      <w:r>
        <w:rPr>
          <w:rFonts w:hint="default" w:ascii="Times New Roman" w:hAnsi="Times New Roman" w:cs="Times New Roman"/>
          <w:snapToGrid w:val="0"/>
          <w:color w:val="auto"/>
          <w:sz w:val="32"/>
          <w:highlight w:val="none"/>
          <w:lang w:val="en-US" w:eastAsia="zh-CN"/>
        </w:rPr>
        <w:t>第二节</w:t>
      </w:r>
      <w:bookmarkEnd w:id="487"/>
      <w:bookmarkEnd w:id="488"/>
      <w:bookmarkEnd w:id="489"/>
      <w:bookmarkEnd w:id="490"/>
      <w:r>
        <w:rPr>
          <w:rFonts w:hint="default" w:ascii="Times New Roman" w:hAnsi="Times New Roman" w:cs="Times New Roman"/>
          <w:snapToGrid w:val="0"/>
          <w:color w:val="auto"/>
          <w:sz w:val="32"/>
          <w:highlight w:val="none"/>
          <w:lang w:val="en-US" w:eastAsia="zh-CN"/>
        </w:rPr>
        <w:t xml:space="preserve"> 加强应急保障能力建设</w:t>
      </w:r>
      <w:bookmarkEnd w:id="491"/>
      <w:bookmarkEnd w:id="492"/>
      <w:bookmarkEnd w:id="493"/>
      <w:bookmarkEnd w:id="494"/>
      <w:bookmarkEnd w:id="495"/>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outlineLvl w:val="9"/>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健全完善防灾减灾救灾工作机制，</w:t>
      </w:r>
      <w:r>
        <w:rPr>
          <w:rFonts w:hint="default" w:ascii="Times New Roman" w:hAnsi="Times New Roman" w:eastAsia="仿宋_GB2312" w:cs="Times New Roman"/>
          <w:color w:val="auto"/>
          <w:spacing w:val="0"/>
          <w:sz w:val="32"/>
          <w:szCs w:val="32"/>
          <w:highlight w:val="none"/>
          <w:lang w:val="en-US" w:eastAsia="zh-CN"/>
        </w:rPr>
        <w:t>系统建设平急两用基础设施和数据资源</w:t>
      </w:r>
      <w:r>
        <w:rPr>
          <w:rFonts w:hint="default" w:ascii="Times New Roman" w:hAnsi="Times New Roman" w:eastAsia="仿宋_GB2312" w:cs="Times New Roman"/>
          <w:color w:val="auto"/>
          <w:spacing w:val="0"/>
          <w:sz w:val="32"/>
          <w:szCs w:val="32"/>
          <w:highlight w:val="none"/>
        </w:rPr>
        <w:t>，形成统一指挥、专常兼备、反应快捷的应急指挥体系。</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outlineLvl w:val="9"/>
        <w:rPr>
          <w:rStyle w:val="29"/>
          <w:rFonts w:hint="default" w:ascii="Times New Roman" w:hAnsi="Times New Roman" w:eastAsia="仿宋_GB2312" w:cs="Times New Roman"/>
          <w:color w:val="auto"/>
          <w:highlight w:val="none"/>
        </w:rPr>
      </w:pPr>
      <w:r>
        <w:rPr>
          <w:rFonts w:hint="default" w:ascii="Times New Roman" w:hAnsi="Times New Roman" w:eastAsia="楷体_GB2312" w:cs="Times New Roman"/>
          <w:b w:val="0"/>
          <w:bCs w:val="0"/>
          <w:color w:val="auto"/>
          <w:sz w:val="32"/>
          <w:szCs w:val="32"/>
          <w:highlight w:val="none"/>
          <w:lang w:val="en-US" w:eastAsia="zh-CN" w:bidi="ar"/>
        </w:rPr>
        <w:t>推动基础设施平急两用。</w:t>
      </w:r>
      <w:r>
        <w:rPr>
          <w:rStyle w:val="29"/>
          <w:rFonts w:hint="default" w:ascii="Times New Roman" w:hAnsi="Times New Roman" w:eastAsia="仿宋_GB2312" w:cs="Times New Roman"/>
          <w:color w:val="auto"/>
          <w:highlight w:val="none"/>
          <w:lang w:val="en-US" w:eastAsia="zh-CN"/>
        </w:rPr>
        <w:t>加快交通、能源、水利、气象等基础设施“平急两用”改造，在乳山港、新能源装备制造基地等重点区域，预留应急物资运输通道和仓储空间。在城市道路、桥梁建设等重点工程，强化应急通行能力设计，确保极端天气、突发事件下交通不中断。优化气象观测站点布局，在关键区域布设气象监测设施，提升极端天气感知能力。推进公共服务设施平急转换，明确平急转换标准和流程，确保紧急情况下学校、体育馆、会展中心等公共资源能快速转换为临时避难所、应急物资中转站等应急设施。</w:t>
      </w:r>
      <w:r>
        <w:rPr>
          <w:rStyle w:val="29"/>
          <w:rFonts w:hint="default" w:ascii="Times New Roman" w:hAnsi="Times New Roman" w:cs="Times New Roman"/>
          <w:color w:val="auto"/>
          <w:highlight w:val="none"/>
        </w:rPr>
        <w:t>加快布局具备恒温、冷藏、防潮等功能的应急物资储备仓库，提高应急物资的存储、分拣和运输能力。</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outlineLvl w:val="9"/>
        <w:rPr>
          <w:rStyle w:val="29"/>
          <w:rFonts w:hint="default" w:ascii="Times New Roman" w:hAnsi="Times New Roman" w:eastAsia="仿宋_GB2312" w:cs="Times New Roman"/>
          <w:color w:val="auto"/>
          <w:highlight w:val="none"/>
          <w:lang w:val="en-US" w:eastAsia="zh-CN"/>
        </w:rPr>
      </w:pPr>
      <w:r>
        <w:rPr>
          <w:rStyle w:val="29"/>
          <w:rFonts w:hint="default" w:ascii="Times New Roman" w:hAnsi="Times New Roman" w:eastAsia="楷体_GB2312" w:cs="Times New Roman"/>
          <w:b w:val="0"/>
          <w:bCs w:val="0"/>
          <w:color w:val="auto"/>
          <w:highlight w:val="none"/>
          <w:lang w:val="en-US" w:eastAsia="zh-CN"/>
        </w:rPr>
        <w:t>推动数据资源平急共享</w:t>
      </w:r>
      <w:r>
        <w:rPr>
          <w:rStyle w:val="29"/>
          <w:rFonts w:hint="default" w:ascii="Times New Roman" w:hAnsi="Times New Roman" w:eastAsia="楷体_GB2312" w:cs="Times New Roman"/>
          <w:b w:val="0"/>
          <w:bCs w:val="0"/>
          <w:color w:val="auto"/>
          <w:highlight w:val="none"/>
          <w:lang w:eastAsia="zh-CN"/>
        </w:rPr>
        <w:t>。</w:t>
      </w:r>
      <w:r>
        <w:rPr>
          <w:rStyle w:val="29"/>
          <w:rFonts w:hint="default" w:ascii="Times New Roman" w:hAnsi="Times New Roman" w:eastAsia="仿宋_GB2312" w:cs="Times New Roman"/>
          <w:color w:val="auto"/>
          <w:highlight w:val="none"/>
          <w:lang w:val="en-US" w:eastAsia="zh-CN"/>
        </w:rPr>
        <w:t>建立乳山市应急数据资源库，整合气象、水文、地质、交通、医疗等领域数据，构建标准统一、布局合理、管理协同、安全可靠的一体化应急大数据体系，实现应急数据</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eastAsia="仿宋_GB2312" w:cs="Times New Roman"/>
          <w:color w:val="auto"/>
          <w:highlight w:val="none"/>
          <w:lang w:val="en-US" w:eastAsia="zh-CN"/>
        </w:rPr>
        <w:t>一网统管</w:t>
      </w:r>
      <w:r>
        <w:rPr>
          <w:rStyle w:val="29"/>
          <w:rFonts w:hint="default" w:ascii="Times New Roman" w:hAnsi="Times New Roman" w:eastAsia="仿宋_GB2312" w:cs="Times New Roman"/>
          <w:color w:val="auto"/>
          <w:highlight w:val="none"/>
          <w:lang w:eastAsia="zh-CN"/>
        </w:rPr>
        <w:t>”。</w:t>
      </w:r>
      <w:r>
        <w:rPr>
          <w:rStyle w:val="29"/>
          <w:rFonts w:hint="default" w:ascii="Times New Roman" w:hAnsi="Times New Roman" w:eastAsia="仿宋_GB2312" w:cs="Times New Roman"/>
          <w:color w:val="auto"/>
          <w:highlight w:val="none"/>
          <w:lang w:val="en-US" w:eastAsia="zh-CN"/>
        </w:rPr>
        <w:t>建立健全数据加密、访问控制、安全审计等安全保障机制，明确平急状态下数据调用权限和流程，确保应急数据安全可控、应急决策精准高效。运用大数据、人工智能技术构建突发事件预警模型，对台风、风暴潮等灾害进行精准预测，健全分级预警响应体系，推动多源数据深度融合、精准算法智能预判、全链条预警响应，构建应急事件“智慧防线”。</w:t>
      </w:r>
    </w:p>
    <w:p>
      <w:pPr>
        <w:keepNext w:val="0"/>
        <w:keepLines w:val="0"/>
        <w:pageBreakBefore w:val="0"/>
        <w:widowControl w:val="0"/>
        <w:kinsoku/>
        <w:wordWrap/>
        <w:overflowPunct/>
        <w:topLinePunct w:val="0"/>
        <w:autoSpaceDE/>
        <w:autoSpaceDN/>
        <w:bidi w:val="0"/>
        <w:spacing w:line="570" w:lineRule="exact"/>
        <w:ind w:firstLine="640" w:firstLineChars="200"/>
        <w:outlineLvl w:val="9"/>
        <w:rPr>
          <w:rStyle w:val="29"/>
          <w:rFonts w:hint="default" w:ascii="Times New Roman" w:hAnsi="Times New Roman" w:eastAsia="仿宋_GB2312" w:cs="Times New Roman"/>
          <w:color w:val="auto"/>
          <w:highlight w:val="none"/>
        </w:rPr>
      </w:pPr>
      <w:r>
        <w:rPr>
          <w:rStyle w:val="29"/>
          <w:rFonts w:hint="default" w:ascii="Times New Roman" w:hAnsi="Times New Roman" w:eastAsia="楷体_GB2312" w:cs="Times New Roman"/>
          <w:b w:val="0"/>
          <w:bCs w:val="0"/>
          <w:color w:val="auto"/>
          <w:highlight w:val="none"/>
        </w:rPr>
        <w:t>构建应急</w:t>
      </w:r>
      <w:r>
        <w:rPr>
          <w:rStyle w:val="29"/>
          <w:rFonts w:hint="default" w:ascii="Times New Roman" w:hAnsi="Times New Roman" w:eastAsia="楷体_GB2312" w:cs="Times New Roman"/>
          <w:b w:val="0"/>
          <w:bCs w:val="0"/>
          <w:color w:val="auto"/>
          <w:highlight w:val="none"/>
          <w:lang w:val="en-US" w:eastAsia="zh-CN"/>
        </w:rPr>
        <w:t>保障</w:t>
      </w:r>
      <w:r>
        <w:rPr>
          <w:rStyle w:val="29"/>
          <w:rFonts w:hint="default" w:ascii="Times New Roman" w:hAnsi="Times New Roman" w:eastAsia="楷体_GB2312" w:cs="Times New Roman"/>
          <w:b w:val="0"/>
          <w:bCs w:val="0"/>
          <w:color w:val="auto"/>
          <w:highlight w:val="none"/>
        </w:rPr>
        <w:t>体系。</w:t>
      </w:r>
      <w:r>
        <w:rPr>
          <w:rStyle w:val="29"/>
          <w:rFonts w:hint="default" w:ascii="Times New Roman" w:hAnsi="Times New Roman" w:eastAsia="仿宋_GB2312" w:cs="Times New Roman"/>
          <w:color w:val="auto"/>
          <w:highlight w:val="none"/>
          <w:lang w:val="en-US" w:eastAsia="zh-CN"/>
        </w:rPr>
        <w:t>完善“统一指挥、分级负责、属地为主”的应急管理体系，形成“15分钟应急救援圈”。建立应急物资储备清单与</w:t>
      </w:r>
      <w:r>
        <w:rPr>
          <w:rStyle w:val="29"/>
          <w:rFonts w:hint="default" w:ascii="Times New Roman" w:hAnsi="Times New Roman" w:cs="Times New Roman"/>
          <w:color w:val="auto"/>
          <w:highlight w:val="none"/>
        </w:rPr>
        <w:t>应急物流信息管理平台</w:t>
      </w:r>
      <w:r>
        <w:rPr>
          <w:rStyle w:val="29"/>
          <w:rFonts w:hint="default" w:ascii="Times New Roman" w:hAnsi="Times New Roman" w:eastAsia="仿宋_GB2312" w:cs="Times New Roman"/>
          <w:color w:val="auto"/>
          <w:highlight w:val="none"/>
          <w:lang w:val="en-US" w:eastAsia="zh-CN"/>
        </w:rPr>
        <w:t>，</w:t>
      </w:r>
      <w:r>
        <w:rPr>
          <w:rStyle w:val="29"/>
          <w:rFonts w:hint="default" w:ascii="Times New Roman" w:hAnsi="Times New Roman" w:cs="Times New Roman"/>
          <w:color w:val="auto"/>
          <w:highlight w:val="none"/>
        </w:rPr>
        <w:t>优化公路、</w:t>
      </w:r>
      <w:r>
        <w:rPr>
          <w:rStyle w:val="29"/>
          <w:rFonts w:hint="default" w:ascii="Times New Roman" w:hAnsi="Times New Roman" w:eastAsia="仿宋_GB2312" w:cs="Times New Roman"/>
          <w:color w:val="auto"/>
          <w:highlight w:val="none"/>
          <w:lang w:val="en-US" w:eastAsia="zh-CN"/>
        </w:rPr>
        <w:t>水路、</w:t>
      </w:r>
      <w:r>
        <w:rPr>
          <w:rStyle w:val="29"/>
          <w:rFonts w:hint="default" w:ascii="Times New Roman" w:hAnsi="Times New Roman" w:cs="Times New Roman"/>
          <w:color w:val="auto"/>
          <w:highlight w:val="none"/>
        </w:rPr>
        <w:t>铁路、航空等</w:t>
      </w:r>
      <w:r>
        <w:rPr>
          <w:rStyle w:val="29"/>
          <w:rFonts w:hint="default" w:ascii="Times New Roman" w:hAnsi="Times New Roman" w:eastAsia="仿宋_GB2312" w:cs="Times New Roman"/>
          <w:color w:val="auto"/>
          <w:highlight w:val="none"/>
          <w:lang w:val="en-US" w:eastAsia="zh-CN"/>
        </w:rPr>
        <w:t>对外</w:t>
      </w:r>
      <w:r>
        <w:rPr>
          <w:rStyle w:val="29"/>
          <w:rFonts w:hint="default" w:ascii="Times New Roman" w:hAnsi="Times New Roman" w:cs="Times New Roman"/>
          <w:color w:val="auto"/>
          <w:highlight w:val="none"/>
        </w:rPr>
        <w:t>运输通道，</w:t>
      </w:r>
      <w:r>
        <w:rPr>
          <w:rStyle w:val="29"/>
          <w:rFonts w:hint="default" w:ascii="Times New Roman" w:hAnsi="Times New Roman" w:eastAsia="仿宋_GB2312" w:cs="Times New Roman"/>
          <w:color w:val="auto"/>
          <w:highlight w:val="none"/>
          <w:lang w:val="en-US" w:eastAsia="zh-CN"/>
        </w:rPr>
        <w:t>完善应急物资采购、储备、调拨机制，</w:t>
      </w:r>
      <w:r>
        <w:rPr>
          <w:rStyle w:val="29"/>
          <w:rFonts w:hint="default" w:ascii="Times New Roman" w:hAnsi="Times New Roman" w:cs="Times New Roman"/>
          <w:color w:val="auto"/>
          <w:highlight w:val="none"/>
        </w:rPr>
        <w:t>增强突发事件物资调配能力。引进</w:t>
      </w:r>
      <w:r>
        <w:rPr>
          <w:rStyle w:val="29"/>
          <w:rFonts w:hint="default" w:ascii="Times New Roman" w:hAnsi="Times New Roman" w:eastAsia="仿宋_GB2312" w:cs="Times New Roman"/>
          <w:color w:val="auto"/>
          <w:highlight w:val="none"/>
          <w:lang w:val="en-US" w:eastAsia="zh-CN"/>
        </w:rPr>
        <w:t>培育</w:t>
      </w:r>
      <w:r>
        <w:rPr>
          <w:rStyle w:val="29"/>
          <w:rFonts w:hint="default" w:ascii="Times New Roman" w:hAnsi="Times New Roman" w:cs="Times New Roman"/>
          <w:color w:val="auto"/>
          <w:highlight w:val="none"/>
        </w:rPr>
        <w:t>以应急投资、应急物流、应急技术为主导业务的专业性</w:t>
      </w:r>
      <w:r>
        <w:rPr>
          <w:rStyle w:val="29"/>
          <w:rFonts w:hint="default" w:ascii="Times New Roman" w:hAnsi="Times New Roman" w:eastAsia="仿宋_GB2312" w:cs="Times New Roman"/>
          <w:color w:val="auto"/>
          <w:highlight w:val="none"/>
          <w:lang w:val="en-US" w:eastAsia="zh-CN"/>
        </w:rPr>
        <w:t>应急处突</w:t>
      </w:r>
      <w:r>
        <w:rPr>
          <w:rStyle w:val="29"/>
          <w:rFonts w:hint="default" w:ascii="Times New Roman" w:hAnsi="Times New Roman" w:cs="Times New Roman"/>
          <w:color w:val="auto"/>
          <w:highlight w:val="none"/>
        </w:rPr>
        <w:t>企业，平时</w:t>
      </w:r>
      <w:r>
        <w:rPr>
          <w:rStyle w:val="29"/>
          <w:rFonts w:hint="default" w:ascii="Times New Roman" w:hAnsi="Times New Roman" w:eastAsia="仿宋_GB2312" w:cs="Times New Roman"/>
          <w:color w:val="auto"/>
          <w:highlight w:val="none"/>
          <w:lang w:val="en-US" w:eastAsia="zh-CN"/>
        </w:rPr>
        <w:t>进行商业化经营、提供商用应急物流服务</w:t>
      </w:r>
      <w:r>
        <w:rPr>
          <w:rStyle w:val="29"/>
          <w:rFonts w:hint="default" w:ascii="Times New Roman" w:hAnsi="Times New Roman" w:cs="Times New Roman"/>
          <w:color w:val="auto"/>
          <w:highlight w:val="none"/>
        </w:rPr>
        <w:t>，灾时配合政府快速整合应急资源</w:t>
      </w:r>
      <w:r>
        <w:rPr>
          <w:rStyle w:val="29"/>
          <w:rFonts w:hint="default" w:ascii="Times New Roman" w:hAnsi="Times New Roman" w:eastAsia="仿宋_GB2312" w:cs="Times New Roman"/>
          <w:color w:val="auto"/>
          <w:highlight w:val="none"/>
        </w:rPr>
        <w:t>。</w:t>
      </w:r>
    </w:p>
    <w:p>
      <w:pPr>
        <w:keepNext w:val="0"/>
        <w:keepLines w:val="0"/>
        <w:pageBreakBefore w:val="0"/>
        <w:widowControl w:val="0"/>
        <w:kinsoku/>
        <w:wordWrap/>
        <w:overflowPunct/>
        <w:topLinePunct w:val="0"/>
        <w:autoSpaceDE/>
        <w:autoSpaceDN/>
        <w:bidi w:val="0"/>
        <w:spacing w:line="570" w:lineRule="exact"/>
        <w:ind w:firstLine="640" w:firstLineChars="200"/>
        <w:outlineLvl w:val="9"/>
        <w:rPr>
          <w:rStyle w:val="29"/>
          <w:rFonts w:hint="default" w:ascii="Times New Roman" w:hAnsi="Times New Roman" w:eastAsia="仿宋_GB2312" w:cs="Times New Roman"/>
          <w:color w:val="auto"/>
          <w:highlight w:val="none"/>
        </w:rPr>
      </w:pPr>
    </w:p>
    <w:p>
      <w:pPr>
        <w:keepNext w:val="0"/>
        <w:keepLines w:val="0"/>
        <w:pageBreakBefore w:val="0"/>
        <w:widowControl w:val="0"/>
        <w:kinsoku/>
        <w:wordWrap/>
        <w:overflowPunct/>
        <w:topLinePunct w:val="0"/>
        <w:autoSpaceDE/>
        <w:autoSpaceDN/>
        <w:bidi w:val="0"/>
        <w:spacing w:line="570" w:lineRule="exact"/>
        <w:ind w:firstLine="640" w:firstLineChars="200"/>
        <w:outlineLvl w:val="9"/>
        <w:rPr>
          <w:rStyle w:val="29"/>
          <w:rFonts w:hint="default" w:ascii="Times New Roman" w:hAnsi="Times New Roman" w:eastAsia="仿宋_GB2312" w:cs="Times New Roman"/>
          <w:color w:val="auto"/>
          <w:highlight w:val="none"/>
        </w:rPr>
      </w:pP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outlineLvl w:val="0"/>
        <w:rPr>
          <w:rFonts w:hint="default" w:ascii="Times New Roman" w:hAnsi="Times New Roman" w:cs="Times New Roman"/>
          <w:snapToGrid w:val="0"/>
          <w:color w:val="auto"/>
          <w:sz w:val="32"/>
          <w:highlight w:val="none"/>
          <w:lang w:val="en-US" w:eastAsia="zh-CN"/>
        </w:rPr>
      </w:pPr>
      <w:bookmarkStart w:id="496" w:name="_Toc15799"/>
      <w:bookmarkStart w:id="497" w:name="_Toc10628"/>
      <w:bookmarkStart w:id="498" w:name="_Toc21093"/>
      <w:bookmarkStart w:id="499" w:name="_Toc15248"/>
      <w:bookmarkStart w:id="500" w:name="_Toc8363"/>
      <w:bookmarkStart w:id="501" w:name="_Toc3749"/>
      <w:bookmarkStart w:id="502" w:name="_Toc15266"/>
      <w:bookmarkStart w:id="503" w:name="_Toc19048"/>
      <w:bookmarkStart w:id="504" w:name="_Toc6393"/>
      <w:r>
        <w:rPr>
          <w:rFonts w:hint="default" w:ascii="Times New Roman" w:hAnsi="Times New Roman" w:cs="Times New Roman"/>
          <w:snapToGrid w:val="0"/>
          <w:color w:val="auto"/>
          <w:sz w:val="32"/>
          <w:highlight w:val="none"/>
          <w:lang w:val="en-US" w:eastAsia="zh-CN"/>
        </w:rPr>
        <w:t>第三节 持续提升社会治理能力</w:t>
      </w:r>
      <w:bookmarkEnd w:id="496"/>
      <w:bookmarkEnd w:id="497"/>
      <w:bookmarkEnd w:id="498"/>
      <w:bookmarkEnd w:id="499"/>
      <w:bookmarkEnd w:id="500"/>
      <w:bookmarkEnd w:id="501"/>
      <w:bookmarkEnd w:id="502"/>
      <w:bookmarkEnd w:id="503"/>
      <w:bookmarkEnd w:id="504"/>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outlineLvl w:val="9"/>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坚持和发展新时代</w:t>
      </w:r>
      <w:bookmarkStart w:id="505" w:name="OLE_LINK100"/>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枫桥经验</w:t>
      </w:r>
      <w:bookmarkEnd w:id="505"/>
      <w:r>
        <w:rPr>
          <w:rFonts w:hint="default" w:ascii="Times New Roman" w:hAnsi="Times New Roman" w:eastAsia="仿宋_GB2312" w:cs="Times New Roman"/>
          <w:color w:val="auto"/>
          <w:spacing w:val="0"/>
          <w:sz w:val="32"/>
          <w:szCs w:val="32"/>
          <w:highlight w:val="none"/>
          <w:lang w:eastAsia="zh-CN"/>
        </w:rPr>
        <w:t>”，健全党组织领导的自治、法治、德治相结合的城乡基层治理体系，</w:t>
      </w:r>
      <w:r>
        <w:rPr>
          <w:rFonts w:hint="default" w:ascii="Times New Roman" w:hAnsi="Times New Roman" w:eastAsia="仿宋_GB2312" w:cs="Times New Roman"/>
          <w:color w:val="auto"/>
          <w:spacing w:val="0"/>
          <w:sz w:val="32"/>
          <w:szCs w:val="32"/>
          <w:highlight w:val="none"/>
          <w:lang w:val="en-US" w:eastAsia="zh-CN"/>
        </w:rPr>
        <w:t>提升</w:t>
      </w:r>
      <w:r>
        <w:rPr>
          <w:rFonts w:hint="default" w:ascii="Times New Roman" w:hAnsi="Times New Roman" w:eastAsia="仿宋_GB2312" w:cs="Times New Roman"/>
          <w:color w:val="auto"/>
          <w:spacing w:val="0"/>
          <w:sz w:val="32"/>
          <w:szCs w:val="32"/>
          <w:highlight w:val="none"/>
          <w:lang w:eastAsia="zh-CN"/>
        </w:rPr>
        <w:t>社会治理现代化</w:t>
      </w:r>
      <w:r>
        <w:rPr>
          <w:rFonts w:hint="default" w:ascii="Times New Roman" w:hAnsi="Times New Roman" w:eastAsia="仿宋_GB2312" w:cs="Times New Roman"/>
          <w:color w:val="auto"/>
          <w:spacing w:val="0"/>
          <w:sz w:val="32"/>
          <w:szCs w:val="32"/>
          <w:highlight w:val="none"/>
          <w:lang w:val="en-US" w:eastAsia="zh-CN"/>
        </w:rPr>
        <w:t>水平</w:t>
      </w:r>
      <w:r>
        <w:rPr>
          <w:rFonts w:hint="default" w:ascii="Times New Roman" w:hAnsi="Times New Roman" w:eastAsia="仿宋_GB2312" w:cs="Times New Roman"/>
          <w:color w:val="auto"/>
          <w:spacing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outlineLvl w:val="9"/>
        <w:rPr>
          <w:rStyle w:val="29"/>
          <w:rFonts w:hint="default" w:ascii="Times New Roman" w:hAnsi="Times New Roman" w:eastAsia="仿宋_GB2312" w:cs="Times New Roman"/>
          <w:color w:val="auto"/>
          <w:highlight w:val="none"/>
          <w:lang w:eastAsia="zh-CN"/>
        </w:rPr>
      </w:pPr>
      <w:r>
        <w:rPr>
          <w:rFonts w:hint="default" w:ascii="Times New Roman" w:hAnsi="Times New Roman" w:eastAsia="楷体_GB2312" w:cs="Times New Roman"/>
          <w:b w:val="0"/>
          <w:bCs w:val="0"/>
          <w:color w:val="auto"/>
          <w:sz w:val="32"/>
          <w:szCs w:val="32"/>
          <w:highlight w:val="none"/>
          <w:lang w:val="en-US" w:eastAsia="zh-CN"/>
        </w:rPr>
        <w:t>扎实推进平安乳山建设。</w:t>
      </w:r>
      <w:r>
        <w:rPr>
          <w:rFonts w:hint="default" w:ascii="Times New Roman" w:hAnsi="Times New Roman" w:eastAsia="仿宋_GB2312" w:cs="Times New Roman"/>
          <w:b w:val="0"/>
          <w:bCs w:val="0"/>
          <w:color w:val="auto"/>
          <w:sz w:val="32"/>
          <w:szCs w:val="32"/>
          <w:highlight w:val="none"/>
          <w:lang w:val="en-US" w:eastAsia="zh-CN"/>
        </w:rPr>
        <w:t>加快建设法治政府，</w:t>
      </w:r>
      <w:r>
        <w:rPr>
          <w:rFonts w:hint="default" w:ascii="Times New Roman" w:hAnsi="Times New Roman" w:eastAsia="仿宋_GB2312" w:cs="Times New Roman"/>
          <w:color w:val="auto"/>
          <w:sz w:val="32"/>
          <w:szCs w:val="32"/>
          <w:highlight w:val="none"/>
          <w:lang w:val="en-US" w:eastAsia="zh-CN"/>
        </w:rPr>
        <w:t>全面深化依法治市、依法行政，严格规范公正文明执法司法，完善执法司法权力运行机制和管理监督约束机制，推动行政执法与刑事司法有机衔接。完善公共法律服务体系，强化涉外法律服务，推进“互联网+公共法律服务”，建成覆盖城乡、便捷高效、均等普惠的现代公共法律服务体系。</w:t>
      </w:r>
      <w:r>
        <w:rPr>
          <w:rStyle w:val="29"/>
          <w:rFonts w:hint="default" w:ascii="Times New Roman" w:hAnsi="Times New Roman" w:eastAsia="仿宋_GB2312" w:cs="Times New Roman"/>
          <w:color w:val="auto"/>
          <w:highlight w:val="none"/>
          <w:lang w:eastAsia="zh-CN"/>
        </w:rPr>
        <w:t>深化社会治安整体防控体系和能力建设，常态化推进扫黑除恶，</w:t>
      </w:r>
      <w:r>
        <w:rPr>
          <w:rStyle w:val="29"/>
          <w:rFonts w:hint="default" w:ascii="Times New Roman" w:hAnsi="Times New Roman" w:cs="Times New Roman"/>
          <w:color w:val="auto"/>
          <w:highlight w:val="none"/>
        </w:rPr>
        <w:t>严防宗教犯罪活动，</w:t>
      </w:r>
      <w:r>
        <w:rPr>
          <w:rStyle w:val="29"/>
          <w:rFonts w:hint="default" w:ascii="Times New Roman" w:hAnsi="Times New Roman" w:eastAsia="仿宋_GB2312" w:cs="Times New Roman"/>
          <w:color w:val="auto"/>
          <w:highlight w:val="none"/>
          <w:lang w:eastAsia="zh-CN"/>
        </w:rPr>
        <w:t>严打电信网络诈骗、传销、“六霸”、涉毒、走私等违法犯罪活动，强化未成年人违法犯罪预防和治理，</w:t>
      </w:r>
      <w:r>
        <w:rPr>
          <w:rStyle w:val="29"/>
          <w:rFonts w:hint="default" w:ascii="Times New Roman" w:hAnsi="Times New Roman" w:cs="Times New Roman"/>
          <w:color w:val="auto"/>
          <w:highlight w:val="none"/>
        </w:rPr>
        <w:t>加强人员密集场所安全管理和流动人口服务管理，加强道路交通安全综合治理</w:t>
      </w:r>
      <w:r>
        <w:rPr>
          <w:rStyle w:val="29"/>
          <w:rFonts w:hint="default" w:ascii="Times New Roman" w:hAnsi="Times New Roman" w:eastAsia="仿宋_GB2312" w:cs="Times New Roman"/>
          <w:color w:val="auto"/>
          <w:highlight w:val="none"/>
          <w:lang w:eastAsia="zh-CN"/>
        </w:rPr>
        <w:t>，坚决守牢不发生重大群体性事件、不发生恶性极端案（事）件的底线。</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outlineLvl w:val="9"/>
        <w:rPr>
          <w:rStyle w:val="29"/>
          <w:rFonts w:hint="default" w:ascii="Times New Roman" w:hAnsi="Times New Roman" w:eastAsia="仿宋_GB2312" w:cs="Times New Roman"/>
          <w:color w:val="auto"/>
          <w:highlight w:val="none"/>
          <w:lang w:eastAsia="zh-CN"/>
        </w:rPr>
      </w:pPr>
      <w:r>
        <w:rPr>
          <w:rFonts w:hint="default" w:ascii="Times New Roman" w:hAnsi="Times New Roman" w:eastAsia="楷体_GB2312" w:cs="Times New Roman"/>
          <w:b w:val="0"/>
          <w:bCs w:val="0"/>
          <w:color w:val="auto"/>
          <w:sz w:val="32"/>
          <w:szCs w:val="32"/>
          <w:highlight w:val="none"/>
        </w:rPr>
        <w:t>深化基层治理改革。</w:t>
      </w:r>
      <w:r>
        <w:rPr>
          <w:rStyle w:val="29"/>
          <w:rFonts w:hint="default" w:ascii="Times New Roman" w:hAnsi="Times New Roman" w:eastAsia="仿宋_GB2312" w:cs="Times New Roman"/>
          <w:color w:val="auto"/>
          <w:highlight w:val="none"/>
          <w:lang w:eastAsia="zh-CN"/>
        </w:rPr>
        <w:t>深化网格化服务管理，依托威海市网格化服务管理信息平台，健全优化网格运行机制，抓实网格员履职能力提升，自行化解简单矛盾纠纷，及时上报重大风险隐患，提升基层网格精细化水平。全面实施镇（街道）履行职责事项清单，加强基层服务管理力量配置，强化服务设施和经费保障。发挥人民群众主体作用，</w:t>
      </w:r>
      <w:r>
        <w:rPr>
          <w:rStyle w:val="29"/>
          <w:rFonts w:hint="default" w:ascii="Times New Roman" w:hAnsi="Times New Roman" w:eastAsia="仿宋_GB2312" w:cs="Times New Roman"/>
          <w:color w:val="auto"/>
          <w:highlight w:val="none"/>
          <w:lang w:val="en-US" w:eastAsia="zh-CN"/>
        </w:rPr>
        <w:t>建设</w:t>
      </w:r>
      <w:r>
        <w:rPr>
          <w:rStyle w:val="29"/>
          <w:rFonts w:hint="default" w:ascii="Times New Roman" w:hAnsi="Times New Roman" w:eastAsia="仿宋_GB2312" w:cs="Times New Roman"/>
          <w:color w:val="auto"/>
          <w:highlight w:val="none"/>
          <w:lang w:eastAsia="zh-CN"/>
        </w:rPr>
        <w:t>市民公约、村规民约，</w:t>
      </w:r>
      <w:r>
        <w:rPr>
          <w:rStyle w:val="29"/>
          <w:rFonts w:hint="default" w:ascii="Times New Roman" w:hAnsi="Times New Roman" w:eastAsia="仿宋_GB2312" w:cs="Times New Roman"/>
          <w:color w:val="auto"/>
          <w:highlight w:val="none"/>
          <w:lang w:val="en-US" w:eastAsia="zh-CN"/>
        </w:rPr>
        <w:t>将</w:t>
      </w:r>
      <w:r>
        <w:rPr>
          <w:rStyle w:val="29"/>
          <w:rFonts w:hint="default" w:ascii="Times New Roman" w:hAnsi="Times New Roman" w:cs="Times New Roman"/>
          <w:b w:val="0"/>
          <w:bCs w:val="0"/>
          <w:color w:val="auto"/>
          <w:highlight w:val="none"/>
        </w:rPr>
        <w:t>家庭家教家风</w:t>
      </w:r>
      <w:r>
        <w:rPr>
          <w:rStyle w:val="29"/>
          <w:rFonts w:hint="default" w:ascii="Times New Roman" w:hAnsi="Times New Roman" w:eastAsia="仿宋_GB2312" w:cs="Times New Roman"/>
          <w:color w:val="auto"/>
          <w:highlight w:val="none"/>
          <w:lang w:val="en-US" w:eastAsia="zh-CN"/>
        </w:rPr>
        <w:t>建设</w:t>
      </w:r>
      <w:r>
        <w:rPr>
          <w:rStyle w:val="29"/>
          <w:rFonts w:hint="default" w:ascii="Times New Roman" w:hAnsi="Times New Roman" w:eastAsia="仿宋_GB2312" w:cs="Times New Roman"/>
          <w:color w:val="auto"/>
          <w:highlight w:val="none"/>
          <w:lang w:eastAsia="zh-CN"/>
        </w:rPr>
        <w:t>深度融入基层治理各环节，以家庭的“小和谐”汇聚成社会的“大稳定”，以家教的“小切口”破解治理的“大难题”，以家风的“小气候”涵养社会的“大</w:t>
      </w:r>
      <w:r>
        <w:rPr>
          <w:rStyle w:val="29"/>
          <w:rFonts w:hint="default" w:ascii="Times New Roman" w:hAnsi="Times New Roman" w:eastAsia="仿宋_GB2312" w:cs="Times New Roman"/>
          <w:color w:val="auto"/>
          <w:highlight w:val="none"/>
          <w:lang w:val="en-US" w:eastAsia="zh-CN"/>
        </w:rPr>
        <w:t>环境</w:t>
      </w:r>
      <w:r>
        <w:rPr>
          <w:rStyle w:val="29"/>
          <w:rFonts w:hint="default" w:ascii="Times New Roman" w:hAnsi="Times New Roman" w:eastAsia="仿宋_GB2312" w:cs="Times New Roman"/>
          <w:color w:val="auto"/>
          <w:highlight w:val="none"/>
          <w:lang w:eastAsia="zh-CN"/>
        </w:rPr>
        <w:t>”。</w:t>
      </w:r>
    </w:p>
    <w:p>
      <w:pPr>
        <w:keepNext w:val="0"/>
        <w:keepLines w:val="0"/>
        <w:pageBreakBefore w:val="0"/>
        <w:widowControl w:val="0"/>
        <w:kinsoku/>
        <w:wordWrap/>
        <w:overflowPunct/>
        <w:topLinePunct w:val="0"/>
        <w:autoSpaceDE/>
        <w:autoSpaceDN/>
        <w:bidi w:val="0"/>
        <w:spacing w:line="570" w:lineRule="exact"/>
        <w:ind w:firstLine="640" w:firstLineChars="200"/>
        <w:jc w:val="left"/>
        <w:outlineLvl w:val="9"/>
        <w:rPr>
          <w:rStyle w:val="29"/>
          <w:rFonts w:hint="default" w:ascii="Times New Roman" w:hAnsi="Times New Roman" w:eastAsia="仿宋_GB2312" w:cs="Times New Roman"/>
          <w:color w:val="auto"/>
          <w:highlight w:val="none"/>
          <w:lang w:eastAsia="zh-CN"/>
        </w:rPr>
      </w:pPr>
      <w:r>
        <w:rPr>
          <w:rStyle w:val="29"/>
          <w:rFonts w:hint="default" w:ascii="Times New Roman" w:hAnsi="Times New Roman" w:eastAsia="楷体_GB2312" w:cs="Times New Roman"/>
          <w:b w:val="0"/>
          <w:bCs w:val="0"/>
          <w:color w:val="auto"/>
          <w:highlight w:val="none"/>
        </w:rPr>
        <w:t>创新社会治理方式。</w:t>
      </w:r>
      <w:r>
        <w:rPr>
          <w:rStyle w:val="29"/>
          <w:rFonts w:hint="default" w:ascii="Times New Roman" w:hAnsi="Times New Roman" w:cs="Times New Roman"/>
          <w:color w:val="auto"/>
          <w:highlight w:val="none"/>
          <w:lang w:val="en-US" w:eastAsia="zh-CN"/>
        </w:rPr>
        <w:t>健全社会稳定风险隐患常态化排查整治及风险评估机制，建强市镇村三级综治中心，发挥好矛盾纠纷预防化解作用。</w:t>
      </w:r>
      <w:r>
        <w:rPr>
          <w:rStyle w:val="29"/>
          <w:rFonts w:hint="default" w:ascii="Times New Roman" w:hAnsi="Times New Roman" w:eastAsia="仿宋_GB2312" w:cs="Times New Roman"/>
          <w:color w:val="auto"/>
          <w:highlight w:val="none"/>
          <w:lang w:eastAsia="zh-CN"/>
        </w:rPr>
        <w:t>加强基层服务管理力量配置，</w:t>
      </w:r>
      <w:r>
        <w:rPr>
          <w:rStyle w:val="29"/>
          <w:rFonts w:hint="default" w:ascii="Times New Roman" w:hAnsi="Times New Roman" w:eastAsia="仿宋_GB2312" w:cs="Times New Roman"/>
          <w:color w:val="auto"/>
          <w:highlight w:val="none"/>
          <w:lang w:val="en-US" w:eastAsia="zh-CN"/>
        </w:rPr>
        <w:t>推动</w:t>
      </w:r>
      <w:r>
        <w:rPr>
          <w:rStyle w:val="29"/>
          <w:rFonts w:hint="default" w:ascii="Times New Roman" w:hAnsi="Times New Roman" w:cs="Times New Roman"/>
          <w:color w:val="auto"/>
          <w:highlight w:val="none"/>
        </w:rPr>
        <w:t>信访、诉讼、调解等数据互联互通，构建源头防控、排查梳理、纠纷化解、应急处置的社会矛盾综合治理机制。</w:t>
      </w:r>
      <w:r>
        <w:rPr>
          <w:rFonts w:hint="default" w:ascii="Times New Roman" w:hAnsi="Times New Roman" w:eastAsia="仿宋_GB2312" w:cs="Times New Roman"/>
          <w:color w:val="auto"/>
          <w:kern w:val="0"/>
          <w:sz w:val="31"/>
          <w:szCs w:val="31"/>
          <w:highlight w:val="none"/>
          <w:lang w:val="en-US" w:eastAsia="zh-CN" w:bidi="ar"/>
        </w:rPr>
        <w:t>加强协商民主制度建设，推动协商民主广泛、多层、制度化发展，充分发挥村（社区）党组织在基层协商中的领导作用。健全社会组织管理制度，</w:t>
      </w:r>
      <w:r>
        <w:rPr>
          <w:rStyle w:val="29"/>
          <w:rFonts w:hint="default" w:ascii="Times New Roman" w:hAnsi="Times New Roman" w:cs="Times New Roman"/>
          <w:color w:val="auto"/>
          <w:highlight w:val="none"/>
        </w:rPr>
        <w:t>加强社会工作者队伍建设，</w:t>
      </w:r>
      <w:r>
        <w:rPr>
          <w:rStyle w:val="29"/>
          <w:rFonts w:hint="default" w:ascii="Times New Roman" w:hAnsi="Times New Roman" w:eastAsia="仿宋_GB2312" w:cs="Times New Roman"/>
          <w:color w:val="auto"/>
          <w:highlight w:val="none"/>
          <w:lang w:eastAsia="zh-CN"/>
        </w:rPr>
        <w:t>深化志愿服务品牌建设</w:t>
      </w:r>
      <w:r>
        <w:rPr>
          <w:rFonts w:hint="default" w:ascii="Times New Roman" w:hAnsi="Times New Roman" w:eastAsia="仿宋_GB2312" w:cs="Times New Roman"/>
          <w:color w:val="auto"/>
          <w:kern w:val="0"/>
          <w:sz w:val="31"/>
          <w:szCs w:val="31"/>
          <w:highlight w:val="none"/>
          <w:lang w:val="en-US" w:eastAsia="zh-CN" w:bidi="ar"/>
        </w:rPr>
        <w:t>。完善人民建议征集等凝聚服务群众工作机制，维护群众合法权益。</w:t>
      </w:r>
      <w:r>
        <w:rPr>
          <w:rStyle w:val="29"/>
          <w:rFonts w:hint="default" w:ascii="Times New Roman" w:hAnsi="Times New Roman" w:cs="Times New Roman"/>
          <w:color w:val="auto"/>
          <w:highlight w:val="none"/>
        </w:rPr>
        <w:t>加强社会心理服务，健全社会心理服务体系和危机干预机制，</w:t>
      </w:r>
      <w:r>
        <w:rPr>
          <w:rStyle w:val="29"/>
          <w:rFonts w:hint="default" w:ascii="Times New Roman" w:hAnsi="Times New Roman" w:eastAsia="仿宋_GB2312" w:cs="Times New Roman"/>
          <w:color w:val="auto"/>
          <w:highlight w:val="none"/>
          <w:lang w:eastAsia="zh-CN"/>
        </w:rPr>
        <w:t>增强</w:t>
      </w:r>
      <w:r>
        <w:rPr>
          <w:rStyle w:val="29"/>
          <w:rFonts w:hint="default" w:ascii="Times New Roman" w:hAnsi="Times New Roman" w:cs="Times New Roman"/>
          <w:color w:val="auto"/>
          <w:highlight w:val="none"/>
        </w:rPr>
        <w:t>群众心理健康意识，预防和减少心理问题引发的社会矛盾问题。</w:t>
      </w:r>
    </w:p>
    <w:p>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outlineLvl w:val="9"/>
        <w:rPr>
          <w:rFonts w:hint="default" w:ascii="Times New Roman" w:hAnsi="Times New Roman" w:eastAsia="黑体" w:cs="Times New Roman"/>
          <w:color w:val="auto"/>
          <w:sz w:val="32"/>
          <w:szCs w:val="32"/>
          <w:highlight w:val="none"/>
          <w:lang w:val="en-US" w:eastAsia="zh-CN"/>
        </w:rPr>
      </w:pPr>
      <w:bookmarkStart w:id="506" w:name="_Toc9271"/>
      <w:bookmarkStart w:id="507" w:name="_Toc32219"/>
      <w:bookmarkStart w:id="508" w:name="_Toc24240"/>
    </w:p>
    <w:p>
      <w:pPr>
        <w:pStyle w:val="2"/>
        <w:keepNext w:val="0"/>
        <w:keepLines w:val="0"/>
        <w:pageBreakBefore w:val="0"/>
        <w:widowControl w:val="0"/>
        <w:kinsoku/>
        <w:wordWrap/>
        <w:overflowPunct/>
        <w:topLinePunct w:val="0"/>
        <w:autoSpaceDE/>
        <w:autoSpaceDN/>
        <w:bidi w:val="0"/>
        <w:spacing w:before="100" w:beforeLines="100" w:after="100" w:afterLines="100" w:line="570" w:lineRule="exact"/>
        <w:jc w:val="center"/>
        <w:textAlignment w:val="auto"/>
        <w:rPr>
          <w:rFonts w:hint="default" w:ascii="Times New Roman" w:hAnsi="Times New Roman" w:eastAsia="黑体" w:cs="Times New Roman"/>
          <w:b w:val="0"/>
          <w:bCs w:val="0"/>
          <w:color w:val="auto"/>
          <w:sz w:val="32"/>
          <w:szCs w:val="32"/>
          <w:highlight w:val="none"/>
          <w:lang w:val="en-US" w:eastAsia="zh-CN"/>
        </w:rPr>
      </w:pPr>
      <w:bookmarkStart w:id="509" w:name="_Toc3206"/>
      <w:bookmarkStart w:id="510" w:name="_Toc21756"/>
      <w:bookmarkStart w:id="511" w:name="_Toc14447"/>
      <w:bookmarkStart w:id="512" w:name="_Toc29696"/>
      <w:bookmarkStart w:id="513" w:name="_Toc12284"/>
      <w:bookmarkStart w:id="514" w:name="_Toc24810"/>
      <w:r>
        <w:rPr>
          <w:rFonts w:hint="default" w:ascii="Times New Roman" w:hAnsi="Times New Roman" w:eastAsia="黑体" w:cs="Times New Roman"/>
          <w:b w:val="0"/>
          <w:bCs w:val="0"/>
          <w:color w:val="auto"/>
          <w:sz w:val="32"/>
          <w:szCs w:val="32"/>
          <w:highlight w:val="none"/>
          <w:lang w:val="en-US" w:eastAsia="zh-CN"/>
        </w:rPr>
        <w:t>第十</w:t>
      </w:r>
      <w:bookmarkEnd w:id="506"/>
      <w:bookmarkEnd w:id="507"/>
      <w:r>
        <w:rPr>
          <w:rFonts w:hint="default" w:ascii="Times New Roman" w:hAnsi="Times New Roman" w:eastAsia="黑体" w:cs="Times New Roman"/>
          <w:b w:val="0"/>
          <w:bCs w:val="0"/>
          <w:color w:val="auto"/>
          <w:sz w:val="32"/>
          <w:szCs w:val="32"/>
          <w:highlight w:val="none"/>
          <w:lang w:val="en-US" w:eastAsia="zh-CN"/>
        </w:rPr>
        <w:t>四章 强化规划实施保障，推动宏伟蓝图落地实现</w:t>
      </w:r>
      <w:bookmarkEnd w:id="508"/>
      <w:bookmarkEnd w:id="509"/>
      <w:bookmarkEnd w:id="510"/>
      <w:bookmarkEnd w:id="511"/>
      <w:bookmarkEnd w:id="512"/>
      <w:bookmarkEnd w:id="513"/>
      <w:bookmarkEnd w:id="514"/>
    </w:p>
    <w:p>
      <w:pPr>
        <w:keepNext w:val="0"/>
        <w:keepLines w:val="0"/>
        <w:pageBreakBefore w:val="0"/>
        <w:widowControl w:val="0"/>
        <w:suppressLineNumbers w:val="0"/>
        <w:kinsoku/>
        <w:wordWrap/>
        <w:overflowPunct/>
        <w:topLinePunct w:val="0"/>
        <w:autoSpaceDE/>
        <w:autoSpaceDN/>
        <w:bidi w:val="0"/>
        <w:adjustRightInd/>
        <w:snapToGrid/>
        <w:spacing w:line="570" w:lineRule="exact"/>
        <w:ind w:firstLine="620" w:firstLineChars="200"/>
        <w:jc w:val="left"/>
        <w:textAlignment w:val="auto"/>
        <w:rPr>
          <w:rFonts w:hint="default" w:ascii="Times New Roman" w:hAnsi="Times New Roman" w:eastAsia="仿宋_GB2312" w:cs="Times New Roman"/>
          <w:color w:val="auto"/>
          <w:kern w:val="0"/>
          <w:sz w:val="31"/>
          <w:szCs w:val="31"/>
          <w:highlight w:val="none"/>
          <w:lang w:val="en-US" w:eastAsia="zh-CN" w:bidi="ar"/>
        </w:rPr>
      </w:pPr>
      <w:bookmarkStart w:id="515" w:name="_Toc20284"/>
      <w:bookmarkStart w:id="516" w:name="_Toc15869"/>
      <w:bookmarkStart w:id="517" w:name="_Toc27862"/>
      <w:bookmarkStart w:id="518" w:name="_Toc977"/>
      <w:bookmarkStart w:id="519" w:name="_Toc11929"/>
      <w:bookmarkStart w:id="520" w:name="_Toc26724"/>
      <w:bookmarkStart w:id="521" w:name="_Toc5704"/>
      <w:r>
        <w:rPr>
          <w:rFonts w:hint="default" w:ascii="Times New Roman" w:hAnsi="Times New Roman" w:eastAsia="仿宋_GB2312" w:cs="Times New Roman"/>
          <w:color w:val="auto"/>
          <w:kern w:val="0"/>
          <w:sz w:val="31"/>
          <w:szCs w:val="31"/>
          <w:highlight w:val="none"/>
          <w:lang w:val="en-US" w:eastAsia="zh-CN" w:bidi="ar"/>
        </w:rPr>
        <w:t>全面落实新时代党的建设总要求，发挥好党总揽全局、协调各方的领导核心作用，强化党的政治领导力、思想引领力、群众组织力、社会号召力，进一步健全规划体系与实施机制，全力把“十五五”规划描绘的宏伟蓝图变成美好现实。</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522" w:name="_Toc8522"/>
      <w:bookmarkStart w:id="523" w:name="_Toc10237"/>
      <w:r>
        <w:rPr>
          <w:rFonts w:hint="default" w:ascii="Times New Roman" w:hAnsi="Times New Roman" w:cs="Times New Roman"/>
          <w:snapToGrid w:val="0"/>
          <w:color w:val="auto"/>
          <w:sz w:val="32"/>
          <w:highlight w:val="none"/>
          <w:lang w:val="en-US" w:eastAsia="zh-CN"/>
        </w:rPr>
        <w:t>第一节 坚持和加强党的全面领导</w:t>
      </w:r>
      <w:bookmarkEnd w:id="515"/>
      <w:bookmarkEnd w:id="516"/>
      <w:bookmarkEnd w:id="517"/>
      <w:bookmarkEnd w:id="518"/>
      <w:bookmarkEnd w:id="519"/>
      <w:bookmarkEnd w:id="520"/>
      <w:bookmarkEnd w:id="521"/>
      <w:bookmarkEnd w:id="522"/>
      <w:bookmarkEnd w:id="523"/>
    </w:p>
    <w:p>
      <w:pPr>
        <w:keepNext w:val="0"/>
        <w:keepLines w:val="0"/>
        <w:pageBreakBefore w:val="0"/>
        <w:widowControl w:val="0"/>
        <w:suppressLineNumbers w:val="0"/>
        <w:kinsoku/>
        <w:wordWrap/>
        <w:overflowPunct/>
        <w:topLinePunct w:val="0"/>
        <w:autoSpaceDE/>
        <w:autoSpaceDN/>
        <w:bidi w:val="0"/>
        <w:adjustRightInd/>
        <w:snapToGrid/>
        <w:spacing w:line="570" w:lineRule="exact"/>
        <w:ind w:firstLine="664"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pacing w:val="6"/>
          <w:sz w:val="32"/>
          <w:szCs w:val="32"/>
          <w:highlight w:val="none"/>
          <w:lang w:val="en-US" w:eastAsia="zh-CN"/>
        </w:rPr>
        <w:t>发挥党的领导核心作用</w:t>
      </w:r>
      <w:r>
        <w:rPr>
          <w:rFonts w:hint="default" w:ascii="Times New Roman" w:hAnsi="Times New Roman" w:eastAsia="仿宋_GB2312" w:cs="Times New Roman"/>
          <w:color w:val="auto"/>
          <w:spacing w:val="6"/>
          <w:sz w:val="32"/>
          <w:szCs w:val="32"/>
          <w:highlight w:val="none"/>
          <w:lang w:val="en-US" w:eastAsia="zh-CN"/>
        </w:rPr>
        <w:t>。深入学习贯彻习近平新时代中国特色社会主义思想，</w:t>
      </w:r>
      <w:r>
        <w:rPr>
          <w:rFonts w:hint="default" w:ascii="Times New Roman" w:hAnsi="Times New Roman" w:eastAsia="仿宋_GB2312" w:cs="Times New Roman"/>
          <w:color w:val="auto"/>
          <w:spacing w:val="6"/>
          <w:kern w:val="0"/>
          <w:sz w:val="31"/>
          <w:szCs w:val="31"/>
          <w:highlight w:val="none"/>
          <w:lang w:val="en-US" w:eastAsia="zh-CN" w:bidi="ar"/>
        </w:rPr>
        <w:t>深入贯彻党的基本理论、基本路线、基本方略，</w:t>
      </w:r>
      <w:r>
        <w:rPr>
          <w:rFonts w:hint="default" w:ascii="Times New Roman" w:hAnsi="Times New Roman" w:eastAsia="仿宋_GB2312" w:cs="Times New Roman"/>
          <w:color w:val="auto"/>
          <w:spacing w:val="6"/>
          <w:sz w:val="32"/>
          <w:szCs w:val="32"/>
          <w:highlight w:val="none"/>
          <w:lang w:val="en-US" w:eastAsia="zh-CN"/>
        </w:rPr>
        <w:t>坚定拥护“两个确立”、坚决做到“两个维护”，确保习近平总书记对山东工作的重要指示要求和党中央决策部署高效落地。坚持用改革精神和严的标准管党治党，压紧压实全面从严治党政治责任，完善上下贯通、执行有力的组织体系，健全和落实民主集中制，统筹推进各领域基层党组织建设，增强党组织政治功能和组织功能，发挥党员先锋模范作用，不断提高全市党的建设工作质量</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kern w:val="2"/>
          <w:sz w:val="32"/>
          <w:szCs w:val="32"/>
          <w:highlight w:val="none"/>
          <w:lang w:val="en-US" w:eastAsia="zh-CN" w:bidi="ar"/>
        </w:rPr>
        <w:t>坚持党对经济社会发展的领导。</w:t>
      </w:r>
      <w:r>
        <w:rPr>
          <w:rFonts w:hint="default" w:ascii="Times New Roman" w:hAnsi="Times New Roman" w:eastAsia="仿宋_GB2312" w:cs="Times New Roman"/>
          <w:color w:val="auto"/>
          <w:sz w:val="32"/>
          <w:szCs w:val="32"/>
          <w:highlight w:val="none"/>
          <w:lang w:val="en-US" w:eastAsia="zh-CN"/>
        </w:rPr>
        <w:t>落实党委研究经济社会发展战略、制定重大政策、推进任务落实的工作机制，强化各级党组织领导责任和实施职责，</w:t>
      </w:r>
      <w:r>
        <w:rPr>
          <w:rFonts w:hint="default" w:ascii="Times New Roman" w:hAnsi="Times New Roman" w:eastAsia="仿宋_GB2312" w:cs="Times New Roman"/>
          <w:color w:val="auto"/>
          <w:kern w:val="0"/>
          <w:sz w:val="31"/>
          <w:szCs w:val="31"/>
          <w:highlight w:val="none"/>
          <w:lang w:val="en-US" w:eastAsia="zh-CN" w:bidi="ar"/>
        </w:rPr>
        <w:t>把党的领导贯穿</w:t>
      </w:r>
      <w:r>
        <w:rPr>
          <w:rFonts w:hint="default" w:ascii="Times New Roman" w:hAnsi="Times New Roman" w:eastAsia="宋体" w:cs="Times New Roman"/>
          <w:color w:val="auto"/>
          <w:kern w:val="0"/>
          <w:sz w:val="31"/>
          <w:szCs w:val="31"/>
          <w:highlight w:val="none"/>
          <w:lang w:val="en-US" w:eastAsia="zh-CN" w:bidi="ar"/>
        </w:rPr>
        <w:t>“</w:t>
      </w:r>
      <w:r>
        <w:rPr>
          <w:rFonts w:hint="default" w:ascii="Times New Roman" w:hAnsi="Times New Roman" w:eastAsia="仿宋_GB2312" w:cs="Times New Roman"/>
          <w:color w:val="auto"/>
          <w:kern w:val="0"/>
          <w:sz w:val="31"/>
          <w:szCs w:val="31"/>
          <w:highlight w:val="none"/>
          <w:lang w:val="en-US" w:eastAsia="zh-CN" w:bidi="ar"/>
        </w:rPr>
        <w:t>十五五</w:t>
      </w:r>
      <w:r>
        <w:rPr>
          <w:rFonts w:hint="default" w:ascii="Times New Roman" w:hAnsi="Times New Roman" w:eastAsia="宋体" w:cs="Times New Roman"/>
          <w:color w:val="auto"/>
          <w:kern w:val="0"/>
          <w:sz w:val="31"/>
          <w:szCs w:val="31"/>
          <w:highlight w:val="none"/>
          <w:lang w:val="en-US" w:eastAsia="zh-CN" w:bidi="ar"/>
        </w:rPr>
        <w:t>”</w:t>
      </w:r>
      <w:r>
        <w:rPr>
          <w:rFonts w:hint="default" w:ascii="Times New Roman" w:hAnsi="Times New Roman" w:eastAsia="仿宋_GB2312" w:cs="Times New Roman"/>
          <w:color w:val="auto"/>
          <w:kern w:val="0"/>
          <w:sz w:val="31"/>
          <w:szCs w:val="31"/>
          <w:highlight w:val="none"/>
          <w:lang w:val="en-US" w:eastAsia="zh-CN" w:bidi="ar"/>
        </w:rPr>
        <w:t>规划实施全过程、各环节。</w:t>
      </w:r>
      <w:r>
        <w:rPr>
          <w:rFonts w:hint="default" w:ascii="Times New Roman" w:hAnsi="Times New Roman" w:eastAsia="仿宋_GB2312" w:cs="Times New Roman"/>
          <w:color w:val="auto"/>
          <w:sz w:val="32"/>
          <w:szCs w:val="32"/>
          <w:highlight w:val="none"/>
          <w:lang w:val="en-US" w:eastAsia="zh-CN"/>
        </w:rPr>
        <w:t>坚持正确用人导向，树立和践行正确政绩观，完善干部考核评价机制，推进领导干部能上能下常态化。强化基层党组织整体功能，充分发挥党员先锋模范作用，形成上下齐心、各方协力、真抓实干的发展态势。锲而不舍落实中央八项规定精神，推进作风建设常态化长效化，坚决打好反腐败斗争攻坚战、持久战、总体战，营造风清气正的政治生态。</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524" w:name="_Toc3144"/>
      <w:bookmarkStart w:id="525" w:name="_Toc28672"/>
      <w:bookmarkStart w:id="526" w:name="_Toc26629"/>
      <w:bookmarkStart w:id="527" w:name="_Toc10651"/>
      <w:bookmarkStart w:id="528" w:name="_Toc1192"/>
      <w:bookmarkStart w:id="529" w:name="_Toc25036"/>
      <w:bookmarkStart w:id="530" w:name="_Toc4102"/>
      <w:bookmarkStart w:id="531" w:name="_Toc16550"/>
      <w:bookmarkStart w:id="532" w:name="_Toc18417"/>
      <w:r>
        <w:rPr>
          <w:rFonts w:hint="default" w:ascii="Times New Roman" w:hAnsi="Times New Roman" w:cs="Times New Roman"/>
          <w:snapToGrid w:val="0"/>
          <w:color w:val="auto"/>
          <w:sz w:val="32"/>
          <w:highlight w:val="none"/>
          <w:lang w:val="en-US" w:eastAsia="zh-CN"/>
        </w:rPr>
        <w:t>第二节</w:t>
      </w:r>
      <w:bookmarkEnd w:id="524"/>
      <w:bookmarkEnd w:id="525"/>
      <w:bookmarkEnd w:id="526"/>
      <w:bookmarkEnd w:id="527"/>
      <w:r>
        <w:rPr>
          <w:rFonts w:hint="default" w:ascii="Times New Roman" w:hAnsi="Times New Roman" w:cs="Times New Roman"/>
          <w:snapToGrid w:val="0"/>
          <w:color w:val="auto"/>
          <w:sz w:val="32"/>
          <w:highlight w:val="none"/>
          <w:lang w:val="en-US" w:eastAsia="zh-CN"/>
        </w:rPr>
        <w:t xml:space="preserve"> 健全规划实施保障机制</w:t>
      </w:r>
      <w:bookmarkEnd w:id="528"/>
      <w:bookmarkEnd w:id="529"/>
      <w:bookmarkEnd w:id="530"/>
      <w:bookmarkEnd w:id="531"/>
      <w:bookmarkEnd w:id="532"/>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强化规划组织实施。</w:t>
      </w:r>
      <w:r>
        <w:rPr>
          <w:rFonts w:hint="default" w:ascii="Times New Roman" w:hAnsi="Times New Roman" w:eastAsia="仿宋_GB2312" w:cs="Times New Roman"/>
          <w:color w:val="auto"/>
          <w:sz w:val="32"/>
          <w:szCs w:val="32"/>
          <w:highlight w:val="none"/>
          <w:lang w:val="en-US" w:eastAsia="zh-CN"/>
        </w:rPr>
        <w:t>健全以发展规划为统领，空间规划为基础，专项规划和区域规划为支撑的统一规划体系，细化落实国家、省、市发展规划各项战略任务。建立完善目录清单、衔接审核、实施备案、评估督导等管理制度，同步研究、同步部署、同步编制各领域专项规划。强化各类规划、年度计划等与发展规划衔接协调，形成“长期战略—发展规划—年度计划”的体系化推进和落实机制。加强各类政策与规划实施衔接协调，财政、金融、土地、人才、消费等政策向发展规划确定的重大任务倾斜。</w:t>
      </w:r>
    </w:p>
    <w:p>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bookmarkStart w:id="533" w:name="_Toc12739"/>
      <w:bookmarkStart w:id="534" w:name="_Toc30382"/>
      <w:bookmarkStart w:id="535" w:name="_Toc24170"/>
      <w:bookmarkStart w:id="536" w:name="_Toc22561"/>
      <w:r>
        <w:rPr>
          <w:rFonts w:hint="default" w:ascii="Times New Roman" w:hAnsi="Times New Roman" w:eastAsia="楷体_GB2312" w:cs="Times New Roman"/>
          <w:b w:val="0"/>
          <w:bCs w:val="0"/>
          <w:snapToGrid/>
          <w:color w:val="auto"/>
          <w:sz w:val="32"/>
          <w:szCs w:val="32"/>
          <w:highlight w:val="none"/>
          <w:lang w:val="en-US" w:eastAsia="zh-CN"/>
        </w:rPr>
        <w:t>强化重大项目支撑</w:t>
      </w:r>
      <w:bookmarkEnd w:id="533"/>
      <w:bookmarkEnd w:id="534"/>
      <w:bookmarkEnd w:id="535"/>
      <w:bookmarkEnd w:id="536"/>
      <w:r>
        <w:rPr>
          <w:rFonts w:hint="default" w:ascii="Times New Roman" w:hAnsi="Times New Roman" w:eastAsia="楷体_GB2312" w:cs="Times New Roman"/>
          <w:b w:val="0"/>
          <w:bCs w:val="0"/>
          <w:snapToGrid/>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聚焦事关长远发展的重大战略、具有全局影响的重大政策、支撑高质量发展的重大工程谋划实施一批重点项目，确保项目与规划纲要和各专项规划深度衔接，推动规划项目布局与要素保障、资源环境、基础设施条件相匹配。强化“项目跟着规划走”“要素跟着项目走”，健全分年度重大项目储备库制度，科学谋划、滚动实施、梯次推进。创新完善重大项目提级会商、精准服务和跟踪推进办法，以“有解思维”“店小二思维”服务项目高质量建设。</w:t>
      </w:r>
    </w:p>
    <w:p>
      <w:pPr>
        <w:pStyle w:val="3"/>
        <w:keepNext w:val="0"/>
        <w:keepLines w:val="0"/>
        <w:pageBreakBefore w:val="0"/>
        <w:widowControl w:val="0"/>
        <w:kinsoku/>
        <w:wordWrap/>
        <w:overflowPunct/>
        <w:topLinePunct w:val="0"/>
        <w:autoSpaceDE/>
        <w:autoSpaceDN/>
        <w:bidi w:val="0"/>
        <w:spacing w:before="50" w:beforeLines="50" w:beforeAutospacing="0" w:after="50" w:afterLines="50" w:afterAutospacing="0" w:line="570" w:lineRule="exact"/>
        <w:ind w:firstLine="0" w:firstLineChars="0"/>
        <w:textAlignment w:val="auto"/>
        <w:outlineLvl w:val="0"/>
        <w:rPr>
          <w:rFonts w:hint="default" w:ascii="Times New Roman" w:hAnsi="Times New Roman" w:cs="Times New Roman"/>
          <w:snapToGrid w:val="0"/>
          <w:color w:val="auto"/>
          <w:sz w:val="32"/>
          <w:highlight w:val="none"/>
          <w:lang w:val="en-US" w:eastAsia="zh-CN"/>
        </w:rPr>
      </w:pPr>
      <w:bookmarkStart w:id="537" w:name="_Toc26614"/>
      <w:bookmarkStart w:id="538" w:name="_Toc28620"/>
      <w:bookmarkStart w:id="539" w:name="_Toc13141"/>
      <w:bookmarkStart w:id="540" w:name="_Toc26941"/>
      <w:bookmarkStart w:id="541" w:name="_Toc22106"/>
      <w:bookmarkStart w:id="542" w:name="_Toc1439"/>
      <w:bookmarkStart w:id="543" w:name="_Toc23268"/>
      <w:bookmarkStart w:id="544" w:name="_Toc13602"/>
      <w:bookmarkStart w:id="545" w:name="_Toc31923"/>
      <w:r>
        <w:rPr>
          <w:rFonts w:hint="default" w:ascii="Times New Roman" w:hAnsi="Times New Roman" w:cs="Times New Roman"/>
          <w:snapToGrid w:val="0"/>
          <w:color w:val="auto"/>
          <w:sz w:val="32"/>
          <w:highlight w:val="none"/>
          <w:lang w:val="en-US" w:eastAsia="zh-CN"/>
        </w:rPr>
        <w:t>第三节 加强规划实施监督</w:t>
      </w:r>
      <w:bookmarkEnd w:id="537"/>
      <w:bookmarkEnd w:id="538"/>
      <w:bookmarkEnd w:id="539"/>
      <w:bookmarkEnd w:id="540"/>
      <w:r>
        <w:rPr>
          <w:rFonts w:hint="default" w:ascii="Times New Roman" w:hAnsi="Times New Roman" w:cs="Times New Roman"/>
          <w:snapToGrid w:val="0"/>
          <w:color w:val="auto"/>
          <w:sz w:val="32"/>
          <w:highlight w:val="none"/>
          <w:lang w:val="en-US" w:eastAsia="zh-CN"/>
        </w:rPr>
        <w:t>评估</w:t>
      </w:r>
      <w:bookmarkEnd w:id="541"/>
      <w:bookmarkEnd w:id="542"/>
      <w:bookmarkEnd w:id="543"/>
      <w:bookmarkEnd w:id="544"/>
      <w:bookmarkEnd w:id="545"/>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完善规划评估机制</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健全规划实施评估、跟踪、预警联动机制，制定实施方案、重点领域行动计划和年度计划，设置年度目标并做好年度间综合平衡。落实目标责任，发挥考核“指挥棒”作用，将实施情况纳入各部门综合评价和高质量发展年度考核。坚持政府自我评估和社会第三方评估相结合，形成“政府主导、社会参与、协同推进”的规划实施格局，健全年度监测分析、中期评估、总结评估的全过程动态评估体系。</w:t>
      </w:r>
    </w:p>
    <w:p>
      <w:pPr>
        <w:pStyle w:val="9"/>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动员全社会参与。</w:t>
      </w:r>
      <w:r>
        <w:rPr>
          <w:rFonts w:hint="default" w:ascii="Times New Roman" w:hAnsi="Times New Roman" w:eastAsia="仿宋_GB2312" w:cs="Times New Roman"/>
          <w:color w:val="auto"/>
          <w:sz w:val="32"/>
          <w:szCs w:val="32"/>
          <w:highlight w:val="none"/>
          <w:lang w:val="en-US" w:eastAsia="zh-CN"/>
        </w:rPr>
        <w:t>加强规划宣传，广泛征求人大代表、政协委员和社会各界人士对规划实施的意见和建议，健全政府与企业、市民的信息沟通和交流机制，发挥新闻媒体、群众社团的桥梁和监督作用，提高规划实施的民主化程度和透明度。贯彻尊重劳动、尊重知识、尊重人才、尊重创造的方针，充分调动全社会投身中国式现代化乳山实践的积极性主动性创造性，形成人尽其才、才尽其用、万众一心、勠力进取的生动局面。</w:t>
      </w:r>
    </w:p>
    <w:p>
      <w:pPr>
        <w:pStyle w:val="27"/>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i w:val="0"/>
          <w:iCs w:val="0"/>
          <w:caps w:val="0"/>
          <w:color w:val="auto"/>
          <w:spacing w:val="0"/>
          <w:kern w:val="2"/>
          <w:sz w:val="32"/>
          <w:szCs w:val="32"/>
          <w:highlight w:val="none"/>
          <w:shd w:val="clear" w:fill="auto"/>
        </w:rPr>
      </w:pPr>
      <w:r>
        <w:rPr>
          <w:rFonts w:hint="default" w:ascii="Times New Roman" w:hAnsi="Times New Roman" w:eastAsia="仿宋_GB2312" w:cs="Times New Roman"/>
          <w:i w:val="0"/>
          <w:iCs w:val="0"/>
          <w:caps w:val="0"/>
          <w:color w:val="auto"/>
          <w:spacing w:val="0"/>
          <w:kern w:val="2"/>
          <w:sz w:val="32"/>
          <w:szCs w:val="32"/>
          <w:highlight w:val="none"/>
          <w:shd w:val="clear" w:fill="auto"/>
          <w:lang w:eastAsia="zh-CN"/>
        </w:rPr>
        <w:t>“</w:t>
      </w:r>
      <w:r>
        <w:rPr>
          <w:rFonts w:hint="default" w:ascii="Times New Roman" w:hAnsi="Times New Roman" w:eastAsia="仿宋_GB2312" w:cs="Times New Roman"/>
          <w:i w:val="0"/>
          <w:iCs w:val="0"/>
          <w:caps w:val="0"/>
          <w:color w:val="auto"/>
          <w:spacing w:val="0"/>
          <w:kern w:val="2"/>
          <w:sz w:val="32"/>
          <w:szCs w:val="32"/>
          <w:highlight w:val="none"/>
          <w:shd w:val="clear" w:fill="auto"/>
        </w:rPr>
        <w:t>十五五</w:t>
      </w:r>
      <w:r>
        <w:rPr>
          <w:rFonts w:hint="default" w:ascii="Times New Roman" w:hAnsi="Times New Roman" w:eastAsia="仿宋_GB2312" w:cs="Times New Roman"/>
          <w:i w:val="0"/>
          <w:iCs w:val="0"/>
          <w:caps w:val="0"/>
          <w:color w:val="auto"/>
          <w:spacing w:val="0"/>
          <w:kern w:val="2"/>
          <w:sz w:val="32"/>
          <w:szCs w:val="32"/>
          <w:highlight w:val="none"/>
          <w:shd w:val="clear" w:fill="auto"/>
          <w:lang w:eastAsia="zh-CN"/>
        </w:rPr>
        <w:t>”</w:t>
      </w:r>
      <w:r>
        <w:rPr>
          <w:rFonts w:hint="default" w:ascii="Times New Roman" w:hAnsi="Times New Roman" w:eastAsia="仿宋_GB2312" w:cs="Times New Roman"/>
          <w:i w:val="0"/>
          <w:iCs w:val="0"/>
          <w:caps w:val="0"/>
          <w:color w:val="auto"/>
          <w:spacing w:val="0"/>
          <w:kern w:val="2"/>
          <w:sz w:val="32"/>
          <w:szCs w:val="32"/>
          <w:highlight w:val="none"/>
          <w:shd w:val="clear" w:fill="auto"/>
        </w:rPr>
        <w:t>时期是乳山市在基本实现社会主义现代化进程中夯实基础、全面发力的关键五年，更是实现跨越式发展的战略窗口期。全市需围绕</w:t>
      </w:r>
      <w:r>
        <w:rPr>
          <w:rFonts w:hint="default" w:ascii="Times New Roman" w:hAnsi="Times New Roman" w:eastAsia="仿宋_GB2312" w:cs="Times New Roman"/>
          <w:i w:val="0"/>
          <w:iCs w:val="0"/>
          <w:caps w:val="0"/>
          <w:color w:val="auto"/>
          <w:spacing w:val="0"/>
          <w:kern w:val="2"/>
          <w:sz w:val="32"/>
          <w:szCs w:val="32"/>
          <w:highlight w:val="none"/>
          <w:shd w:val="clear" w:fill="auto"/>
          <w:lang w:val="en-US" w:eastAsia="zh-CN"/>
        </w:rPr>
        <w:t>纲要确定的</w:t>
      </w:r>
      <w:r>
        <w:rPr>
          <w:rFonts w:hint="default" w:ascii="Times New Roman" w:hAnsi="Times New Roman" w:eastAsia="仿宋_GB2312" w:cs="Times New Roman"/>
          <w:i w:val="0"/>
          <w:iCs w:val="0"/>
          <w:caps w:val="0"/>
          <w:color w:val="auto"/>
          <w:spacing w:val="0"/>
          <w:kern w:val="2"/>
          <w:sz w:val="32"/>
          <w:szCs w:val="32"/>
          <w:highlight w:val="none"/>
          <w:shd w:val="clear" w:fill="auto"/>
          <w:lang w:eastAsia="zh-CN"/>
        </w:rPr>
        <w:t>“</w:t>
      </w:r>
      <w:r>
        <w:rPr>
          <w:rFonts w:hint="default" w:ascii="Times New Roman" w:hAnsi="Times New Roman" w:eastAsia="仿宋_GB2312" w:cs="Times New Roman"/>
          <w:i w:val="0"/>
          <w:iCs w:val="0"/>
          <w:caps w:val="0"/>
          <w:color w:val="auto"/>
          <w:spacing w:val="0"/>
          <w:kern w:val="2"/>
          <w:sz w:val="32"/>
          <w:szCs w:val="32"/>
          <w:highlight w:val="none"/>
          <w:shd w:val="clear" w:fill="auto"/>
          <w:lang w:val="en-US" w:eastAsia="zh-CN"/>
        </w:rPr>
        <w:t>坚持以绿色低碳、和美宜居为引领，加快打造新能源产业高质量发展先行区、滨海旅居康养目的地，推动经济实现质的有效提升和量的合理增长，努力成为区域经济新的增长极</w:t>
      </w:r>
      <w:r>
        <w:rPr>
          <w:rFonts w:hint="default" w:ascii="Times New Roman" w:hAnsi="Times New Roman" w:eastAsia="仿宋_GB2312" w:cs="Times New Roman"/>
          <w:i w:val="0"/>
          <w:iCs w:val="0"/>
          <w:caps w:val="0"/>
          <w:color w:val="auto"/>
          <w:spacing w:val="0"/>
          <w:kern w:val="2"/>
          <w:sz w:val="32"/>
          <w:szCs w:val="32"/>
          <w:highlight w:val="none"/>
          <w:shd w:val="clear" w:fill="auto"/>
          <w:lang w:eastAsia="zh-CN"/>
        </w:rPr>
        <w:t>”</w:t>
      </w:r>
      <w:r>
        <w:rPr>
          <w:rFonts w:hint="default" w:ascii="Times New Roman" w:hAnsi="Times New Roman" w:eastAsia="仿宋_GB2312" w:cs="Times New Roman"/>
          <w:i w:val="0"/>
          <w:iCs w:val="0"/>
          <w:caps w:val="0"/>
          <w:color w:val="auto"/>
          <w:spacing w:val="0"/>
          <w:kern w:val="2"/>
          <w:sz w:val="32"/>
          <w:szCs w:val="32"/>
          <w:highlight w:val="none"/>
          <w:shd w:val="clear" w:fill="auto"/>
        </w:rPr>
        <w:t>定位，以钉钉子精神狠抓任务落地，牢牢把握</w:t>
      </w:r>
      <w:r>
        <w:rPr>
          <w:rFonts w:hint="default" w:ascii="Times New Roman" w:hAnsi="Times New Roman" w:eastAsia="仿宋_GB2312" w:cs="Times New Roman"/>
          <w:i w:val="0"/>
          <w:iCs w:val="0"/>
          <w:caps w:val="0"/>
          <w:color w:val="auto"/>
          <w:spacing w:val="0"/>
          <w:kern w:val="2"/>
          <w:sz w:val="32"/>
          <w:szCs w:val="32"/>
          <w:highlight w:val="none"/>
          <w:shd w:val="clear" w:fill="auto"/>
          <w:lang w:eastAsia="zh-CN"/>
        </w:rPr>
        <w:t>统筹发展和安全</w:t>
      </w:r>
      <w:r>
        <w:rPr>
          <w:rFonts w:hint="default" w:ascii="Times New Roman" w:hAnsi="Times New Roman" w:eastAsia="仿宋_GB2312" w:cs="Times New Roman"/>
          <w:i w:val="0"/>
          <w:iCs w:val="0"/>
          <w:caps w:val="0"/>
          <w:color w:val="auto"/>
          <w:spacing w:val="0"/>
          <w:kern w:val="2"/>
          <w:sz w:val="32"/>
          <w:szCs w:val="32"/>
          <w:highlight w:val="none"/>
          <w:shd w:val="clear" w:fill="auto"/>
        </w:rPr>
        <w:t>重要原则，主动识变应变求变</w:t>
      </w:r>
      <w:r>
        <w:rPr>
          <w:rFonts w:hint="default" w:ascii="Times New Roman" w:hAnsi="Times New Roman" w:eastAsia="仿宋_GB2312" w:cs="Times New Roman"/>
          <w:i w:val="0"/>
          <w:iCs w:val="0"/>
          <w:caps w:val="0"/>
          <w:color w:val="auto"/>
          <w:spacing w:val="0"/>
          <w:kern w:val="2"/>
          <w:sz w:val="32"/>
          <w:szCs w:val="32"/>
          <w:highlight w:val="none"/>
          <w:shd w:val="clear" w:fill="auto"/>
          <w:lang w:eastAsia="zh-CN"/>
        </w:rPr>
        <w:t>，</w:t>
      </w:r>
      <w:r>
        <w:rPr>
          <w:rFonts w:hint="default" w:ascii="Times New Roman" w:hAnsi="Times New Roman" w:eastAsia="仿宋_GB2312" w:cs="Times New Roman"/>
          <w:i w:val="0"/>
          <w:iCs w:val="0"/>
          <w:caps w:val="0"/>
          <w:color w:val="auto"/>
          <w:spacing w:val="0"/>
          <w:kern w:val="2"/>
          <w:sz w:val="32"/>
          <w:szCs w:val="32"/>
          <w:highlight w:val="none"/>
          <w:shd w:val="clear" w:fill="auto"/>
        </w:rPr>
        <w:t>以高质量发展的确定性应对各类风险挑战，推动经济社会发展全面绿色转型</w:t>
      </w:r>
      <w:r>
        <w:rPr>
          <w:rFonts w:hint="default" w:ascii="Times New Roman" w:hAnsi="Times New Roman" w:eastAsia="仿宋_GB2312" w:cs="Times New Roman"/>
          <w:i w:val="0"/>
          <w:iCs w:val="0"/>
          <w:caps w:val="0"/>
          <w:color w:val="auto"/>
          <w:spacing w:val="0"/>
          <w:kern w:val="2"/>
          <w:sz w:val="32"/>
          <w:szCs w:val="32"/>
          <w:highlight w:val="none"/>
          <w:shd w:val="clear" w:fill="auto"/>
          <w:lang w:eastAsia="zh-CN"/>
        </w:rPr>
        <w:t>，</w:t>
      </w:r>
      <w:r>
        <w:rPr>
          <w:rFonts w:hint="default" w:ascii="Times New Roman" w:hAnsi="Times New Roman" w:eastAsia="仿宋_GB2312" w:cs="Times New Roman"/>
          <w:i w:val="0"/>
          <w:iCs w:val="0"/>
          <w:caps w:val="0"/>
          <w:color w:val="auto"/>
          <w:spacing w:val="0"/>
          <w:kern w:val="2"/>
          <w:sz w:val="32"/>
          <w:szCs w:val="32"/>
          <w:highlight w:val="none"/>
          <w:shd w:val="clear" w:fill="auto"/>
          <w:lang w:val="en-US" w:eastAsia="zh-CN"/>
        </w:rPr>
        <w:t>不断</w:t>
      </w:r>
      <w:r>
        <w:rPr>
          <w:rFonts w:hint="default" w:ascii="Times New Roman" w:hAnsi="Times New Roman" w:eastAsia="仿宋_GB2312" w:cs="Times New Roman"/>
          <w:i w:val="0"/>
          <w:iCs w:val="0"/>
          <w:caps w:val="0"/>
          <w:color w:val="auto"/>
          <w:spacing w:val="0"/>
          <w:kern w:val="2"/>
          <w:sz w:val="32"/>
          <w:szCs w:val="32"/>
          <w:highlight w:val="none"/>
          <w:shd w:val="clear" w:fill="auto"/>
        </w:rPr>
        <w:t>谱写中国式现代化乳山实践新篇章。</w:t>
      </w:r>
    </w:p>
    <w:p>
      <w:pPr>
        <w:pStyle w:val="27"/>
        <w:keepNext w:val="0"/>
        <w:keepLines w:val="0"/>
        <w:pageBreakBefore w:val="0"/>
        <w:widowControl w:val="0"/>
        <w:kinsoku/>
        <w:wordWrap/>
        <w:overflowPunct/>
        <w:topLinePunct w:val="0"/>
        <w:autoSpaceDE/>
        <w:autoSpaceDN/>
        <w:bidi w:val="0"/>
        <w:spacing w:line="570" w:lineRule="exact"/>
        <w:textAlignment w:val="auto"/>
        <w:rPr>
          <w:rFonts w:hint="default" w:ascii="Times New Roman" w:hAnsi="Times New Roman" w:eastAsia="仿宋_GB2312" w:cs="Times New Roman"/>
          <w:i w:val="0"/>
          <w:iCs w:val="0"/>
          <w:caps w:val="0"/>
          <w:color w:val="auto"/>
          <w:spacing w:val="0"/>
          <w:kern w:val="2"/>
          <w:sz w:val="32"/>
          <w:szCs w:val="32"/>
          <w:highlight w:val="none"/>
          <w:shd w:val="clear" w:fill="auto"/>
        </w:rPr>
      </w:pPr>
    </w:p>
    <w:p>
      <w:pPr>
        <w:pStyle w:val="27"/>
        <w:keepNext w:val="0"/>
        <w:keepLines w:val="0"/>
        <w:pageBreakBefore w:val="0"/>
        <w:widowControl w:val="0"/>
        <w:kinsoku/>
        <w:wordWrap/>
        <w:overflowPunct/>
        <w:topLinePunct w:val="0"/>
        <w:autoSpaceDE/>
        <w:autoSpaceDN/>
        <w:bidi w:val="0"/>
        <w:spacing w:line="570" w:lineRule="exact"/>
        <w:textAlignment w:val="auto"/>
        <w:rPr>
          <w:rFonts w:hint="default" w:ascii="Times New Roman" w:hAnsi="Times New Roman" w:eastAsia="仿宋_GB2312" w:cs="Times New Roman"/>
          <w:i w:val="0"/>
          <w:iCs w:val="0"/>
          <w:caps w:val="0"/>
          <w:color w:val="auto"/>
          <w:spacing w:val="0"/>
          <w:kern w:val="2"/>
          <w:sz w:val="32"/>
          <w:szCs w:val="32"/>
          <w:highlight w:val="none"/>
          <w:shd w:val="clear" w:fill="auto"/>
        </w:rPr>
      </w:pPr>
    </w:p>
    <w:p>
      <w:pPr>
        <w:pStyle w:val="27"/>
        <w:keepNext w:val="0"/>
        <w:keepLines w:val="0"/>
        <w:pageBreakBefore w:val="0"/>
        <w:widowControl w:val="0"/>
        <w:kinsoku/>
        <w:wordWrap/>
        <w:overflowPunct/>
        <w:topLinePunct w:val="0"/>
        <w:autoSpaceDE/>
        <w:autoSpaceDN/>
        <w:bidi w:val="0"/>
        <w:spacing w:line="570" w:lineRule="exact"/>
        <w:textAlignment w:val="auto"/>
        <w:rPr>
          <w:rFonts w:hint="default" w:ascii="Times New Roman" w:hAnsi="Times New Roman" w:eastAsia="仿宋_GB2312" w:cs="Times New Roman"/>
          <w:i w:val="0"/>
          <w:iCs w:val="0"/>
          <w:caps w:val="0"/>
          <w:color w:val="auto"/>
          <w:spacing w:val="0"/>
          <w:kern w:val="2"/>
          <w:sz w:val="32"/>
          <w:szCs w:val="32"/>
          <w:highlight w:val="none"/>
          <w:shd w:val="clear" w:fill="auto"/>
        </w:rPr>
      </w:pPr>
    </w:p>
    <w:p>
      <w:pPr>
        <w:pStyle w:val="27"/>
        <w:keepNext w:val="0"/>
        <w:keepLines w:val="0"/>
        <w:pageBreakBefore w:val="0"/>
        <w:widowControl w:val="0"/>
        <w:kinsoku/>
        <w:wordWrap/>
        <w:overflowPunct/>
        <w:topLinePunct w:val="0"/>
        <w:autoSpaceDE/>
        <w:autoSpaceDN/>
        <w:bidi w:val="0"/>
        <w:spacing w:line="570" w:lineRule="exact"/>
        <w:textAlignment w:val="auto"/>
        <w:rPr>
          <w:rFonts w:hint="default" w:ascii="Times New Roman" w:hAnsi="Times New Roman" w:eastAsia="仿宋_GB2312" w:cs="Times New Roman"/>
          <w:i w:val="0"/>
          <w:iCs w:val="0"/>
          <w:caps w:val="0"/>
          <w:color w:val="auto"/>
          <w:spacing w:val="0"/>
          <w:kern w:val="2"/>
          <w:sz w:val="32"/>
          <w:szCs w:val="32"/>
          <w:highlight w:val="none"/>
          <w:shd w:val="clear" w:fill="auto"/>
        </w:rPr>
      </w:pPr>
    </w:p>
    <w:p>
      <w:pPr>
        <w:pStyle w:val="27"/>
        <w:keepNext w:val="0"/>
        <w:keepLines w:val="0"/>
        <w:pageBreakBefore w:val="0"/>
        <w:widowControl w:val="0"/>
        <w:kinsoku/>
        <w:wordWrap/>
        <w:overflowPunct/>
        <w:topLinePunct w:val="0"/>
        <w:autoSpaceDE/>
        <w:autoSpaceDN/>
        <w:bidi w:val="0"/>
        <w:spacing w:line="570" w:lineRule="exact"/>
        <w:textAlignment w:val="auto"/>
        <w:rPr>
          <w:rFonts w:hint="default" w:ascii="Times New Roman" w:hAnsi="Times New Roman" w:eastAsia="仿宋_GB2312" w:cs="Times New Roman"/>
          <w:i w:val="0"/>
          <w:iCs w:val="0"/>
          <w:caps w:val="0"/>
          <w:color w:val="auto"/>
          <w:spacing w:val="0"/>
          <w:kern w:val="2"/>
          <w:sz w:val="32"/>
          <w:szCs w:val="32"/>
          <w:highlight w:val="none"/>
          <w:shd w:val="clear" w:fill="auto"/>
        </w:rPr>
      </w:pPr>
    </w:p>
    <w:p>
      <w:pPr>
        <w:adjustRightInd w:val="0"/>
        <w:snapToGrid w:val="0"/>
        <w:spacing w:line="580" w:lineRule="exact"/>
        <w:rPr>
          <w:rFonts w:hint="default" w:ascii="Times New Roman" w:hAnsi="Times New Roman" w:eastAsia="楷体_GB2312" w:cs="Times New Roman"/>
          <w:color w:val="000000"/>
          <w:sz w:val="32"/>
          <w:szCs w:val="32"/>
        </w:rPr>
      </w:pPr>
      <w:bookmarkStart w:id="546" w:name="_GoBack"/>
      <w:bookmarkEnd w:id="546"/>
    </w:p>
    <w:p>
      <w:pPr>
        <w:adjustRightInd w:val="0"/>
        <w:snapToGrid w:val="0"/>
        <w:spacing w:line="580" w:lineRule="exact"/>
        <w:ind w:firstLine="640" w:firstLineChars="200"/>
        <w:rPr>
          <w:rFonts w:hint="default" w:ascii="Times New Roman" w:hAnsi="Times New Roman" w:eastAsia="楷体_GB2312" w:cs="Times New Roman"/>
          <w:color w:val="000000"/>
          <w:sz w:val="32"/>
          <w:szCs w:val="32"/>
        </w:rPr>
      </w:pPr>
    </w:p>
    <w:p>
      <w:pPr>
        <w:adjustRightInd w:val="0"/>
        <w:snapToGrid w:val="0"/>
        <w:spacing w:line="580" w:lineRule="exact"/>
        <w:ind w:firstLine="640" w:firstLineChars="200"/>
        <w:rPr>
          <w:rFonts w:hint="default" w:ascii="Times New Roman" w:hAnsi="Times New Roman" w:eastAsia="楷体_GB2312" w:cs="Times New Roman"/>
          <w:color w:val="000000"/>
          <w:sz w:val="32"/>
          <w:szCs w:val="32"/>
        </w:rPr>
      </w:pPr>
    </w:p>
    <w:p>
      <w:pPr>
        <w:adjustRightInd w:val="0"/>
        <w:snapToGrid w:val="0"/>
        <w:spacing w:line="580" w:lineRule="exact"/>
        <w:ind w:firstLine="640" w:firstLineChars="200"/>
        <w:rPr>
          <w:rFonts w:hint="default" w:ascii="Times New Roman" w:hAnsi="Times New Roman" w:eastAsia="楷体_GB2312" w:cs="Times New Roman"/>
          <w:color w:val="000000"/>
          <w:sz w:val="32"/>
          <w:szCs w:val="32"/>
        </w:rPr>
      </w:pPr>
    </w:p>
    <w:p>
      <w:pPr>
        <w:snapToGrid w:val="0"/>
        <w:spacing w:line="20" w:lineRule="exact"/>
        <w:ind w:firstLine="560"/>
        <w:rPr>
          <w:rFonts w:hint="default" w:ascii="Times New Roman" w:hAnsi="Times New Roman" w:eastAsia="仿宋_GB2312" w:cs="Times New Roman"/>
          <w:color w:val="000000"/>
        </w:rPr>
      </w:pPr>
    </w:p>
    <w:p>
      <w:pPr>
        <w:spacing w:line="40" w:lineRule="exact"/>
        <w:ind w:firstLine="640" w:firstLineChars="200"/>
        <w:jc w:val="center"/>
        <w:rPr>
          <w:rFonts w:hint="default" w:ascii="Times New Roman" w:hAnsi="Times New Roman" w:eastAsia="仿宋_GB2312" w:cs="Times New Roman"/>
          <w:color w:val="000000"/>
          <w:sz w:val="32"/>
          <w:szCs w:val="32"/>
        </w:rPr>
      </w:pPr>
    </w:p>
    <w:p>
      <w:pPr>
        <w:tabs>
          <w:tab w:val="left" w:pos="0"/>
        </w:tabs>
        <w:spacing w:line="20" w:lineRule="exact"/>
        <w:rPr>
          <w:rFonts w:hint="default" w:ascii="Times New Roman" w:hAnsi="Times New Roman" w:eastAsia="仿宋_GB2312" w:cs="Times New Roman"/>
          <w:bCs/>
          <w:color w:val="000000"/>
          <w:spacing w:val="-6"/>
          <w:sz w:val="32"/>
          <w:szCs w:val="32"/>
        </w:rPr>
      </w:pPr>
    </w:p>
    <w:p>
      <w:pPr>
        <w:pStyle w:val="9"/>
        <w:spacing w:after="0" w:line="20" w:lineRule="exact"/>
        <w:rPr>
          <w:rFonts w:hint="default" w:ascii="Times New Roman" w:hAnsi="Times New Roman" w:cs="Times New Roman"/>
          <w:color w:val="000000"/>
        </w:rPr>
      </w:pPr>
    </w:p>
    <w:p>
      <w:pPr>
        <w:spacing w:line="20" w:lineRule="exact"/>
        <w:ind w:firstLine="640" w:firstLineChars="200"/>
        <w:rPr>
          <w:rFonts w:hint="default" w:ascii="Times New Roman" w:hAnsi="Times New Roman" w:eastAsia="仿宋_GB2312" w:cs="Times New Roman"/>
          <w:sz w:val="32"/>
          <w:szCs w:val="32"/>
        </w:rPr>
      </w:pPr>
    </w:p>
    <w:p>
      <w:pPr>
        <w:pStyle w:val="27"/>
        <w:keepNext w:val="0"/>
        <w:keepLines w:val="0"/>
        <w:pageBreakBefore w:val="0"/>
        <w:widowControl w:val="0"/>
        <w:kinsoku/>
        <w:wordWrap/>
        <w:overflowPunct/>
        <w:topLinePunct w:val="0"/>
        <w:autoSpaceDE/>
        <w:autoSpaceDN/>
        <w:bidi w:val="0"/>
        <w:adjustRightInd/>
        <w:snapToGrid/>
        <w:spacing w:line="20" w:lineRule="exact"/>
        <w:ind w:left="0" w:leftChars="0" w:firstLine="0" w:firstLineChars="0"/>
        <w:textAlignment w:val="auto"/>
        <w:rPr>
          <w:rFonts w:hint="default" w:ascii="Times New Roman" w:hAnsi="Times New Roman" w:eastAsia="仿宋_GB2312" w:cs="Times New Roman"/>
          <w:i w:val="0"/>
          <w:iCs w:val="0"/>
          <w:caps w:val="0"/>
          <w:color w:val="auto"/>
          <w:spacing w:val="0"/>
          <w:kern w:val="2"/>
          <w:sz w:val="32"/>
          <w:szCs w:val="32"/>
          <w:highlight w:val="none"/>
          <w:shd w:val="clear" w:fill="auto"/>
          <w:lang w:val="en-US" w:eastAsia="zh-CN"/>
        </w:rPr>
      </w:pPr>
    </w:p>
    <w:sectPr>
      <w:footerReference r:id="rId11" w:type="default"/>
      <w:footerReference r:id="rId12" w:type="even"/>
      <w:pgSz w:w="11906" w:h="16838"/>
      <w:pgMar w:top="2098" w:right="1531" w:bottom="1984" w:left="1531" w:header="851" w:footer="153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
    <w:altName w:val="宋体"/>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汉仪魏碑简">
    <w:panose1 w:val="02010609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A00002BF" w:usb1="38CF7CFA" w:usb2="00082016" w:usb3="00000000" w:csb0="00040001"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eastAsia="宋体"/>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eastAsia="宋体"/>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eastAsia="宋体"/>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eastAsia="宋体"/>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evenAndOddHeaders w:val="true"/>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iNjZlZDZmYjQzZDlmNzU0YTEzNTgwMWM4MWMwMTUifQ=="/>
  </w:docVars>
  <w:rsids>
    <w:rsidRoot w:val="00000000"/>
    <w:rsid w:val="00013654"/>
    <w:rsid w:val="00043144"/>
    <w:rsid w:val="000C7FD5"/>
    <w:rsid w:val="000F0002"/>
    <w:rsid w:val="003532FE"/>
    <w:rsid w:val="00362EE2"/>
    <w:rsid w:val="003A4DB8"/>
    <w:rsid w:val="003F227D"/>
    <w:rsid w:val="0043307A"/>
    <w:rsid w:val="00473031"/>
    <w:rsid w:val="004C0647"/>
    <w:rsid w:val="005714C6"/>
    <w:rsid w:val="005C1A26"/>
    <w:rsid w:val="007943A7"/>
    <w:rsid w:val="007B1343"/>
    <w:rsid w:val="008140A7"/>
    <w:rsid w:val="00814795"/>
    <w:rsid w:val="009D3880"/>
    <w:rsid w:val="00AF7125"/>
    <w:rsid w:val="00B36284"/>
    <w:rsid w:val="00C77BB5"/>
    <w:rsid w:val="00C97CCC"/>
    <w:rsid w:val="00DF6E08"/>
    <w:rsid w:val="00F76805"/>
    <w:rsid w:val="00F9257D"/>
    <w:rsid w:val="01017684"/>
    <w:rsid w:val="010813C3"/>
    <w:rsid w:val="011078C7"/>
    <w:rsid w:val="01145609"/>
    <w:rsid w:val="01260D81"/>
    <w:rsid w:val="012A2737"/>
    <w:rsid w:val="012A6BDB"/>
    <w:rsid w:val="013B0DE8"/>
    <w:rsid w:val="01431A4A"/>
    <w:rsid w:val="01467425"/>
    <w:rsid w:val="014D4677"/>
    <w:rsid w:val="014F6641"/>
    <w:rsid w:val="01626374"/>
    <w:rsid w:val="0168494E"/>
    <w:rsid w:val="01722330"/>
    <w:rsid w:val="01791910"/>
    <w:rsid w:val="017B11E4"/>
    <w:rsid w:val="0192652E"/>
    <w:rsid w:val="01A96179"/>
    <w:rsid w:val="01B12E58"/>
    <w:rsid w:val="01C40DDD"/>
    <w:rsid w:val="01DB5521"/>
    <w:rsid w:val="01F01BD2"/>
    <w:rsid w:val="01F42D45"/>
    <w:rsid w:val="01F64D0F"/>
    <w:rsid w:val="01FD7E4B"/>
    <w:rsid w:val="01FF4EDD"/>
    <w:rsid w:val="020967F0"/>
    <w:rsid w:val="020B5B51"/>
    <w:rsid w:val="0233386D"/>
    <w:rsid w:val="023347C5"/>
    <w:rsid w:val="023A2E4D"/>
    <w:rsid w:val="023B48CB"/>
    <w:rsid w:val="02493090"/>
    <w:rsid w:val="025832D3"/>
    <w:rsid w:val="026D3223"/>
    <w:rsid w:val="0270061D"/>
    <w:rsid w:val="027520D7"/>
    <w:rsid w:val="02895B83"/>
    <w:rsid w:val="02924A37"/>
    <w:rsid w:val="029B0168"/>
    <w:rsid w:val="02A4476B"/>
    <w:rsid w:val="02BF390E"/>
    <w:rsid w:val="02C24BF1"/>
    <w:rsid w:val="02D07463"/>
    <w:rsid w:val="02DF57A3"/>
    <w:rsid w:val="02EB0642"/>
    <w:rsid w:val="02F05C02"/>
    <w:rsid w:val="02F72AEC"/>
    <w:rsid w:val="02FE20CD"/>
    <w:rsid w:val="03103BAE"/>
    <w:rsid w:val="03195159"/>
    <w:rsid w:val="031F2043"/>
    <w:rsid w:val="03261624"/>
    <w:rsid w:val="032C4E8C"/>
    <w:rsid w:val="032F2286"/>
    <w:rsid w:val="033227C9"/>
    <w:rsid w:val="033E4DA4"/>
    <w:rsid w:val="03546513"/>
    <w:rsid w:val="03577A2F"/>
    <w:rsid w:val="035A307B"/>
    <w:rsid w:val="03622291"/>
    <w:rsid w:val="036848F9"/>
    <w:rsid w:val="037B196F"/>
    <w:rsid w:val="039B791C"/>
    <w:rsid w:val="03A06FF4"/>
    <w:rsid w:val="03A72764"/>
    <w:rsid w:val="03BA365B"/>
    <w:rsid w:val="03CB7CE8"/>
    <w:rsid w:val="03CC21CB"/>
    <w:rsid w:val="03CF75C5"/>
    <w:rsid w:val="03DB41BC"/>
    <w:rsid w:val="03E05C76"/>
    <w:rsid w:val="041E22FB"/>
    <w:rsid w:val="04223B99"/>
    <w:rsid w:val="042711AF"/>
    <w:rsid w:val="043B2EAD"/>
    <w:rsid w:val="043C1E2E"/>
    <w:rsid w:val="043D741E"/>
    <w:rsid w:val="04544215"/>
    <w:rsid w:val="046027B8"/>
    <w:rsid w:val="046C3066"/>
    <w:rsid w:val="047E7774"/>
    <w:rsid w:val="04854128"/>
    <w:rsid w:val="04934A97"/>
    <w:rsid w:val="04D255BF"/>
    <w:rsid w:val="04D95FAF"/>
    <w:rsid w:val="04DC4690"/>
    <w:rsid w:val="04E43544"/>
    <w:rsid w:val="05061188"/>
    <w:rsid w:val="051E0804"/>
    <w:rsid w:val="052F6DDE"/>
    <w:rsid w:val="05340028"/>
    <w:rsid w:val="053F077B"/>
    <w:rsid w:val="05505DB7"/>
    <w:rsid w:val="05524952"/>
    <w:rsid w:val="055C757F"/>
    <w:rsid w:val="05671BD6"/>
    <w:rsid w:val="05760640"/>
    <w:rsid w:val="05777F14"/>
    <w:rsid w:val="05793C8D"/>
    <w:rsid w:val="058B39C0"/>
    <w:rsid w:val="05946D18"/>
    <w:rsid w:val="0599432F"/>
    <w:rsid w:val="05A52CD4"/>
    <w:rsid w:val="05A955D3"/>
    <w:rsid w:val="05BA3B18"/>
    <w:rsid w:val="05BB3177"/>
    <w:rsid w:val="05C321A6"/>
    <w:rsid w:val="05CA44E8"/>
    <w:rsid w:val="05CF31A3"/>
    <w:rsid w:val="05E10BE5"/>
    <w:rsid w:val="05E42EC1"/>
    <w:rsid w:val="05E80E12"/>
    <w:rsid w:val="05EB2EF0"/>
    <w:rsid w:val="05ED01D7"/>
    <w:rsid w:val="05F6352F"/>
    <w:rsid w:val="05F94DCD"/>
    <w:rsid w:val="06027341"/>
    <w:rsid w:val="061915D1"/>
    <w:rsid w:val="0619721E"/>
    <w:rsid w:val="062A4F87"/>
    <w:rsid w:val="062C0CFF"/>
    <w:rsid w:val="064A1761"/>
    <w:rsid w:val="0673692E"/>
    <w:rsid w:val="067B3A34"/>
    <w:rsid w:val="067D6383"/>
    <w:rsid w:val="06872F1A"/>
    <w:rsid w:val="0687687D"/>
    <w:rsid w:val="068B011B"/>
    <w:rsid w:val="06915006"/>
    <w:rsid w:val="069A3EBB"/>
    <w:rsid w:val="06A05249"/>
    <w:rsid w:val="06B807E5"/>
    <w:rsid w:val="06C4690C"/>
    <w:rsid w:val="06D00EEB"/>
    <w:rsid w:val="06D867B3"/>
    <w:rsid w:val="06DF2215"/>
    <w:rsid w:val="06F832D7"/>
    <w:rsid w:val="06F86967"/>
    <w:rsid w:val="07083D36"/>
    <w:rsid w:val="070A2DF8"/>
    <w:rsid w:val="070C181F"/>
    <w:rsid w:val="072C5257"/>
    <w:rsid w:val="073C7668"/>
    <w:rsid w:val="073D0CEA"/>
    <w:rsid w:val="07487DBA"/>
    <w:rsid w:val="074D53D1"/>
    <w:rsid w:val="075F1D09"/>
    <w:rsid w:val="07613623"/>
    <w:rsid w:val="07746E01"/>
    <w:rsid w:val="078441FF"/>
    <w:rsid w:val="07852DBD"/>
    <w:rsid w:val="078608E3"/>
    <w:rsid w:val="07871286"/>
    <w:rsid w:val="07941252"/>
    <w:rsid w:val="07A229F3"/>
    <w:rsid w:val="07AE48F9"/>
    <w:rsid w:val="07B216D8"/>
    <w:rsid w:val="07BC4304"/>
    <w:rsid w:val="07C363B5"/>
    <w:rsid w:val="07CD1FD5"/>
    <w:rsid w:val="07D206CE"/>
    <w:rsid w:val="07E13D6B"/>
    <w:rsid w:val="07ED2710"/>
    <w:rsid w:val="07EF6488"/>
    <w:rsid w:val="07F910B5"/>
    <w:rsid w:val="07FE491D"/>
    <w:rsid w:val="08114650"/>
    <w:rsid w:val="08144141"/>
    <w:rsid w:val="08161C67"/>
    <w:rsid w:val="082779D0"/>
    <w:rsid w:val="08365E65"/>
    <w:rsid w:val="084A5DB4"/>
    <w:rsid w:val="084E1F6D"/>
    <w:rsid w:val="085A292F"/>
    <w:rsid w:val="085D0A47"/>
    <w:rsid w:val="08640C24"/>
    <w:rsid w:val="0875712F"/>
    <w:rsid w:val="088210AA"/>
    <w:rsid w:val="088A61B1"/>
    <w:rsid w:val="0891753F"/>
    <w:rsid w:val="08A63489"/>
    <w:rsid w:val="08A70B11"/>
    <w:rsid w:val="08AE00F1"/>
    <w:rsid w:val="08B17BE1"/>
    <w:rsid w:val="08BD0334"/>
    <w:rsid w:val="08C67391"/>
    <w:rsid w:val="08CC4A1B"/>
    <w:rsid w:val="08D060B7"/>
    <w:rsid w:val="08D062B9"/>
    <w:rsid w:val="08D13DE0"/>
    <w:rsid w:val="08D77648"/>
    <w:rsid w:val="08E51639"/>
    <w:rsid w:val="08F16230"/>
    <w:rsid w:val="08F31FA8"/>
    <w:rsid w:val="08FA3336"/>
    <w:rsid w:val="08FD1976"/>
    <w:rsid w:val="09060CCF"/>
    <w:rsid w:val="09075A53"/>
    <w:rsid w:val="090C4E18"/>
    <w:rsid w:val="091820E7"/>
    <w:rsid w:val="09216B15"/>
    <w:rsid w:val="092812C3"/>
    <w:rsid w:val="09383E5F"/>
    <w:rsid w:val="093A1985"/>
    <w:rsid w:val="0946298D"/>
    <w:rsid w:val="095F763D"/>
    <w:rsid w:val="09672750"/>
    <w:rsid w:val="09727371"/>
    <w:rsid w:val="09931095"/>
    <w:rsid w:val="09A82D92"/>
    <w:rsid w:val="09C3197A"/>
    <w:rsid w:val="09E416E9"/>
    <w:rsid w:val="09F064E7"/>
    <w:rsid w:val="09F95531"/>
    <w:rsid w:val="09FC4E8C"/>
    <w:rsid w:val="09FE0C04"/>
    <w:rsid w:val="0A051F93"/>
    <w:rsid w:val="0A193C90"/>
    <w:rsid w:val="0A1A3B9F"/>
    <w:rsid w:val="0A2166A1"/>
    <w:rsid w:val="0A36039E"/>
    <w:rsid w:val="0A405ADE"/>
    <w:rsid w:val="0A4212FE"/>
    <w:rsid w:val="0A4725AB"/>
    <w:rsid w:val="0A481E7F"/>
    <w:rsid w:val="0A4C2D93"/>
    <w:rsid w:val="0A6842D0"/>
    <w:rsid w:val="0A7113D6"/>
    <w:rsid w:val="0A7315F2"/>
    <w:rsid w:val="0A742C74"/>
    <w:rsid w:val="0A79028B"/>
    <w:rsid w:val="0A7E3AF3"/>
    <w:rsid w:val="0A860291"/>
    <w:rsid w:val="0A8E5834"/>
    <w:rsid w:val="0A9D131E"/>
    <w:rsid w:val="0A9D21CB"/>
    <w:rsid w:val="0AB063A2"/>
    <w:rsid w:val="0AB15C77"/>
    <w:rsid w:val="0AB94B2B"/>
    <w:rsid w:val="0ABD286D"/>
    <w:rsid w:val="0ABE2142"/>
    <w:rsid w:val="0ABF65E6"/>
    <w:rsid w:val="0AD23ADB"/>
    <w:rsid w:val="0AE4604C"/>
    <w:rsid w:val="0AEE2B95"/>
    <w:rsid w:val="0AFF0DDA"/>
    <w:rsid w:val="0B0264D2"/>
    <w:rsid w:val="0B092A8A"/>
    <w:rsid w:val="0B0A5387"/>
    <w:rsid w:val="0B0E4E77"/>
    <w:rsid w:val="0B0F299D"/>
    <w:rsid w:val="0B161F7E"/>
    <w:rsid w:val="0B1A1A6E"/>
    <w:rsid w:val="0B1F5911"/>
    <w:rsid w:val="0B330D82"/>
    <w:rsid w:val="0B36513E"/>
    <w:rsid w:val="0B372380"/>
    <w:rsid w:val="0B3C0F85"/>
    <w:rsid w:val="0B4E5BBB"/>
    <w:rsid w:val="0B695F15"/>
    <w:rsid w:val="0B6EBD44"/>
    <w:rsid w:val="0B753148"/>
    <w:rsid w:val="0B8624CC"/>
    <w:rsid w:val="0B9A50A9"/>
    <w:rsid w:val="0BA80E28"/>
    <w:rsid w:val="0BAB4DBC"/>
    <w:rsid w:val="0BB176DD"/>
    <w:rsid w:val="0BCC709C"/>
    <w:rsid w:val="0BCD088E"/>
    <w:rsid w:val="0BDF6813"/>
    <w:rsid w:val="0BED7182"/>
    <w:rsid w:val="0BF027CF"/>
    <w:rsid w:val="0BF34CDF"/>
    <w:rsid w:val="0BF71DAF"/>
    <w:rsid w:val="0BF7590B"/>
    <w:rsid w:val="0BFA4F8B"/>
    <w:rsid w:val="0BFA6D89"/>
    <w:rsid w:val="0BFC1173"/>
    <w:rsid w:val="0BFE313E"/>
    <w:rsid w:val="0C0A3890"/>
    <w:rsid w:val="0C0D15D3"/>
    <w:rsid w:val="0C1618B2"/>
    <w:rsid w:val="0C197F77"/>
    <w:rsid w:val="0C1B3CF0"/>
    <w:rsid w:val="0C1C1816"/>
    <w:rsid w:val="0C1C35C4"/>
    <w:rsid w:val="0C2B34AC"/>
    <w:rsid w:val="0C3152C1"/>
    <w:rsid w:val="0C393B45"/>
    <w:rsid w:val="0C4C3EA9"/>
    <w:rsid w:val="0C6C62F9"/>
    <w:rsid w:val="0C6D2071"/>
    <w:rsid w:val="0C7927C4"/>
    <w:rsid w:val="0C871385"/>
    <w:rsid w:val="0C873133"/>
    <w:rsid w:val="0C8E4FDD"/>
    <w:rsid w:val="0CA1720F"/>
    <w:rsid w:val="0CA17BC7"/>
    <w:rsid w:val="0CA830A9"/>
    <w:rsid w:val="0CA912FB"/>
    <w:rsid w:val="0CAC2B9A"/>
    <w:rsid w:val="0CAF268A"/>
    <w:rsid w:val="0CB97065"/>
    <w:rsid w:val="0CC46135"/>
    <w:rsid w:val="0CC71781"/>
    <w:rsid w:val="0CD143AE"/>
    <w:rsid w:val="0CDE27CE"/>
    <w:rsid w:val="0CEE31B2"/>
    <w:rsid w:val="0CF64E24"/>
    <w:rsid w:val="0CFA3905"/>
    <w:rsid w:val="0CFB142B"/>
    <w:rsid w:val="0D0C3638"/>
    <w:rsid w:val="0D1129FD"/>
    <w:rsid w:val="0D132C19"/>
    <w:rsid w:val="0D240982"/>
    <w:rsid w:val="0D366907"/>
    <w:rsid w:val="0D42705A"/>
    <w:rsid w:val="0D4508F8"/>
    <w:rsid w:val="0D4940E8"/>
    <w:rsid w:val="0D4F196D"/>
    <w:rsid w:val="0D505C1B"/>
    <w:rsid w:val="0D5154EF"/>
    <w:rsid w:val="0D562B05"/>
    <w:rsid w:val="0D6276FC"/>
    <w:rsid w:val="0D682F64"/>
    <w:rsid w:val="0D755681"/>
    <w:rsid w:val="0D7731A8"/>
    <w:rsid w:val="0D7F205C"/>
    <w:rsid w:val="0D953752"/>
    <w:rsid w:val="0D9943AF"/>
    <w:rsid w:val="0D9D24E2"/>
    <w:rsid w:val="0D9D2685"/>
    <w:rsid w:val="0DAA56EF"/>
    <w:rsid w:val="0DAB10A3"/>
    <w:rsid w:val="0DB02216"/>
    <w:rsid w:val="0DBE2B84"/>
    <w:rsid w:val="0DBF06AB"/>
    <w:rsid w:val="0DC65EDD"/>
    <w:rsid w:val="0DC932D7"/>
    <w:rsid w:val="0DDB70DA"/>
    <w:rsid w:val="0DE46363"/>
    <w:rsid w:val="0E0C7BC1"/>
    <w:rsid w:val="0E1C3D4F"/>
    <w:rsid w:val="0E325320"/>
    <w:rsid w:val="0E3B2427"/>
    <w:rsid w:val="0E415563"/>
    <w:rsid w:val="0E43308A"/>
    <w:rsid w:val="0E4F7C80"/>
    <w:rsid w:val="0E611C6E"/>
    <w:rsid w:val="0E7FA562"/>
    <w:rsid w:val="0E7FE27C"/>
    <w:rsid w:val="0E903DF5"/>
    <w:rsid w:val="0E9E4764"/>
    <w:rsid w:val="0EB83A78"/>
    <w:rsid w:val="0ED2440E"/>
    <w:rsid w:val="0ED87F1C"/>
    <w:rsid w:val="0EDB59B8"/>
    <w:rsid w:val="0EEA970B"/>
    <w:rsid w:val="0EEE3064"/>
    <w:rsid w:val="0EF95E3E"/>
    <w:rsid w:val="0F000F7B"/>
    <w:rsid w:val="0F017011"/>
    <w:rsid w:val="0F040A6B"/>
    <w:rsid w:val="0F2243E3"/>
    <w:rsid w:val="0F317386"/>
    <w:rsid w:val="0F3455D5"/>
    <w:rsid w:val="0F3557AF"/>
    <w:rsid w:val="0F379B7A"/>
    <w:rsid w:val="0F3B6457"/>
    <w:rsid w:val="0F486F13"/>
    <w:rsid w:val="0F543075"/>
    <w:rsid w:val="0F5D2ECD"/>
    <w:rsid w:val="0F5D461F"/>
    <w:rsid w:val="0F5F5CA1"/>
    <w:rsid w:val="0F696B20"/>
    <w:rsid w:val="0F802A60"/>
    <w:rsid w:val="0F8C5DD4"/>
    <w:rsid w:val="0F915079"/>
    <w:rsid w:val="0F9B0CA3"/>
    <w:rsid w:val="0F9C6EF5"/>
    <w:rsid w:val="0FA939EF"/>
    <w:rsid w:val="0FA9713A"/>
    <w:rsid w:val="0FBD6E6C"/>
    <w:rsid w:val="0FD04DF1"/>
    <w:rsid w:val="0FDA4F44"/>
    <w:rsid w:val="0FE95EB3"/>
    <w:rsid w:val="0FEF0B45"/>
    <w:rsid w:val="1001144E"/>
    <w:rsid w:val="100D48FD"/>
    <w:rsid w:val="10120F66"/>
    <w:rsid w:val="101271B8"/>
    <w:rsid w:val="10293A5E"/>
    <w:rsid w:val="102B2962"/>
    <w:rsid w:val="103510F8"/>
    <w:rsid w:val="10426A38"/>
    <w:rsid w:val="10442AFA"/>
    <w:rsid w:val="104D01F0"/>
    <w:rsid w:val="104E5D16"/>
    <w:rsid w:val="10563548"/>
    <w:rsid w:val="105C0433"/>
    <w:rsid w:val="10615A49"/>
    <w:rsid w:val="10722A69"/>
    <w:rsid w:val="10727C56"/>
    <w:rsid w:val="107A6B0B"/>
    <w:rsid w:val="107D0207"/>
    <w:rsid w:val="107D407E"/>
    <w:rsid w:val="10802373"/>
    <w:rsid w:val="10844706"/>
    <w:rsid w:val="108507E5"/>
    <w:rsid w:val="10AD5132"/>
    <w:rsid w:val="10B60B86"/>
    <w:rsid w:val="10CD1330"/>
    <w:rsid w:val="10D26947"/>
    <w:rsid w:val="10DF0BC6"/>
    <w:rsid w:val="10F468BD"/>
    <w:rsid w:val="10F7015B"/>
    <w:rsid w:val="110A60E1"/>
    <w:rsid w:val="111331E7"/>
    <w:rsid w:val="11561326"/>
    <w:rsid w:val="11627C00"/>
    <w:rsid w:val="116972AB"/>
    <w:rsid w:val="117D2D78"/>
    <w:rsid w:val="118B5473"/>
    <w:rsid w:val="11A71B81"/>
    <w:rsid w:val="11AA632A"/>
    <w:rsid w:val="11C73FD2"/>
    <w:rsid w:val="11C75D80"/>
    <w:rsid w:val="11CC783A"/>
    <w:rsid w:val="11E9219A"/>
    <w:rsid w:val="122227F1"/>
    <w:rsid w:val="123A29F6"/>
    <w:rsid w:val="123F000C"/>
    <w:rsid w:val="124675EC"/>
    <w:rsid w:val="124A3908"/>
    <w:rsid w:val="124B69B1"/>
    <w:rsid w:val="124E024F"/>
    <w:rsid w:val="1255782F"/>
    <w:rsid w:val="12672790"/>
    <w:rsid w:val="1268735A"/>
    <w:rsid w:val="12695089"/>
    <w:rsid w:val="127174C9"/>
    <w:rsid w:val="12823991"/>
    <w:rsid w:val="128265E9"/>
    <w:rsid w:val="12902616"/>
    <w:rsid w:val="12940358"/>
    <w:rsid w:val="12942106"/>
    <w:rsid w:val="12A73712"/>
    <w:rsid w:val="12AF5192"/>
    <w:rsid w:val="12BE3627"/>
    <w:rsid w:val="12F928B1"/>
    <w:rsid w:val="12FB6F58"/>
    <w:rsid w:val="13001549"/>
    <w:rsid w:val="130059ED"/>
    <w:rsid w:val="13054DB2"/>
    <w:rsid w:val="130F79DE"/>
    <w:rsid w:val="1311486C"/>
    <w:rsid w:val="1317D192"/>
    <w:rsid w:val="131C20FB"/>
    <w:rsid w:val="133833D9"/>
    <w:rsid w:val="135C37D3"/>
    <w:rsid w:val="1369760E"/>
    <w:rsid w:val="137B32C6"/>
    <w:rsid w:val="137D5290"/>
    <w:rsid w:val="13897791"/>
    <w:rsid w:val="13B567D8"/>
    <w:rsid w:val="13BB36C2"/>
    <w:rsid w:val="13C162EA"/>
    <w:rsid w:val="13C539D9"/>
    <w:rsid w:val="13C62793"/>
    <w:rsid w:val="13CA1519"/>
    <w:rsid w:val="13CE5AEB"/>
    <w:rsid w:val="13DF3855"/>
    <w:rsid w:val="13E42C19"/>
    <w:rsid w:val="13E7095B"/>
    <w:rsid w:val="13F368D5"/>
    <w:rsid w:val="140105CB"/>
    <w:rsid w:val="140F3276"/>
    <w:rsid w:val="14117786"/>
    <w:rsid w:val="14171240"/>
    <w:rsid w:val="141B014F"/>
    <w:rsid w:val="14224631"/>
    <w:rsid w:val="1424570B"/>
    <w:rsid w:val="142676D5"/>
    <w:rsid w:val="142851FC"/>
    <w:rsid w:val="14305E5E"/>
    <w:rsid w:val="143A4F2F"/>
    <w:rsid w:val="14526852"/>
    <w:rsid w:val="14733F9D"/>
    <w:rsid w:val="147A532B"/>
    <w:rsid w:val="147F0B94"/>
    <w:rsid w:val="148166BA"/>
    <w:rsid w:val="148775B8"/>
    <w:rsid w:val="14A14FAE"/>
    <w:rsid w:val="14CC29A0"/>
    <w:rsid w:val="14CF43E0"/>
    <w:rsid w:val="14EB511E"/>
    <w:rsid w:val="14ED3D4F"/>
    <w:rsid w:val="14F055ED"/>
    <w:rsid w:val="14FE5F5C"/>
    <w:rsid w:val="150177FB"/>
    <w:rsid w:val="15086A2A"/>
    <w:rsid w:val="152F25BA"/>
    <w:rsid w:val="15353A71"/>
    <w:rsid w:val="153E0A4F"/>
    <w:rsid w:val="155344FA"/>
    <w:rsid w:val="155E4C4D"/>
    <w:rsid w:val="15673B02"/>
    <w:rsid w:val="156A53A0"/>
    <w:rsid w:val="156C1118"/>
    <w:rsid w:val="157B57FF"/>
    <w:rsid w:val="157C7F3A"/>
    <w:rsid w:val="15842905"/>
    <w:rsid w:val="15867EA3"/>
    <w:rsid w:val="158B5108"/>
    <w:rsid w:val="15907FDC"/>
    <w:rsid w:val="15916DD0"/>
    <w:rsid w:val="159B7C4F"/>
    <w:rsid w:val="15A563D8"/>
    <w:rsid w:val="15A703A2"/>
    <w:rsid w:val="15AA1C40"/>
    <w:rsid w:val="15AF54A9"/>
    <w:rsid w:val="15B11221"/>
    <w:rsid w:val="15CD7A9E"/>
    <w:rsid w:val="15D13671"/>
    <w:rsid w:val="15D171CD"/>
    <w:rsid w:val="15DD2016"/>
    <w:rsid w:val="16041350"/>
    <w:rsid w:val="16092E0B"/>
    <w:rsid w:val="160939A2"/>
    <w:rsid w:val="16096D41"/>
    <w:rsid w:val="160A437D"/>
    <w:rsid w:val="160E21CF"/>
    <w:rsid w:val="160F6914"/>
    <w:rsid w:val="16297009"/>
    <w:rsid w:val="162C08A7"/>
    <w:rsid w:val="164B3423"/>
    <w:rsid w:val="164D719B"/>
    <w:rsid w:val="165F2A2B"/>
    <w:rsid w:val="16753FFC"/>
    <w:rsid w:val="16774218"/>
    <w:rsid w:val="168B7CC4"/>
    <w:rsid w:val="168D57EA"/>
    <w:rsid w:val="168D7598"/>
    <w:rsid w:val="16985F3D"/>
    <w:rsid w:val="169A3A63"/>
    <w:rsid w:val="169D3553"/>
    <w:rsid w:val="169F388D"/>
    <w:rsid w:val="16A15E13"/>
    <w:rsid w:val="16AD5797"/>
    <w:rsid w:val="16B70AB9"/>
    <w:rsid w:val="16CB6312"/>
    <w:rsid w:val="16D01B7A"/>
    <w:rsid w:val="16E6314C"/>
    <w:rsid w:val="16FB6BF7"/>
    <w:rsid w:val="17000058"/>
    <w:rsid w:val="17081314"/>
    <w:rsid w:val="17125CEF"/>
    <w:rsid w:val="17153FB3"/>
    <w:rsid w:val="17173305"/>
    <w:rsid w:val="171E6442"/>
    <w:rsid w:val="17215F32"/>
    <w:rsid w:val="173E6AE4"/>
    <w:rsid w:val="174560C4"/>
    <w:rsid w:val="174F2A9F"/>
    <w:rsid w:val="175005C5"/>
    <w:rsid w:val="175D340E"/>
    <w:rsid w:val="176D1177"/>
    <w:rsid w:val="177B7D38"/>
    <w:rsid w:val="177F691D"/>
    <w:rsid w:val="178A3AD7"/>
    <w:rsid w:val="17946704"/>
    <w:rsid w:val="17A252C5"/>
    <w:rsid w:val="17A96653"/>
    <w:rsid w:val="17AC1CA0"/>
    <w:rsid w:val="17B51CC9"/>
    <w:rsid w:val="17C214C3"/>
    <w:rsid w:val="17D11706"/>
    <w:rsid w:val="17D17BB0"/>
    <w:rsid w:val="17D411F6"/>
    <w:rsid w:val="17E20193"/>
    <w:rsid w:val="17ED5078"/>
    <w:rsid w:val="17F13B56"/>
    <w:rsid w:val="17FF7F40"/>
    <w:rsid w:val="18055854"/>
    <w:rsid w:val="180B1968"/>
    <w:rsid w:val="180C43D8"/>
    <w:rsid w:val="18133ACD"/>
    <w:rsid w:val="1813407D"/>
    <w:rsid w:val="181B6E25"/>
    <w:rsid w:val="18356139"/>
    <w:rsid w:val="18357EE7"/>
    <w:rsid w:val="18482B9D"/>
    <w:rsid w:val="1849373C"/>
    <w:rsid w:val="18504D21"/>
    <w:rsid w:val="1857103B"/>
    <w:rsid w:val="18756AF0"/>
    <w:rsid w:val="187D363C"/>
    <w:rsid w:val="18820C52"/>
    <w:rsid w:val="189D783A"/>
    <w:rsid w:val="18AC5CCF"/>
    <w:rsid w:val="18B352B0"/>
    <w:rsid w:val="18BC4164"/>
    <w:rsid w:val="18BD1C8B"/>
    <w:rsid w:val="18C1177B"/>
    <w:rsid w:val="18C139AD"/>
    <w:rsid w:val="18C179CD"/>
    <w:rsid w:val="18C96881"/>
    <w:rsid w:val="18ED6A14"/>
    <w:rsid w:val="18EF4FFA"/>
    <w:rsid w:val="18F27B86"/>
    <w:rsid w:val="18FE477D"/>
    <w:rsid w:val="18FF6615"/>
    <w:rsid w:val="1902505E"/>
    <w:rsid w:val="191775ED"/>
    <w:rsid w:val="19187035"/>
    <w:rsid w:val="191A0E8B"/>
    <w:rsid w:val="191B532F"/>
    <w:rsid w:val="19457086"/>
    <w:rsid w:val="19600F94"/>
    <w:rsid w:val="196071E6"/>
    <w:rsid w:val="196A1E12"/>
    <w:rsid w:val="196A3BC0"/>
    <w:rsid w:val="19766A09"/>
    <w:rsid w:val="19773670"/>
    <w:rsid w:val="1981715C"/>
    <w:rsid w:val="19831126"/>
    <w:rsid w:val="198C1D89"/>
    <w:rsid w:val="1991739F"/>
    <w:rsid w:val="19986E2A"/>
    <w:rsid w:val="19A1335A"/>
    <w:rsid w:val="19AA0461"/>
    <w:rsid w:val="19AC41D9"/>
    <w:rsid w:val="19AF5FC2"/>
    <w:rsid w:val="19B1359D"/>
    <w:rsid w:val="19B14345"/>
    <w:rsid w:val="19CC0E30"/>
    <w:rsid w:val="19CC487B"/>
    <w:rsid w:val="19CE05F3"/>
    <w:rsid w:val="19D4791C"/>
    <w:rsid w:val="19DF45AE"/>
    <w:rsid w:val="19E5629D"/>
    <w:rsid w:val="19E82D37"/>
    <w:rsid w:val="19EA2F53"/>
    <w:rsid w:val="19FB7AAE"/>
    <w:rsid w:val="19FD67E3"/>
    <w:rsid w:val="1A2521DD"/>
    <w:rsid w:val="1A27385F"/>
    <w:rsid w:val="1A2C531A"/>
    <w:rsid w:val="1A444411"/>
    <w:rsid w:val="1A4C776A"/>
    <w:rsid w:val="1A5B79AD"/>
    <w:rsid w:val="1A5D3725"/>
    <w:rsid w:val="1A5F124B"/>
    <w:rsid w:val="1A644AB4"/>
    <w:rsid w:val="1A6B4094"/>
    <w:rsid w:val="1A78055F"/>
    <w:rsid w:val="1A807D07"/>
    <w:rsid w:val="1A8707A2"/>
    <w:rsid w:val="1A882593"/>
    <w:rsid w:val="1A8A3DEE"/>
    <w:rsid w:val="1A8E38DF"/>
    <w:rsid w:val="1AA93212"/>
    <w:rsid w:val="1AA94BBC"/>
    <w:rsid w:val="1ABD7F1C"/>
    <w:rsid w:val="1ABFC9A4"/>
    <w:rsid w:val="1AD5211E"/>
    <w:rsid w:val="1AD87250"/>
    <w:rsid w:val="1AE41750"/>
    <w:rsid w:val="1AE45BF4"/>
    <w:rsid w:val="1AE754A4"/>
    <w:rsid w:val="1AE87493"/>
    <w:rsid w:val="1AEB77FE"/>
    <w:rsid w:val="1AEF6E14"/>
    <w:rsid w:val="1AF20311"/>
    <w:rsid w:val="1AFD2812"/>
    <w:rsid w:val="1AFF2B07"/>
    <w:rsid w:val="1AFF8C40"/>
    <w:rsid w:val="1B06657C"/>
    <w:rsid w:val="1B0B037F"/>
    <w:rsid w:val="1B140288"/>
    <w:rsid w:val="1B1F4E7E"/>
    <w:rsid w:val="1B1F6C2C"/>
    <w:rsid w:val="1B214753"/>
    <w:rsid w:val="1B283D33"/>
    <w:rsid w:val="1B46240B"/>
    <w:rsid w:val="1B4B17D0"/>
    <w:rsid w:val="1B4E306E"/>
    <w:rsid w:val="1B6C00C4"/>
    <w:rsid w:val="1B7BA5D4"/>
    <w:rsid w:val="1B7E873B"/>
    <w:rsid w:val="1B920007"/>
    <w:rsid w:val="1B9C027D"/>
    <w:rsid w:val="1B9EBF59"/>
    <w:rsid w:val="1BA01B1B"/>
    <w:rsid w:val="1BAF7FB0"/>
    <w:rsid w:val="1BB235FD"/>
    <w:rsid w:val="1BBC447B"/>
    <w:rsid w:val="1BCF2401"/>
    <w:rsid w:val="1BE35C1B"/>
    <w:rsid w:val="1BEB73EB"/>
    <w:rsid w:val="1BED3AFA"/>
    <w:rsid w:val="1BF73705"/>
    <w:rsid w:val="1BF74B58"/>
    <w:rsid w:val="1BF81957"/>
    <w:rsid w:val="1BFB4FA4"/>
    <w:rsid w:val="1BFD860B"/>
    <w:rsid w:val="1C071B9A"/>
    <w:rsid w:val="1C0F0A4F"/>
    <w:rsid w:val="1C163B8C"/>
    <w:rsid w:val="1C197B20"/>
    <w:rsid w:val="1C1B3B19"/>
    <w:rsid w:val="1C580648"/>
    <w:rsid w:val="1C7B4336"/>
    <w:rsid w:val="1C876837"/>
    <w:rsid w:val="1CA15CD3"/>
    <w:rsid w:val="1CA94A00"/>
    <w:rsid w:val="1CB82E95"/>
    <w:rsid w:val="1CC01D49"/>
    <w:rsid w:val="1CD04C8C"/>
    <w:rsid w:val="1CD64FCE"/>
    <w:rsid w:val="1CDA2E0B"/>
    <w:rsid w:val="1CE374F2"/>
    <w:rsid w:val="1CE617B0"/>
    <w:rsid w:val="1CE70364"/>
    <w:rsid w:val="1CE75528"/>
    <w:rsid w:val="1CED77EA"/>
    <w:rsid w:val="1D152BEA"/>
    <w:rsid w:val="1D156539"/>
    <w:rsid w:val="1D1E53EE"/>
    <w:rsid w:val="1D3A7D4E"/>
    <w:rsid w:val="1D50131F"/>
    <w:rsid w:val="1D6611BA"/>
    <w:rsid w:val="1D671F68"/>
    <w:rsid w:val="1D76522A"/>
    <w:rsid w:val="1D81336E"/>
    <w:rsid w:val="1D8334A3"/>
    <w:rsid w:val="1D835251"/>
    <w:rsid w:val="1D900946"/>
    <w:rsid w:val="1DB418AE"/>
    <w:rsid w:val="1DB573D4"/>
    <w:rsid w:val="1DBC69B5"/>
    <w:rsid w:val="1DD27F86"/>
    <w:rsid w:val="1DDD2F8D"/>
    <w:rsid w:val="1DEC729A"/>
    <w:rsid w:val="1DEF0B61"/>
    <w:rsid w:val="1E0068A1"/>
    <w:rsid w:val="1E390005"/>
    <w:rsid w:val="1E3958A5"/>
    <w:rsid w:val="1E3E7B54"/>
    <w:rsid w:val="1E470974"/>
    <w:rsid w:val="1E696B3C"/>
    <w:rsid w:val="1E6E4153"/>
    <w:rsid w:val="1E6E5F01"/>
    <w:rsid w:val="1E9FC825"/>
    <w:rsid w:val="1EA47B74"/>
    <w:rsid w:val="1EB276AF"/>
    <w:rsid w:val="1EB6271C"/>
    <w:rsid w:val="1EC975DB"/>
    <w:rsid w:val="1ECE074D"/>
    <w:rsid w:val="1EDD4E34"/>
    <w:rsid w:val="1EEFF5C8"/>
    <w:rsid w:val="1EF04B68"/>
    <w:rsid w:val="1EFF722E"/>
    <w:rsid w:val="1F010B23"/>
    <w:rsid w:val="1F130856"/>
    <w:rsid w:val="1F152820"/>
    <w:rsid w:val="1F1B770B"/>
    <w:rsid w:val="1F1F544D"/>
    <w:rsid w:val="1F2B419C"/>
    <w:rsid w:val="1F343978"/>
    <w:rsid w:val="1F354C71"/>
    <w:rsid w:val="1F378552"/>
    <w:rsid w:val="1F3D56BA"/>
    <w:rsid w:val="1F446C62"/>
    <w:rsid w:val="1F5627F9"/>
    <w:rsid w:val="1F5A6485"/>
    <w:rsid w:val="1F78690B"/>
    <w:rsid w:val="1F7C63FB"/>
    <w:rsid w:val="1F7E03C6"/>
    <w:rsid w:val="1F7F7C9A"/>
    <w:rsid w:val="1F9961B3"/>
    <w:rsid w:val="1F9C30B0"/>
    <w:rsid w:val="1FA6791C"/>
    <w:rsid w:val="1FB2006F"/>
    <w:rsid w:val="1FB78482"/>
    <w:rsid w:val="1FBC2C9C"/>
    <w:rsid w:val="1FBC7140"/>
    <w:rsid w:val="1FDE7F6F"/>
    <w:rsid w:val="1FDEAF32"/>
    <w:rsid w:val="1FE04BDC"/>
    <w:rsid w:val="1FE720B1"/>
    <w:rsid w:val="1FE81CE3"/>
    <w:rsid w:val="1FEBC3D3"/>
    <w:rsid w:val="1FED10A7"/>
    <w:rsid w:val="1FED554B"/>
    <w:rsid w:val="1FF02946"/>
    <w:rsid w:val="1FFFC8D6"/>
    <w:rsid w:val="1FFFE4FE"/>
    <w:rsid w:val="201E1010"/>
    <w:rsid w:val="201F56CA"/>
    <w:rsid w:val="20280331"/>
    <w:rsid w:val="202A39A5"/>
    <w:rsid w:val="202B5191"/>
    <w:rsid w:val="202C7E22"/>
    <w:rsid w:val="2036025F"/>
    <w:rsid w:val="20566C4C"/>
    <w:rsid w:val="205D447F"/>
    <w:rsid w:val="205F1BAA"/>
    <w:rsid w:val="20621A95"/>
    <w:rsid w:val="20656358"/>
    <w:rsid w:val="20914128"/>
    <w:rsid w:val="20914EF8"/>
    <w:rsid w:val="209634ED"/>
    <w:rsid w:val="20B16579"/>
    <w:rsid w:val="20BF0C96"/>
    <w:rsid w:val="20C4005A"/>
    <w:rsid w:val="20D77284"/>
    <w:rsid w:val="20DB1848"/>
    <w:rsid w:val="20E8359B"/>
    <w:rsid w:val="20EC0311"/>
    <w:rsid w:val="20EE157B"/>
    <w:rsid w:val="21026DD4"/>
    <w:rsid w:val="21262AC3"/>
    <w:rsid w:val="21336F8E"/>
    <w:rsid w:val="2144119B"/>
    <w:rsid w:val="21466CC1"/>
    <w:rsid w:val="2149055F"/>
    <w:rsid w:val="215533A8"/>
    <w:rsid w:val="21570ECE"/>
    <w:rsid w:val="216D5789"/>
    <w:rsid w:val="21717AB6"/>
    <w:rsid w:val="21863561"/>
    <w:rsid w:val="218872DA"/>
    <w:rsid w:val="218D48F0"/>
    <w:rsid w:val="219043E0"/>
    <w:rsid w:val="21933ED0"/>
    <w:rsid w:val="219A700D"/>
    <w:rsid w:val="219D08AB"/>
    <w:rsid w:val="21A659B2"/>
    <w:rsid w:val="21AB2FC8"/>
    <w:rsid w:val="21B46321"/>
    <w:rsid w:val="21CE03A4"/>
    <w:rsid w:val="21D95D87"/>
    <w:rsid w:val="21DB19BE"/>
    <w:rsid w:val="21DC7809"/>
    <w:rsid w:val="21E80691"/>
    <w:rsid w:val="21F42BC1"/>
    <w:rsid w:val="21F93D33"/>
    <w:rsid w:val="2210107D"/>
    <w:rsid w:val="221A365E"/>
    <w:rsid w:val="221A4255"/>
    <w:rsid w:val="22266AF2"/>
    <w:rsid w:val="223C00C4"/>
    <w:rsid w:val="225E003A"/>
    <w:rsid w:val="2268710B"/>
    <w:rsid w:val="228A48BA"/>
    <w:rsid w:val="228D6B72"/>
    <w:rsid w:val="2297354C"/>
    <w:rsid w:val="229D0535"/>
    <w:rsid w:val="229E741D"/>
    <w:rsid w:val="22A30143"/>
    <w:rsid w:val="22B20386"/>
    <w:rsid w:val="22BB37B7"/>
    <w:rsid w:val="22C63A50"/>
    <w:rsid w:val="22C75A82"/>
    <w:rsid w:val="22CC58EC"/>
    <w:rsid w:val="22DF3ED1"/>
    <w:rsid w:val="22DF73CD"/>
    <w:rsid w:val="22E20C6B"/>
    <w:rsid w:val="22E542B8"/>
    <w:rsid w:val="22E76282"/>
    <w:rsid w:val="22E9024C"/>
    <w:rsid w:val="22F15352"/>
    <w:rsid w:val="22FB7F7F"/>
    <w:rsid w:val="2302130E"/>
    <w:rsid w:val="231734D0"/>
    <w:rsid w:val="231B417D"/>
    <w:rsid w:val="23287C3C"/>
    <w:rsid w:val="23381379"/>
    <w:rsid w:val="233E43F8"/>
    <w:rsid w:val="234A0A49"/>
    <w:rsid w:val="2358717F"/>
    <w:rsid w:val="23775858"/>
    <w:rsid w:val="238910E7"/>
    <w:rsid w:val="23931F66"/>
    <w:rsid w:val="23975438"/>
    <w:rsid w:val="239F69DA"/>
    <w:rsid w:val="23AD7E95"/>
    <w:rsid w:val="23D076FB"/>
    <w:rsid w:val="23D81FDE"/>
    <w:rsid w:val="23F0560A"/>
    <w:rsid w:val="23F724F4"/>
    <w:rsid w:val="23FE64C5"/>
    <w:rsid w:val="24053123"/>
    <w:rsid w:val="240A1975"/>
    <w:rsid w:val="240D3AC6"/>
    <w:rsid w:val="2419690F"/>
    <w:rsid w:val="241A61E3"/>
    <w:rsid w:val="243200EE"/>
    <w:rsid w:val="243279D1"/>
    <w:rsid w:val="245142FB"/>
    <w:rsid w:val="245907DF"/>
    <w:rsid w:val="245B0CD5"/>
    <w:rsid w:val="246D3214"/>
    <w:rsid w:val="247973AD"/>
    <w:rsid w:val="24981970"/>
    <w:rsid w:val="24AA73A4"/>
    <w:rsid w:val="24AF62F2"/>
    <w:rsid w:val="24B76A25"/>
    <w:rsid w:val="24C22B02"/>
    <w:rsid w:val="24E30CCB"/>
    <w:rsid w:val="24E862E1"/>
    <w:rsid w:val="24EA2059"/>
    <w:rsid w:val="24EC5DD1"/>
    <w:rsid w:val="24ED38F7"/>
    <w:rsid w:val="24F15196"/>
    <w:rsid w:val="24F20F0E"/>
    <w:rsid w:val="24FF2F2C"/>
    <w:rsid w:val="25014A5E"/>
    <w:rsid w:val="250273A3"/>
    <w:rsid w:val="251E1D03"/>
    <w:rsid w:val="25270BB7"/>
    <w:rsid w:val="25333A00"/>
    <w:rsid w:val="25341526"/>
    <w:rsid w:val="25357778"/>
    <w:rsid w:val="254C0545"/>
    <w:rsid w:val="255319AC"/>
    <w:rsid w:val="256718FC"/>
    <w:rsid w:val="25710085"/>
    <w:rsid w:val="257D4C7B"/>
    <w:rsid w:val="257F6C45"/>
    <w:rsid w:val="258B55EA"/>
    <w:rsid w:val="258C3110"/>
    <w:rsid w:val="25A12A6D"/>
    <w:rsid w:val="25A466AC"/>
    <w:rsid w:val="25B20DC9"/>
    <w:rsid w:val="25BE6C7B"/>
    <w:rsid w:val="25CE3729"/>
    <w:rsid w:val="25D1584C"/>
    <w:rsid w:val="25D6438C"/>
    <w:rsid w:val="25F5515A"/>
    <w:rsid w:val="25FBF023"/>
    <w:rsid w:val="26061115"/>
    <w:rsid w:val="26085E35"/>
    <w:rsid w:val="260929B3"/>
    <w:rsid w:val="260B2287"/>
    <w:rsid w:val="26211AAB"/>
    <w:rsid w:val="26280FB8"/>
    <w:rsid w:val="26373D44"/>
    <w:rsid w:val="264A5904"/>
    <w:rsid w:val="26551754"/>
    <w:rsid w:val="26612BE0"/>
    <w:rsid w:val="26661BB3"/>
    <w:rsid w:val="26690F27"/>
    <w:rsid w:val="267A66BE"/>
    <w:rsid w:val="26A5448A"/>
    <w:rsid w:val="26A56238"/>
    <w:rsid w:val="26A76454"/>
    <w:rsid w:val="26BC379F"/>
    <w:rsid w:val="26C31EAD"/>
    <w:rsid w:val="26C96EFA"/>
    <w:rsid w:val="26CD39E1"/>
    <w:rsid w:val="26CF59AB"/>
    <w:rsid w:val="26CF7759"/>
    <w:rsid w:val="26D1527F"/>
    <w:rsid w:val="26D62895"/>
    <w:rsid w:val="26E34FB2"/>
    <w:rsid w:val="26E431C8"/>
    <w:rsid w:val="26F96584"/>
    <w:rsid w:val="26FDFC60"/>
    <w:rsid w:val="271B0A23"/>
    <w:rsid w:val="27252BF1"/>
    <w:rsid w:val="27271F39"/>
    <w:rsid w:val="273023D8"/>
    <w:rsid w:val="274A3B83"/>
    <w:rsid w:val="27563B52"/>
    <w:rsid w:val="27606603"/>
    <w:rsid w:val="276854B7"/>
    <w:rsid w:val="27783E05"/>
    <w:rsid w:val="27814EF7"/>
    <w:rsid w:val="27871DE1"/>
    <w:rsid w:val="27934C2A"/>
    <w:rsid w:val="279D33B3"/>
    <w:rsid w:val="27A07085"/>
    <w:rsid w:val="27A24E6D"/>
    <w:rsid w:val="27B150B0"/>
    <w:rsid w:val="27B30E28"/>
    <w:rsid w:val="27B91E95"/>
    <w:rsid w:val="27BA3F65"/>
    <w:rsid w:val="27C616D2"/>
    <w:rsid w:val="27CB4F27"/>
    <w:rsid w:val="27CD209A"/>
    <w:rsid w:val="27D43AB5"/>
    <w:rsid w:val="27D56FF1"/>
    <w:rsid w:val="27E64D5A"/>
    <w:rsid w:val="27F0056F"/>
    <w:rsid w:val="27F05BD9"/>
    <w:rsid w:val="27FF5F4F"/>
    <w:rsid w:val="28013942"/>
    <w:rsid w:val="282B4E63"/>
    <w:rsid w:val="282C4737"/>
    <w:rsid w:val="284101E2"/>
    <w:rsid w:val="28425D08"/>
    <w:rsid w:val="28481571"/>
    <w:rsid w:val="2849353B"/>
    <w:rsid w:val="28553C8E"/>
    <w:rsid w:val="28575C58"/>
    <w:rsid w:val="286570E3"/>
    <w:rsid w:val="286914E7"/>
    <w:rsid w:val="28757E8C"/>
    <w:rsid w:val="288B4107"/>
    <w:rsid w:val="288F250A"/>
    <w:rsid w:val="2890116A"/>
    <w:rsid w:val="28956780"/>
    <w:rsid w:val="28C36E49"/>
    <w:rsid w:val="28F96D0F"/>
    <w:rsid w:val="290A4A78"/>
    <w:rsid w:val="29176F41"/>
    <w:rsid w:val="2927562A"/>
    <w:rsid w:val="292A511A"/>
    <w:rsid w:val="29475CCC"/>
    <w:rsid w:val="294A30C6"/>
    <w:rsid w:val="29565F0F"/>
    <w:rsid w:val="295705D9"/>
    <w:rsid w:val="29746395"/>
    <w:rsid w:val="29763EBB"/>
    <w:rsid w:val="29804D3A"/>
    <w:rsid w:val="298068D7"/>
    <w:rsid w:val="298365D8"/>
    <w:rsid w:val="2987256D"/>
    <w:rsid w:val="298A7967"/>
    <w:rsid w:val="29A30A29"/>
    <w:rsid w:val="29A857CC"/>
    <w:rsid w:val="29A94291"/>
    <w:rsid w:val="29B82494"/>
    <w:rsid w:val="29BA649E"/>
    <w:rsid w:val="29BB3FC4"/>
    <w:rsid w:val="29C56BF1"/>
    <w:rsid w:val="29D3130E"/>
    <w:rsid w:val="29D41C18"/>
    <w:rsid w:val="29D67050"/>
    <w:rsid w:val="29E03A2B"/>
    <w:rsid w:val="29EE5390"/>
    <w:rsid w:val="29F85218"/>
    <w:rsid w:val="2A186EBC"/>
    <w:rsid w:val="2A2367E5"/>
    <w:rsid w:val="2A27165A"/>
    <w:rsid w:val="2A2878AC"/>
    <w:rsid w:val="2A293624"/>
    <w:rsid w:val="2A2E2FA6"/>
    <w:rsid w:val="2A3F28CD"/>
    <w:rsid w:val="2A4A348B"/>
    <w:rsid w:val="2A4B5348"/>
    <w:rsid w:val="2A5E151F"/>
    <w:rsid w:val="2A7A3E7F"/>
    <w:rsid w:val="2A7F1496"/>
    <w:rsid w:val="2A842608"/>
    <w:rsid w:val="2A8E3487"/>
    <w:rsid w:val="2A906E91"/>
    <w:rsid w:val="2A9A007E"/>
    <w:rsid w:val="2A9C3DF6"/>
    <w:rsid w:val="2A9E7B6E"/>
    <w:rsid w:val="2AA34A80"/>
    <w:rsid w:val="2AA543EA"/>
    <w:rsid w:val="2AA8279A"/>
    <w:rsid w:val="2AA902C1"/>
    <w:rsid w:val="2ABE364B"/>
    <w:rsid w:val="2ACB7461"/>
    <w:rsid w:val="2AE31A25"/>
    <w:rsid w:val="2AE5754B"/>
    <w:rsid w:val="2AEB08D9"/>
    <w:rsid w:val="2AEF4C89"/>
    <w:rsid w:val="2AEF71FD"/>
    <w:rsid w:val="2AFC6824"/>
    <w:rsid w:val="2B0A6FB1"/>
    <w:rsid w:val="2B1E2A5D"/>
    <w:rsid w:val="2B2C517A"/>
    <w:rsid w:val="2B404781"/>
    <w:rsid w:val="2B481888"/>
    <w:rsid w:val="2B4F2C16"/>
    <w:rsid w:val="2B715282"/>
    <w:rsid w:val="2B724B56"/>
    <w:rsid w:val="2B7D3C27"/>
    <w:rsid w:val="2B7E35E9"/>
    <w:rsid w:val="2B8054C5"/>
    <w:rsid w:val="2B9836FF"/>
    <w:rsid w:val="2B9B40AD"/>
    <w:rsid w:val="2B9D45A2"/>
    <w:rsid w:val="2B9D7E25"/>
    <w:rsid w:val="2BAE17CE"/>
    <w:rsid w:val="2BBD4024"/>
    <w:rsid w:val="2BBF11BA"/>
    <w:rsid w:val="2BCE68F5"/>
    <w:rsid w:val="2BEB7E79"/>
    <w:rsid w:val="2BF612E4"/>
    <w:rsid w:val="2BF8505C"/>
    <w:rsid w:val="2BFB7302"/>
    <w:rsid w:val="2BFE1097"/>
    <w:rsid w:val="2C052152"/>
    <w:rsid w:val="2C0B28F8"/>
    <w:rsid w:val="2C0E487F"/>
    <w:rsid w:val="2C210A56"/>
    <w:rsid w:val="2C251BC9"/>
    <w:rsid w:val="2C2E7758"/>
    <w:rsid w:val="2C332538"/>
    <w:rsid w:val="2C333389"/>
    <w:rsid w:val="2C41031E"/>
    <w:rsid w:val="2C416A03"/>
    <w:rsid w:val="2C4B5AD3"/>
    <w:rsid w:val="2C507228"/>
    <w:rsid w:val="2C532BDA"/>
    <w:rsid w:val="2C581F9E"/>
    <w:rsid w:val="2C6B3F6F"/>
    <w:rsid w:val="2C770676"/>
    <w:rsid w:val="2C7A0167"/>
    <w:rsid w:val="2C89344C"/>
    <w:rsid w:val="2C901738"/>
    <w:rsid w:val="2CA9291B"/>
    <w:rsid w:val="2CC94C4A"/>
    <w:rsid w:val="2CCB09C2"/>
    <w:rsid w:val="2CD71C07"/>
    <w:rsid w:val="2CEF46B1"/>
    <w:rsid w:val="2CF972DD"/>
    <w:rsid w:val="2D1660E1"/>
    <w:rsid w:val="2D1759B5"/>
    <w:rsid w:val="2D2325AC"/>
    <w:rsid w:val="2D3C71CA"/>
    <w:rsid w:val="2D4367AA"/>
    <w:rsid w:val="2D79041E"/>
    <w:rsid w:val="2D7A7BAB"/>
    <w:rsid w:val="2D891386"/>
    <w:rsid w:val="2D8F379E"/>
    <w:rsid w:val="2D94105E"/>
    <w:rsid w:val="2D9E60D7"/>
    <w:rsid w:val="2DA60AE7"/>
    <w:rsid w:val="2DA76D39"/>
    <w:rsid w:val="2DC72F38"/>
    <w:rsid w:val="2DD438A6"/>
    <w:rsid w:val="2DDFFBD5"/>
    <w:rsid w:val="2DEE2BBA"/>
    <w:rsid w:val="2DF379E3"/>
    <w:rsid w:val="2DF91B72"/>
    <w:rsid w:val="2DFFD4DA"/>
    <w:rsid w:val="2E0C4DEE"/>
    <w:rsid w:val="2E1A575D"/>
    <w:rsid w:val="2E24038A"/>
    <w:rsid w:val="2E2A44CC"/>
    <w:rsid w:val="2E4E18AB"/>
    <w:rsid w:val="2E5C3FC8"/>
    <w:rsid w:val="2E6469D8"/>
    <w:rsid w:val="2E666BF4"/>
    <w:rsid w:val="2E750BE6"/>
    <w:rsid w:val="2E771DB4"/>
    <w:rsid w:val="2E7B3D22"/>
    <w:rsid w:val="2E8157DC"/>
    <w:rsid w:val="2E8B21B7"/>
    <w:rsid w:val="2E960B5C"/>
    <w:rsid w:val="2E9C43C4"/>
    <w:rsid w:val="2EA93C46"/>
    <w:rsid w:val="2EB21E3A"/>
    <w:rsid w:val="2EB711FE"/>
    <w:rsid w:val="2EC35DF5"/>
    <w:rsid w:val="2ED10AFD"/>
    <w:rsid w:val="2EDC6EB7"/>
    <w:rsid w:val="2EE538D4"/>
    <w:rsid w:val="2EED10C4"/>
    <w:rsid w:val="2EF02962"/>
    <w:rsid w:val="2EF7784D"/>
    <w:rsid w:val="2EFDD960"/>
    <w:rsid w:val="2F01481A"/>
    <w:rsid w:val="2F0D7070"/>
    <w:rsid w:val="2F11754B"/>
    <w:rsid w:val="2F146650"/>
    <w:rsid w:val="2F171C9D"/>
    <w:rsid w:val="2F2D7712"/>
    <w:rsid w:val="2F4131BE"/>
    <w:rsid w:val="2F4F49C8"/>
    <w:rsid w:val="2F6F0433"/>
    <w:rsid w:val="2F7470EF"/>
    <w:rsid w:val="2F810D19"/>
    <w:rsid w:val="2F8F217B"/>
    <w:rsid w:val="2FA95BB6"/>
    <w:rsid w:val="2FAB0620"/>
    <w:rsid w:val="2FAD43AF"/>
    <w:rsid w:val="2FB15C4D"/>
    <w:rsid w:val="2FC242FE"/>
    <w:rsid w:val="2FC8743B"/>
    <w:rsid w:val="2FD656B4"/>
    <w:rsid w:val="2FDD2EE6"/>
    <w:rsid w:val="2FDD4C94"/>
    <w:rsid w:val="2FE37DD1"/>
    <w:rsid w:val="2FE75B13"/>
    <w:rsid w:val="2FF57134"/>
    <w:rsid w:val="2FF71F90"/>
    <w:rsid w:val="2FF77364"/>
    <w:rsid w:val="2FF78060"/>
    <w:rsid w:val="2FFF08BC"/>
    <w:rsid w:val="2FFF0FFA"/>
    <w:rsid w:val="2FFF2CB2"/>
    <w:rsid w:val="2FFF8D4A"/>
    <w:rsid w:val="30030473"/>
    <w:rsid w:val="30034AB4"/>
    <w:rsid w:val="30146F8B"/>
    <w:rsid w:val="301663F8"/>
    <w:rsid w:val="30226B4B"/>
    <w:rsid w:val="30377E37"/>
    <w:rsid w:val="304E7940"/>
    <w:rsid w:val="30562C99"/>
    <w:rsid w:val="3062519A"/>
    <w:rsid w:val="306E6455"/>
    <w:rsid w:val="306F78B6"/>
    <w:rsid w:val="308C0433"/>
    <w:rsid w:val="308C0468"/>
    <w:rsid w:val="308D5FE7"/>
    <w:rsid w:val="309169E6"/>
    <w:rsid w:val="30A26ADE"/>
    <w:rsid w:val="30A30D90"/>
    <w:rsid w:val="30AC5D12"/>
    <w:rsid w:val="30B654E5"/>
    <w:rsid w:val="30BD239F"/>
    <w:rsid w:val="30C3188C"/>
    <w:rsid w:val="30CB4915"/>
    <w:rsid w:val="30CE6CD3"/>
    <w:rsid w:val="30DA5678"/>
    <w:rsid w:val="30DF2C8E"/>
    <w:rsid w:val="30F00157"/>
    <w:rsid w:val="310149B3"/>
    <w:rsid w:val="31097D0B"/>
    <w:rsid w:val="311B69B1"/>
    <w:rsid w:val="311C6DCD"/>
    <w:rsid w:val="31213A03"/>
    <w:rsid w:val="31215055"/>
    <w:rsid w:val="3127060C"/>
    <w:rsid w:val="313034EA"/>
    <w:rsid w:val="31321010"/>
    <w:rsid w:val="313308E4"/>
    <w:rsid w:val="313B4368"/>
    <w:rsid w:val="313C1E8F"/>
    <w:rsid w:val="31510405"/>
    <w:rsid w:val="3152520E"/>
    <w:rsid w:val="31570A76"/>
    <w:rsid w:val="316D5A4E"/>
    <w:rsid w:val="31772EC7"/>
    <w:rsid w:val="317C5CA4"/>
    <w:rsid w:val="318178A1"/>
    <w:rsid w:val="318203D5"/>
    <w:rsid w:val="318F6462"/>
    <w:rsid w:val="31973569"/>
    <w:rsid w:val="31975317"/>
    <w:rsid w:val="319C292D"/>
    <w:rsid w:val="319D08EF"/>
    <w:rsid w:val="31CA1248"/>
    <w:rsid w:val="31CC4E5C"/>
    <w:rsid w:val="31CF2D8B"/>
    <w:rsid w:val="31DE2F46"/>
    <w:rsid w:val="31F64758"/>
    <w:rsid w:val="31FB3AF8"/>
    <w:rsid w:val="31FE7144"/>
    <w:rsid w:val="3207424B"/>
    <w:rsid w:val="3215767E"/>
    <w:rsid w:val="3216623C"/>
    <w:rsid w:val="3220355E"/>
    <w:rsid w:val="32225A8D"/>
    <w:rsid w:val="322312D1"/>
    <w:rsid w:val="322C3CB1"/>
    <w:rsid w:val="32454D73"/>
    <w:rsid w:val="32476D3D"/>
    <w:rsid w:val="325356E2"/>
    <w:rsid w:val="326954EA"/>
    <w:rsid w:val="326C2300"/>
    <w:rsid w:val="32821B23"/>
    <w:rsid w:val="328C7ECF"/>
    <w:rsid w:val="32933D30"/>
    <w:rsid w:val="32D004E7"/>
    <w:rsid w:val="32D9616A"/>
    <w:rsid w:val="32DC1068"/>
    <w:rsid w:val="32EB1476"/>
    <w:rsid w:val="32EB3B6C"/>
    <w:rsid w:val="32FA5B5D"/>
    <w:rsid w:val="33044C2E"/>
    <w:rsid w:val="330662B0"/>
    <w:rsid w:val="3307027A"/>
    <w:rsid w:val="330D3AE3"/>
    <w:rsid w:val="33124E6A"/>
    <w:rsid w:val="33281B74"/>
    <w:rsid w:val="332B3F69"/>
    <w:rsid w:val="332D4EC1"/>
    <w:rsid w:val="33317CF6"/>
    <w:rsid w:val="3337290D"/>
    <w:rsid w:val="333B6001"/>
    <w:rsid w:val="334868C9"/>
    <w:rsid w:val="336E20A7"/>
    <w:rsid w:val="336E3E55"/>
    <w:rsid w:val="337F846D"/>
    <w:rsid w:val="33884F17"/>
    <w:rsid w:val="33890C8F"/>
    <w:rsid w:val="338B4C95"/>
    <w:rsid w:val="33B201E6"/>
    <w:rsid w:val="33C543BD"/>
    <w:rsid w:val="33DA14EB"/>
    <w:rsid w:val="33E02FA5"/>
    <w:rsid w:val="33ED2A92"/>
    <w:rsid w:val="33EF2C80"/>
    <w:rsid w:val="33F151B2"/>
    <w:rsid w:val="33F95E15"/>
    <w:rsid w:val="34000F51"/>
    <w:rsid w:val="34013646"/>
    <w:rsid w:val="34313801"/>
    <w:rsid w:val="343F0CBE"/>
    <w:rsid w:val="34474DD2"/>
    <w:rsid w:val="344B1B16"/>
    <w:rsid w:val="344E43B3"/>
    <w:rsid w:val="345C5511"/>
    <w:rsid w:val="34610250"/>
    <w:rsid w:val="34621C0C"/>
    <w:rsid w:val="346A286F"/>
    <w:rsid w:val="346C65E7"/>
    <w:rsid w:val="3477CFFA"/>
    <w:rsid w:val="3482405C"/>
    <w:rsid w:val="34853B4C"/>
    <w:rsid w:val="34897199"/>
    <w:rsid w:val="3491429F"/>
    <w:rsid w:val="3491604D"/>
    <w:rsid w:val="34984755"/>
    <w:rsid w:val="34A07D9E"/>
    <w:rsid w:val="34A642E1"/>
    <w:rsid w:val="34B23E72"/>
    <w:rsid w:val="34B77036"/>
    <w:rsid w:val="34BE3DF6"/>
    <w:rsid w:val="34CA7FCC"/>
    <w:rsid w:val="34D7EA0C"/>
    <w:rsid w:val="34D81ECE"/>
    <w:rsid w:val="34D8459F"/>
    <w:rsid w:val="34DF257C"/>
    <w:rsid w:val="34EE6121"/>
    <w:rsid w:val="34F211E2"/>
    <w:rsid w:val="34F40A54"/>
    <w:rsid w:val="34FA0097"/>
    <w:rsid w:val="35013F13"/>
    <w:rsid w:val="3513E4B8"/>
    <w:rsid w:val="351A54F3"/>
    <w:rsid w:val="35215623"/>
    <w:rsid w:val="3526155C"/>
    <w:rsid w:val="35305866"/>
    <w:rsid w:val="35335357"/>
    <w:rsid w:val="353D4FE0"/>
    <w:rsid w:val="353F3CFB"/>
    <w:rsid w:val="354237EC"/>
    <w:rsid w:val="35470E02"/>
    <w:rsid w:val="354C5E2E"/>
    <w:rsid w:val="3572028A"/>
    <w:rsid w:val="357F234A"/>
    <w:rsid w:val="358D4A67"/>
    <w:rsid w:val="35942299"/>
    <w:rsid w:val="3599162D"/>
    <w:rsid w:val="359C73A0"/>
    <w:rsid w:val="35A61FCC"/>
    <w:rsid w:val="35B2271F"/>
    <w:rsid w:val="35BFA456"/>
    <w:rsid w:val="35E84393"/>
    <w:rsid w:val="35E86141"/>
    <w:rsid w:val="35EF5721"/>
    <w:rsid w:val="35F02149"/>
    <w:rsid w:val="35FB40C6"/>
    <w:rsid w:val="35FF0288"/>
    <w:rsid w:val="360867E3"/>
    <w:rsid w:val="362508B9"/>
    <w:rsid w:val="363268B0"/>
    <w:rsid w:val="36511F38"/>
    <w:rsid w:val="365607BB"/>
    <w:rsid w:val="365E6403"/>
    <w:rsid w:val="3660217B"/>
    <w:rsid w:val="366224F3"/>
    <w:rsid w:val="368F2A60"/>
    <w:rsid w:val="369B7657"/>
    <w:rsid w:val="369E2CA4"/>
    <w:rsid w:val="36A9298D"/>
    <w:rsid w:val="36B97ADD"/>
    <w:rsid w:val="36DA0180"/>
    <w:rsid w:val="36DA1F9A"/>
    <w:rsid w:val="36DF7544"/>
    <w:rsid w:val="36F31241"/>
    <w:rsid w:val="36F6488E"/>
    <w:rsid w:val="37031712"/>
    <w:rsid w:val="37265173"/>
    <w:rsid w:val="37270FA6"/>
    <w:rsid w:val="37338D20"/>
    <w:rsid w:val="373830F8"/>
    <w:rsid w:val="37405B09"/>
    <w:rsid w:val="374B5CAE"/>
    <w:rsid w:val="374E28AA"/>
    <w:rsid w:val="375A6BCB"/>
    <w:rsid w:val="375FF736"/>
    <w:rsid w:val="375FFC8E"/>
    <w:rsid w:val="37734130"/>
    <w:rsid w:val="379F2985"/>
    <w:rsid w:val="37A10C9D"/>
    <w:rsid w:val="37A730A6"/>
    <w:rsid w:val="37AB5678"/>
    <w:rsid w:val="37B7096A"/>
    <w:rsid w:val="37B87D95"/>
    <w:rsid w:val="37B96544"/>
    <w:rsid w:val="37BF1B94"/>
    <w:rsid w:val="37C8622A"/>
    <w:rsid w:val="37DE4076"/>
    <w:rsid w:val="37EB016A"/>
    <w:rsid w:val="37EE37B7"/>
    <w:rsid w:val="37F76B0F"/>
    <w:rsid w:val="380A6843"/>
    <w:rsid w:val="3847592D"/>
    <w:rsid w:val="384A30E3"/>
    <w:rsid w:val="384F24A7"/>
    <w:rsid w:val="38507F7D"/>
    <w:rsid w:val="385775AE"/>
    <w:rsid w:val="385950D4"/>
    <w:rsid w:val="386121DB"/>
    <w:rsid w:val="386645FB"/>
    <w:rsid w:val="387737AC"/>
    <w:rsid w:val="388D4D7E"/>
    <w:rsid w:val="38961E84"/>
    <w:rsid w:val="38A24CCD"/>
    <w:rsid w:val="38A345A1"/>
    <w:rsid w:val="38AC78FA"/>
    <w:rsid w:val="38B603BB"/>
    <w:rsid w:val="38C05E29"/>
    <w:rsid w:val="38C06F01"/>
    <w:rsid w:val="38E86458"/>
    <w:rsid w:val="3907025B"/>
    <w:rsid w:val="390A63CE"/>
    <w:rsid w:val="392659E1"/>
    <w:rsid w:val="393B2A2C"/>
    <w:rsid w:val="394E6C03"/>
    <w:rsid w:val="395064D7"/>
    <w:rsid w:val="39551D3F"/>
    <w:rsid w:val="39601210"/>
    <w:rsid w:val="39641F82"/>
    <w:rsid w:val="396B1563"/>
    <w:rsid w:val="396C5956"/>
    <w:rsid w:val="39774B0B"/>
    <w:rsid w:val="397F976F"/>
    <w:rsid w:val="3986639D"/>
    <w:rsid w:val="39987E7E"/>
    <w:rsid w:val="399D7242"/>
    <w:rsid w:val="39A46823"/>
    <w:rsid w:val="39A700C1"/>
    <w:rsid w:val="39AD6068"/>
    <w:rsid w:val="39D864CC"/>
    <w:rsid w:val="39E304DF"/>
    <w:rsid w:val="39E6508D"/>
    <w:rsid w:val="39F117A0"/>
    <w:rsid w:val="3A090098"/>
    <w:rsid w:val="3A0A0D7C"/>
    <w:rsid w:val="3A105C66"/>
    <w:rsid w:val="3A1A0893"/>
    <w:rsid w:val="3A327A7E"/>
    <w:rsid w:val="3A37383C"/>
    <w:rsid w:val="3A3B73E3"/>
    <w:rsid w:val="3A573E9C"/>
    <w:rsid w:val="3A60099C"/>
    <w:rsid w:val="3A647D60"/>
    <w:rsid w:val="3A655FB2"/>
    <w:rsid w:val="3A72247D"/>
    <w:rsid w:val="3A79072A"/>
    <w:rsid w:val="3A83468A"/>
    <w:rsid w:val="3A8A3C6B"/>
    <w:rsid w:val="3A96260F"/>
    <w:rsid w:val="3AA92EF2"/>
    <w:rsid w:val="3AD1189A"/>
    <w:rsid w:val="3AD82FF0"/>
    <w:rsid w:val="3AEE1AC1"/>
    <w:rsid w:val="3AF65689"/>
    <w:rsid w:val="3AFD61EB"/>
    <w:rsid w:val="3AFF6407"/>
    <w:rsid w:val="3B0357CB"/>
    <w:rsid w:val="3B0C28D2"/>
    <w:rsid w:val="3B135A0E"/>
    <w:rsid w:val="3B1672AC"/>
    <w:rsid w:val="3B1F2605"/>
    <w:rsid w:val="3B295232"/>
    <w:rsid w:val="3B36794F"/>
    <w:rsid w:val="3B452322"/>
    <w:rsid w:val="3B714022"/>
    <w:rsid w:val="3B783AC3"/>
    <w:rsid w:val="3B7C7A57"/>
    <w:rsid w:val="3B8B5573"/>
    <w:rsid w:val="3B9338B9"/>
    <w:rsid w:val="3BA21FE3"/>
    <w:rsid w:val="3BA448B8"/>
    <w:rsid w:val="3BA70FA8"/>
    <w:rsid w:val="3BAC7C11"/>
    <w:rsid w:val="3BB1EC8D"/>
    <w:rsid w:val="3BB371F1"/>
    <w:rsid w:val="3BB86527"/>
    <w:rsid w:val="3BBF3CCF"/>
    <w:rsid w:val="3BBF5B96"/>
    <w:rsid w:val="3BC35686"/>
    <w:rsid w:val="3BC66F24"/>
    <w:rsid w:val="3BC96A15"/>
    <w:rsid w:val="3BCC3E0F"/>
    <w:rsid w:val="3BD80A06"/>
    <w:rsid w:val="3BD8642A"/>
    <w:rsid w:val="3BD864DE"/>
    <w:rsid w:val="3BDB54C1"/>
    <w:rsid w:val="3BE41159"/>
    <w:rsid w:val="3BE86E9B"/>
    <w:rsid w:val="3BF27D19"/>
    <w:rsid w:val="3BF515B8"/>
    <w:rsid w:val="3BF53366"/>
    <w:rsid w:val="3BFA097C"/>
    <w:rsid w:val="3BFDA05B"/>
    <w:rsid w:val="3C09E70E"/>
    <w:rsid w:val="3C1A71B0"/>
    <w:rsid w:val="3C241E9D"/>
    <w:rsid w:val="3C2974B3"/>
    <w:rsid w:val="3C3420E0"/>
    <w:rsid w:val="3C544530"/>
    <w:rsid w:val="3C5C5193"/>
    <w:rsid w:val="3C6472A5"/>
    <w:rsid w:val="3C6504EB"/>
    <w:rsid w:val="3C65673D"/>
    <w:rsid w:val="3C6A3D54"/>
    <w:rsid w:val="3C7DDE29"/>
    <w:rsid w:val="3C7FBAB0"/>
    <w:rsid w:val="3CA1704A"/>
    <w:rsid w:val="3CAB099C"/>
    <w:rsid w:val="3CB034FE"/>
    <w:rsid w:val="3CC50F8A"/>
    <w:rsid w:val="3CC571DC"/>
    <w:rsid w:val="3CDC9A35"/>
    <w:rsid w:val="3CE162B7"/>
    <w:rsid w:val="3CF707CB"/>
    <w:rsid w:val="3CFC0724"/>
    <w:rsid w:val="3D031AD6"/>
    <w:rsid w:val="3D053A7C"/>
    <w:rsid w:val="3D0E0B83"/>
    <w:rsid w:val="3D0F2C67"/>
    <w:rsid w:val="3D1E68EC"/>
    <w:rsid w:val="3D254C96"/>
    <w:rsid w:val="3D2BAB82"/>
    <w:rsid w:val="3D2E4D81"/>
    <w:rsid w:val="3D324146"/>
    <w:rsid w:val="3D5347E8"/>
    <w:rsid w:val="3D69400B"/>
    <w:rsid w:val="3D6C7658"/>
    <w:rsid w:val="3D74BF98"/>
    <w:rsid w:val="3D8250CD"/>
    <w:rsid w:val="3D85696B"/>
    <w:rsid w:val="3D8B4F1E"/>
    <w:rsid w:val="3D9FD550"/>
    <w:rsid w:val="3DA54918"/>
    <w:rsid w:val="3DAD3D95"/>
    <w:rsid w:val="3DAF5796"/>
    <w:rsid w:val="3DB72FC9"/>
    <w:rsid w:val="3DB75E19"/>
    <w:rsid w:val="3DB80AEF"/>
    <w:rsid w:val="3DCE0312"/>
    <w:rsid w:val="3DCE75E8"/>
    <w:rsid w:val="3DCF7A76"/>
    <w:rsid w:val="3DD32C78"/>
    <w:rsid w:val="3DD5344F"/>
    <w:rsid w:val="3DD84CED"/>
    <w:rsid w:val="3DD9310B"/>
    <w:rsid w:val="3DEB0EC4"/>
    <w:rsid w:val="3DEFDD45"/>
    <w:rsid w:val="3E1221A2"/>
    <w:rsid w:val="3E1C2E2C"/>
    <w:rsid w:val="3E2B12E9"/>
    <w:rsid w:val="3E32264F"/>
    <w:rsid w:val="3E351E7D"/>
    <w:rsid w:val="3E3A7756"/>
    <w:rsid w:val="3E4D8136"/>
    <w:rsid w:val="3E520C03"/>
    <w:rsid w:val="3E5527E2"/>
    <w:rsid w:val="3E5A3954"/>
    <w:rsid w:val="3E691DE9"/>
    <w:rsid w:val="3E741B5D"/>
    <w:rsid w:val="3E75078E"/>
    <w:rsid w:val="3E7F33BB"/>
    <w:rsid w:val="3E810EE1"/>
    <w:rsid w:val="3E891477"/>
    <w:rsid w:val="3E8A2668"/>
    <w:rsid w:val="3E9C21BE"/>
    <w:rsid w:val="3E9E2257"/>
    <w:rsid w:val="3EA00A69"/>
    <w:rsid w:val="3EAD25B2"/>
    <w:rsid w:val="3EB219E2"/>
    <w:rsid w:val="3EB764CB"/>
    <w:rsid w:val="3EBC460F"/>
    <w:rsid w:val="3EBE05AD"/>
    <w:rsid w:val="3EBE6A3E"/>
    <w:rsid w:val="3EBE6A89"/>
    <w:rsid w:val="3EBF1161"/>
    <w:rsid w:val="3EC139D3"/>
    <w:rsid w:val="3EC24DDC"/>
    <w:rsid w:val="3EC84D62"/>
    <w:rsid w:val="3EC946DA"/>
    <w:rsid w:val="3ED92ACB"/>
    <w:rsid w:val="3ED94336"/>
    <w:rsid w:val="3EDDB767"/>
    <w:rsid w:val="3EE45E5C"/>
    <w:rsid w:val="3EE73F52"/>
    <w:rsid w:val="3EF95498"/>
    <w:rsid w:val="3EFAAD99"/>
    <w:rsid w:val="3EFB6EE5"/>
    <w:rsid w:val="3EFE0783"/>
    <w:rsid w:val="3EFF747C"/>
    <w:rsid w:val="3F00274D"/>
    <w:rsid w:val="3F0062A9"/>
    <w:rsid w:val="3F08779A"/>
    <w:rsid w:val="3F090675"/>
    <w:rsid w:val="3F0A7128"/>
    <w:rsid w:val="3F0B4C4E"/>
    <w:rsid w:val="3F12422F"/>
    <w:rsid w:val="3F2EA7E7"/>
    <w:rsid w:val="3F2F6F36"/>
    <w:rsid w:val="3F312907"/>
    <w:rsid w:val="3F316DAB"/>
    <w:rsid w:val="3F37D0EF"/>
    <w:rsid w:val="3F3E3F78"/>
    <w:rsid w:val="3F4A5777"/>
    <w:rsid w:val="3F579AEE"/>
    <w:rsid w:val="3F5D6952"/>
    <w:rsid w:val="3F5D7DA6"/>
    <w:rsid w:val="3F5E058A"/>
    <w:rsid w:val="3F656A54"/>
    <w:rsid w:val="3F76656C"/>
    <w:rsid w:val="3F791BD5"/>
    <w:rsid w:val="3F7A8258"/>
    <w:rsid w:val="3F7D78FA"/>
    <w:rsid w:val="3F7F2C04"/>
    <w:rsid w:val="3F892743"/>
    <w:rsid w:val="3F9457EA"/>
    <w:rsid w:val="3FA44371"/>
    <w:rsid w:val="3FB3156E"/>
    <w:rsid w:val="3FB47094"/>
    <w:rsid w:val="3FB5178A"/>
    <w:rsid w:val="3FB6A992"/>
    <w:rsid w:val="3FBB62F6"/>
    <w:rsid w:val="3FBDCF92"/>
    <w:rsid w:val="3FBF7DC1"/>
    <w:rsid w:val="3FBFD56F"/>
    <w:rsid w:val="3FC65745"/>
    <w:rsid w:val="3FC76DC7"/>
    <w:rsid w:val="3FCF67F5"/>
    <w:rsid w:val="3FCF6BC8"/>
    <w:rsid w:val="3FDD32C4"/>
    <w:rsid w:val="3FDDA9A9"/>
    <w:rsid w:val="3FDDAE88"/>
    <w:rsid w:val="3FDFD444"/>
    <w:rsid w:val="3FDFFDE4"/>
    <w:rsid w:val="3FEBA0B3"/>
    <w:rsid w:val="3FED4A74"/>
    <w:rsid w:val="3FEDEFCC"/>
    <w:rsid w:val="3FEF7AAD"/>
    <w:rsid w:val="3FF51B86"/>
    <w:rsid w:val="3FF77674"/>
    <w:rsid w:val="3FF7BB81"/>
    <w:rsid w:val="3FF8FC66"/>
    <w:rsid w:val="3FF99C8F"/>
    <w:rsid w:val="3FFC73AB"/>
    <w:rsid w:val="3FFD827A"/>
    <w:rsid w:val="3FFE34BB"/>
    <w:rsid w:val="3FFF4431"/>
    <w:rsid w:val="40052D2B"/>
    <w:rsid w:val="401044A7"/>
    <w:rsid w:val="40295CD4"/>
    <w:rsid w:val="40316936"/>
    <w:rsid w:val="403C3A18"/>
    <w:rsid w:val="403E06F4"/>
    <w:rsid w:val="4044666A"/>
    <w:rsid w:val="404B17A6"/>
    <w:rsid w:val="405C7E57"/>
    <w:rsid w:val="40654645"/>
    <w:rsid w:val="408E324B"/>
    <w:rsid w:val="40970E8F"/>
    <w:rsid w:val="4097EBCD"/>
    <w:rsid w:val="409D0FBF"/>
    <w:rsid w:val="40BA6EBE"/>
    <w:rsid w:val="40CA1BEA"/>
    <w:rsid w:val="40D20119"/>
    <w:rsid w:val="40DE6ABE"/>
    <w:rsid w:val="40E90FBF"/>
    <w:rsid w:val="4105404B"/>
    <w:rsid w:val="411B55A4"/>
    <w:rsid w:val="411E6EBB"/>
    <w:rsid w:val="41270465"/>
    <w:rsid w:val="41336AA3"/>
    <w:rsid w:val="413F07E8"/>
    <w:rsid w:val="417E3DFD"/>
    <w:rsid w:val="417E7959"/>
    <w:rsid w:val="418807D8"/>
    <w:rsid w:val="418F1252"/>
    <w:rsid w:val="41943621"/>
    <w:rsid w:val="41A41AB6"/>
    <w:rsid w:val="41AC44C7"/>
    <w:rsid w:val="41B07643"/>
    <w:rsid w:val="41C07DA5"/>
    <w:rsid w:val="41CA0DF1"/>
    <w:rsid w:val="41CC6917"/>
    <w:rsid w:val="41CF1D2F"/>
    <w:rsid w:val="41D02A92"/>
    <w:rsid w:val="41D430A6"/>
    <w:rsid w:val="41DE5FC1"/>
    <w:rsid w:val="41E00614"/>
    <w:rsid w:val="420C67D1"/>
    <w:rsid w:val="421309EA"/>
    <w:rsid w:val="421913BA"/>
    <w:rsid w:val="42295B17"/>
    <w:rsid w:val="42733236"/>
    <w:rsid w:val="42756FAE"/>
    <w:rsid w:val="427B4921"/>
    <w:rsid w:val="4286740D"/>
    <w:rsid w:val="42892A5A"/>
    <w:rsid w:val="42A94B48"/>
    <w:rsid w:val="42B032DA"/>
    <w:rsid w:val="42D737C5"/>
    <w:rsid w:val="42DA5063"/>
    <w:rsid w:val="42ED123B"/>
    <w:rsid w:val="42ED4D97"/>
    <w:rsid w:val="42F06635"/>
    <w:rsid w:val="42F223AD"/>
    <w:rsid w:val="42F56341"/>
    <w:rsid w:val="42FA5706"/>
    <w:rsid w:val="42FA74B4"/>
    <w:rsid w:val="430622FC"/>
    <w:rsid w:val="430B7913"/>
    <w:rsid w:val="43195B8C"/>
    <w:rsid w:val="432307B8"/>
    <w:rsid w:val="43266633"/>
    <w:rsid w:val="433429C6"/>
    <w:rsid w:val="433C187A"/>
    <w:rsid w:val="433C5D1E"/>
    <w:rsid w:val="434150E2"/>
    <w:rsid w:val="43486471"/>
    <w:rsid w:val="43617533"/>
    <w:rsid w:val="437B05F4"/>
    <w:rsid w:val="43805C0B"/>
    <w:rsid w:val="438C2802"/>
    <w:rsid w:val="438F1A25"/>
    <w:rsid w:val="439711A6"/>
    <w:rsid w:val="43AC6A00"/>
    <w:rsid w:val="43B9736F"/>
    <w:rsid w:val="43C71A8C"/>
    <w:rsid w:val="43CC0E50"/>
    <w:rsid w:val="43D441A9"/>
    <w:rsid w:val="43D61CCF"/>
    <w:rsid w:val="43E3619A"/>
    <w:rsid w:val="43E52A81"/>
    <w:rsid w:val="43E80B70"/>
    <w:rsid w:val="43E83A89"/>
    <w:rsid w:val="43F15AEC"/>
    <w:rsid w:val="440E76BA"/>
    <w:rsid w:val="44103433"/>
    <w:rsid w:val="442E7C7D"/>
    <w:rsid w:val="4440539A"/>
    <w:rsid w:val="444E1587"/>
    <w:rsid w:val="446C2633"/>
    <w:rsid w:val="44754869"/>
    <w:rsid w:val="44760DBC"/>
    <w:rsid w:val="4484172B"/>
    <w:rsid w:val="448551C6"/>
    <w:rsid w:val="44882599"/>
    <w:rsid w:val="44A45929"/>
    <w:rsid w:val="44AB6CB7"/>
    <w:rsid w:val="44C1472D"/>
    <w:rsid w:val="44E64193"/>
    <w:rsid w:val="44E93C84"/>
    <w:rsid w:val="44EE3048"/>
    <w:rsid w:val="44FD328B"/>
    <w:rsid w:val="45060392"/>
    <w:rsid w:val="450B59A8"/>
    <w:rsid w:val="450D1720"/>
    <w:rsid w:val="450E35BB"/>
    <w:rsid w:val="4516348E"/>
    <w:rsid w:val="451E846F"/>
    <w:rsid w:val="45240818"/>
    <w:rsid w:val="45264590"/>
    <w:rsid w:val="45327C70"/>
    <w:rsid w:val="453D0AD6"/>
    <w:rsid w:val="4545107A"/>
    <w:rsid w:val="4545625B"/>
    <w:rsid w:val="45525385"/>
    <w:rsid w:val="45620AE1"/>
    <w:rsid w:val="456C6ACA"/>
    <w:rsid w:val="45806396"/>
    <w:rsid w:val="459B6D2C"/>
    <w:rsid w:val="459C0CF6"/>
    <w:rsid w:val="45A831F7"/>
    <w:rsid w:val="45B010D3"/>
    <w:rsid w:val="45B24076"/>
    <w:rsid w:val="45B64308"/>
    <w:rsid w:val="45B93656"/>
    <w:rsid w:val="45BF7797"/>
    <w:rsid w:val="45C5024D"/>
    <w:rsid w:val="45CD0EAF"/>
    <w:rsid w:val="45DBCEAD"/>
    <w:rsid w:val="46003033"/>
    <w:rsid w:val="46026DAB"/>
    <w:rsid w:val="460A2104"/>
    <w:rsid w:val="460F771A"/>
    <w:rsid w:val="4614088C"/>
    <w:rsid w:val="461B60BF"/>
    <w:rsid w:val="46203170"/>
    <w:rsid w:val="46286584"/>
    <w:rsid w:val="463E5596"/>
    <w:rsid w:val="464B69A4"/>
    <w:rsid w:val="465810C1"/>
    <w:rsid w:val="46603AD2"/>
    <w:rsid w:val="4669507C"/>
    <w:rsid w:val="4679192E"/>
    <w:rsid w:val="467F03FC"/>
    <w:rsid w:val="4698326B"/>
    <w:rsid w:val="46A312F1"/>
    <w:rsid w:val="46A71700"/>
    <w:rsid w:val="46AC0754"/>
    <w:rsid w:val="46BC33FE"/>
    <w:rsid w:val="46C71DA3"/>
    <w:rsid w:val="46D06EA9"/>
    <w:rsid w:val="46D11EE0"/>
    <w:rsid w:val="46DB2BB3"/>
    <w:rsid w:val="46F07B2C"/>
    <w:rsid w:val="47015186"/>
    <w:rsid w:val="47046CAB"/>
    <w:rsid w:val="47095F17"/>
    <w:rsid w:val="470E79D1"/>
    <w:rsid w:val="471548BC"/>
    <w:rsid w:val="47347438"/>
    <w:rsid w:val="474B29D4"/>
    <w:rsid w:val="47543636"/>
    <w:rsid w:val="47555600"/>
    <w:rsid w:val="475C24EB"/>
    <w:rsid w:val="475F022D"/>
    <w:rsid w:val="476B6BD2"/>
    <w:rsid w:val="47863A0C"/>
    <w:rsid w:val="478C6D9B"/>
    <w:rsid w:val="47A0687C"/>
    <w:rsid w:val="47A5451B"/>
    <w:rsid w:val="47A54BED"/>
    <w:rsid w:val="47BB1907"/>
    <w:rsid w:val="47C00CCC"/>
    <w:rsid w:val="47C17776"/>
    <w:rsid w:val="47C47445"/>
    <w:rsid w:val="47D6229D"/>
    <w:rsid w:val="47DF3D26"/>
    <w:rsid w:val="47E744AA"/>
    <w:rsid w:val="47F90B25"/>
    <w:rsid w:val="48054931"/>
    <w:rsid w:val="480F3A01"/>
    <w:rsid w:val="483A2895"/>
    <w:rsid w:val="48401E0D"/>
    <w:rsid w:val="48425B85"/>
    <w:rsid w:val="484A4A39"/>
    <w:rsid w:val="484C6A03"/>
    <w:rsid w:val="48655E1F"/>
    <w:rsid w:val="486E697A"/>
    <w:rsid w:val="487E46E3"/>
    <w:rsid w:val="488717E9"/>
    <w:rsid w:val="488F68F0"/>
    <w:rsid w:val="489857A5"/>
    <w:rsid w:val="489A776F"/>
    <w:rsid w:val="48B3438D"/>
    <w:rsid w:val="48B545A9"/>
    <w:rsid w:val="48B819A3"/>
    <w:rsid w:val="48B90DC9"/>
    <w:rsid w:val="48B9571B"/>
    <w:rsid w:val="48C20A74"/>
    <w:rsid w:val="48CB5B7A"/>
    <w:rsid w:val="48D52555"/>
    <w:rsid w:val="48D83DF3"/>
    <w:rsid w:val="48DA400F"/>
    <w:rsid w:val="48E629B4"/>
    <w:rsid w:val="48E94252"/>
    <w:rsid w:val="48F21359"/>
    <w:rsid w:val="48F873C3"/>
    <w:rsid w:val="48FF75D2"/>
    <w:rsid w:val="49172B6D"/>
    <w:rsid w:val="491D3EFC"/>
    <w:rsid w:val="49211C3E"/>
    <w:rsid w:val="49415E3C"/>
    <w:rsid w:val="49437E06"/>
    <w:rsid w:val="494616A5"/>
    <w:rsid w:val="49465201"/>
    <w:rsid w:val="494C1CAF"/>
    <w:rsid w:val="497C0C22"/>
    <w:rsid w:val="49831FB1"/>
    <w:rsid w:val="498E6BA8"/>
    <w:rsid w:val="498F4DFA"/>
    <w:rsid w:val="49A07007"/>
    <w:rsid w:val="49A445FA"/>
    <w:rsid w:val="49B44860"/>
    <w:rsid w:val="49CF25CA"/>
    <w:rsid w:val="49D835B1"/>
    <w:rsid w:val="49FA46A4"/>
    <w:rsid w:val="4A006AFD"/>
    <w:rsid w:val="4A050C18"/>
    <w:rsid w:val="4A0F1A96"/>
    <w:rsid w:val="4A1452FF"/>
    <w:rsid w:val="4A15042C"/>
    <w:rsid w:val="4A163429"/>
    <w:rsid w:val="4A2319E6"/>
    <w:rsid w:val="4A280DAA"/>
    <w:rsid w:val="4A2B1382"/>
    <w:rsid w:val="4A336491"/>
    <w:rsid w:val="4A372D9B"/>
    <w:rsid w:val="4A404346"/>
    <w:rsid w:val="4A590F64"/>
    <w:rsid w:val="4A606796"/>
    <w:rsid w:val="4A767D68"/>
    <w:rsid w:val="4A7933B4"/>
    <w:rsid w:val="4A857FAB"/>
    <w:rsid w:val="4A930919"/>
    <w:rsid w:val="4AC84139"/>
    <w:rsid w:val="4AD14F9E"/>
    <w:rsid w:val="4AD93E52"/>
    <w:rsid w:val="4ADC3072"/>
    <w:rsid w:val="4AEA59F8"/>
    <w:rsid w:val="4AEE3DA2"/>
    <w:rsid w:val="4AF31D4E"/>
    <w:rsid w:val="4B0379E4"/>
    <w:rsid w:val="4B0C247A"/>
    <w:rsid w:val="4B1A06F3"/>
    <w:rsid w:val="4B1D01E3"/>
    <w:rsid w:val="4B241572"/>
    <w:rsid w:val="4B35552D"/>
    <w:rsid w:val="4B3814C1"/>
    <w:rsid w:val="4B3C501C"/>
    <w:rsid w:val="4B3D2633"/>
    <w:rsid w:val="4B5807DC"/>
    <w:rsid w:val="4B797B0F"/>
    <w:rsid w:val="4B7C315C"/>
    <w:rsid w:val="4B901606"/>
    <w:rsid w:val="4B923A2A"/>
    <w:rsid w:val="4B971D44"/>
    <w:rsid w:val="4BB5041C"/>
    <w:rsid w:val="4BB943B0"/>
    <w:rsid w:val="4BCD7E5B"/>
    <w:rsid w:val="4BCF5632"/>
    <w:rsid w:val="4BD034A7"/>
    <w:rsid w:val="4BD72A88"/>
    <w:rsid w:val="4BDF193C"/>
    <w:rsid w:val="4BE60F1D"/>
    <w:rsid w:val="4BE96317"/>
    <w:rsid w:val="4C0C20D5"/>
    <w:rsid w:val="4C12586E"/>
    <w:rsid w:val="4C15710C"/>
    <w:rsid w:val="4C237A7B"/>
    <w:rsid w:val="4C2630C7"/>
    <w:rsid w:val="4C4694F0"/>
    <w:rsid w:val="4C5365B2"/>
    <w:rsid w:val="4C674453"/>
    <w:rsid w:val="4C6D5B21"/>
    <w:rsid w:val="4C7327B1"/>
    <w:rsid w:val="4C7402D7"/>
    <w:rsid w:val="4C7A5BFD"/>
    <w:rsid w:val="4C8B1B78"/>
    <w:rsid w:val="4C8D3147"/>
    <w:rsid w:val="4C912C37"/>
    <w:rsid w:val="4C9E7102"/>
    <w:rsid w:val="4CA26BF2"/>
    <w:rsid w:val="4CAF2B0F"/>
    <w:rsid w:val="4CBF59F6"/>
    <w:rsid w:val="4CD6689C"/>
    <w:rsid w:val="4CD6DDC4"/>
    <w:rsid w:val="4CE131AA"/>
    <w:rsid w:val="4CE27936"/>
    <w:rsid w:val="4CEA4513"/>
    <w:rsid w:val="4D0D79B2"/>
    <w:rsid w:val="4D0E689A"/>
    <w:rsid w:val="4D3D691B"/>
    <w:rsid w:val="4D40640B"/>
    <w:rsid w:val="4D64659D"/>
    <w:rsid w:val="4D873CBF"/>
    <w:rsid w:val="4D896004"/>
    <w:rsid w:val="4D9E1AAF"/>
    <w:rsid w:val="4DA93FB0"/>
    <w:rsid w:val="4DAE2558"/>
    <w:rsid w:val="4DBC3CE3"/>
    <w:rsid w:val="4DC332C4"/>
    <w:rsid w:val="4DD23507"/>
    <w:rsid w:val="4DDF3E76"/>
    <w:rsid w:val="4DEF230B"/>
    <w:rsid w:val="4DEF908C"/>
    <w:rsid w:val="4DFA2A5E"/>
    <w:rsid w:val="4DFF5F1D"/>
    <w:rsid w:val="4E0C07CA"/>
    <w:rsid w:val="4E0C2ABC"/>
    <w:rsid w:val="4E1C0C26"/>
    <w:rsid w:val="4E2D698F"/>
    <w:rsid w:val="4E37D432"/>
    <w:rsid w:val="4E393586"/>
    <w:rsid w:val="4E3A6FE6"/>
    <w:rsid w:val="4E6C6915"/>
    <w:rsid w:val="4E706A6C"/>
    <w:rsid w:val="4E742810"/>
    <w:rsid w:val="4E7445BE"/>
    <w:rsid w:val="4E9E163B"/>
    <w:rsid w:val="4EBB1AC9"/>
    <w:rsid w:val="4ECA2430"/>
    <w:rsid w:val="4ECC43FA"/>
    <w:rsid w:val="4ED079B5"/>
    <w:rsid w:val="4ED2B352"/>
    <w:rsid w:val="4EE74D90"/>
    <w:rsid w:val="4EF13E61"/>
    <w:rsid w:val="4EF676C9"/>
    <w:rsid w:val="4EF887AA"/>
    <w:rsid w:val="4F1A33B7"/>
    <w:rsid w:val="4F2A1121"/>
    <w:rsid w:val="4F2A6E43"/>
    <w:rsid w:val="4F477F24"/>
    <w:rsid w:val="4F5148FF"/>
    <w:rsid w:val="4F547613"/>
    <w:rsid w:val="4F6E3703"/>
    <w:rsid w:val="4F7FCECC"/>
    <w:rsid w:val="4F8922EB"/>
    <w:rsid w:val="4F9F1B0F"/>
    <w:rsid w:val="4FA40ED3"/>
    <w:rsid w:val="4FAC52CF"/>
    <w:rsid w:val="4FB629B4"/>
    <w:rsid w:val="4FC6709B"/>
    <w:rsid w:val="4FDD1DD6"/>
    <w:rsid w:val="4FDF61BA"/>
    <w:rsid w:val="4FDF63AF"/>
    <w:rsid w:val="4FE34534"/>
    <w:rsid w:val="4FFD3339"/>
    <w:rsid w:val="4FFE5B41"/>
    <w:rsid w:val="501871CB"/>
    <w:rsid w:val="502F5536"/>
    <w:rsid w:val="50414974"/>
    <w:rsid w:val="50465DC1"/>
    <w:rsid w:val="507B60D8"/>
    <w:rsid w:val="508D1967"/>
    <w:rsid w:val="509251CF"/>
    <w:rsid w:val="50A62F41"/>
    <w:rsid w:val="50A8054F"/>
    <w:rsid w:val="50AC6291"/>
    <w:rsid w:val="50B769E4"/>
    <w:rsid w:val="50BC3FFA"/>
    <w:rsid w:val="50C11611"/>
    <w:rsid w:val="50C57353"/>
    <w:rsid w:val="50CC1778"/>
    <w:rsid w:val="50CC6933"/>
    <w:rsid w:val="50CE26AB"/>
    <w:rsid w:val="50CF01D2"/>
    <w:rsid w:val="50DC04EE"/>
    <w:rsid w:val="50E023DF"/>
    <w:rsid w:val="50E43195"/>
    <w:rsid w:val="50E61077"/>
    <w:rsid w:val="511356C3"/>
    <w:rsid w:val="5121283B"/>
    <w:rsid w:val="512D6CA6"/>
    <w:rsid w:val="512E4EF8"/>
    <w:rsid w:val="51346287"/>
    <w:rsid w:val="515F1555"/>
    <w:rsid w:val="51705511"/>
    <w:rsid w:val="51890380"/>
    <w:rsid w:val="518F170F"/>
    <w:rsid w:val="51954F77"/>
    <w:rsid w:val="51B224CD"/>
    <w:rsid w:val="51B353FD"/>
    <w:rsid w:val="51C70EA9"/>
    <w:rsid w:val="51CB6BEB"/>
    <w:rsid w:val="51CD421C"/>
    <w:rsid w:val="51D30376"/>
    <w:rsid w:val="51DC4954"/>
    <w:rsid w:val="51FA2C46"/>
    <w:rsid w:val="51FC4FF6"/>
    <w:rsid w:val="520914C1"/>
    <w:rsid w:val="520F6922"/>
    <w:rsid w:val="521A1920"/>
    <w:rsid w:val="521C7446"/>
    <w:rsid w:val="52214A5D"/>
    <w:rsid w:val="522462FB"/>
    <w:rsid w:val="52412A09"/>
    <w:rsid w:val="52495D62"/>
    <w:rsid w:val="524D13AE"/>
    <w:rsid w:val="524D5852"/>
    <w:rsid w:val="52554706"/>
    <w:rsid w:val="525A0210"/>
    <w:rsid w:val="526B0D4E"/>
    <w:rsid w:val="52742FD2"/>
    <w:rsid w:val="527728CF"/>
    <w:rsid w:val="527E1EAF"/>
    <w:rsid w:val="52817993"/>
    <w:rsid w:val="529A68C0"/>
    <w:rsid w:val="529F636B"/>
    <w:rsid w:val="52AC4D13"/>
    <w:rsid w:val="52B458D1"/>
    <w:rsid w:val="52B551A5"/>
    <w:rsid w:val="52B70F1D"/>
    <w:rsid w:val="52ED493F"/>
    <w:rsid w:val="52EF28D8"/>
    <w:rsid w:val="52F95F32"/>
    <w:rsid w:val="530028C4"/>
    <w:rsid w:val="53017303"/>
    <w:rsid w:val="53060A5D"/>
    <w:rsid w:val="530F2B07"/>
    <w:rsid w:val="53125328"/>
    <w:rsid w:val="532365B3"/>
    <w:rsid w:val="53285A20"/>
    <w:rsid w:val="5329137C"/>
    <w:rsid w:val="532C36B9"/>
    <w:rsid w:val="5331489C"/>
    <w:rsid w:val="53360094"/>
    <w:rsid w:val="534A6576"/>
    <w:rsid w:val="535D7D17"/>
    <w:rsid w:val="53735D8F"/>
    <w:rsid w:val="5373753A"/>
    <w:rsid w:val="537957C3"/>
    <w:rsid w:val="5389410F"/>
    <w:rsid w:val="538C4158"/>
    <w:rsid w:val="53B042EA"/>
    <w:rsid w:val="53B12890"/>
    <w:rsid w:val="53C102A5"/>
    <w:rsid w:val="53C51418"/>
    <w:rsid w:val="53CE29C2"/>
    <w:rsid w:val="53D55AFF"/>
    <w:rsid w:val="53D7694A"/>
    <w:rsid w:val="53D8114B"/>
    <w:rsid w:val="53DC4BED"/>
    <w:rsid w:val="53E144A4"/>
    <w:rsid w:val="53F52597"/>
    <w:rsid w:val="53FFFE6D"/>
    <w:rsid w:val="54063F0A"/>
    <w:rsid w:val="540967B9"/>
    <w:rsid w:val="54120B01"/>
    <w:rsid w:val="5415414D"/>
    <w:rsid w:val="541A6387"/>
    <w:rsid w:val="541F37B3"/>
    <w:rsid w:val="542645AC"/>
    <w:rsid w:val="542B1BC3"/>
    <w:rsid w:val="54331F58"/>
    <w:rsid w:val="544B7B6F"/>
    <w:rsid w:val="545E787D"/>
    <w:rsid w:val="54666427"/>
    <w:rsid w:val="54775022"/>
    <w:rsid w:val="547846DC"/>
    <w:rsid w:val="54866F2F"/>
    <w:rsid w:val="548D462B"/>
    <w:rsid w:val="5498DED9"/>
    <w:rsid w:val="54A47929"/>
    <w:rsid w:val="54A84FC1"/>
    <w:rsid w:val="54AE00FE"/>
    <w:rsid w:val="54C94F38"/>
    <w:rsid w:val="54E029AD"/>
    <w:rsid w:val="54F2448F"/>
    <w:rsid w:val="54FE4BE1"/>
    <w:rsid w:val="55197C6D"/>
    <w:rsid w:val="551B1C37"/>
    <w:rsid w:val="551D4549"/>
    <w:rsid w:val="551D78F9"/>
    <w:rsid w:val="55316B16"/>
    <w:rsid w:val="55540CA5"/>
    <w:rsid w:val="555B0286"/>
    <w:rsid w:val="555D35F6"/>
    <w:rsid w:val="55620D75"/>
    <w:rsid w:val="5567B067"/>
    <w:rsid w:val="55766E6E"/>
    <w:rsid w:val="557B26D6"/>
    <w:rsid w:val="557F21C6"/>
    <w:rsid w:val="558570B1"/>
    <w:rsid w:val="558D65E8"/>
    <w:rsid w:val="55A35789"/>
    <w:rsid w:val="55AA4D69"/>
    <w:rsid w:val="55AD03B6"/>
    <w:rsid w:val="55B172C9"/>
    <w:rsid w:val="55BB0D24"/>
    <w:rsid w:val="55BD502A"/>
    <w:rsid w:val="55C73B6D"/>
    <w:rsid w:val="55CC6FE2"/>
    <w:rsid w:val="55D5BC09"/>
    <w:rsid w:val="55D851AC"/>
    <w:rsid w:val="55DA564E"/>
    <w:rsid w:val="55F33D67"/>
    <w:rsid w:val="55FC3817"/>
    <w:rsid w:val="55FDED6F"/>
    <w:rsid w:val="55FE8ACF"/>
    <w:rsid w:val="560E354A"/>
    <w:rsid w:val="56102E1E"/>
    <w:rsid w:val="561A5A4B"/>
    <w:rsid w:val="563D5BDD"/>
    <w:rsid w:val="56440D1A"/>
    <w:rsid w:val="564B02FA"/>
    <w:rsid w:val="564C7BCE"/>
    <w:rsid w:val="567535C9"/>
    <w:rsid w:val="567710EF"/>
    <w:rsid w:val="567C0587"/>
    <w:rsid w:val="567F7FA4"/>
    <w:rsid w:val="56813CC3"/>
    <w:rsid w:val="56921A85"/>
    <w:rsid w:val="569E48CE"/>
    <w:rsid w:val="56A1616C"/>
    <w:rsid w:val="56A16F76"/>
    <w:rsid w:val="56BA6147"/>
    <w:rsid w:val="56C41E5B"/>
    <w:rsid w:val="56CC7BF1"/>
    <w:rsid w:val="56DA167E"/>
    <w:rsid w:val="56E30139"/>
    <w:rsid w:val="56F72230"/>
    <w:rsid w:val="56F978F7"/>
    <w:rsid w:val="56FC33A3"/>
    <w:rsid w:val="571B816C"/>
    <w:rsid w:val="571F7091"/>
    <w:rsid w:val="57362D58"/>
    <w:rsid w:val="573B0156"/>
    <w:rsid w:val="573C7C43"/>
    <w:rsid w:val="573E74AA"/>
    <w:rsid w:val="573F1B39"/>
    <w:rsid w:val="57452F9B"/>
    <w:rsid w:val="574B60D8"/>
    <w:rsid w:val="575136EE"/>
    <w:rsid w:val="5757215D"/>
    <w:rsid w:val="576158FB"/>
    <w:rsid w:val="57754DE9"/>
    <w:rsid w:val="577949F3"/>
    <w:rsid w:val="577E2EC6"/>
    <w:rsid w:val="577FA48B"/>
    <w:rsid w:val="578A7A3C"/>
    <w:rsid w:val="579637F7"/>
    <w:rsid w:val="57996E43"/>
    <w:rsid w:val="579B2BBB"/>
    <w:rsid w:val="57B7C4D3"/>
    <w:rsid w:val="57BA0B3F"/>
    <w:rsid w:val="57BF5C28"/>
    <w:rsid w:val="57C2CF0F"/>
    <w:rsid w:val="57D30256"/>
    <w:rsid w:val="57DF519E"/>
    <w:rsid w:val="57F325DA"/>
    <w:rsid w:val="57F657DD"/>
    <w:rsid w:val="57F71329"/>
    <w:rsid w:val="57FF3D5D"/>
    <w:rsid w:val="581A675B"/>
    <w:rsid w:val="581A7F84"/>
    <w:rsid w:val="5829466B"/>
    <w:rsid w:val="582F1556"/>
    <w:rsid w:val="583A7626"/>
    <w:rsid w:val="5842572D"/>
    <w:rsid w:val="58490869"/>
    <w:rsid w:val="585F008D"/>
    <w:rsid w:val="5863FCE9"/>
    <w:rsid w:val="586B6A32"/>
    <w:rsid w:val="587358E6"/>
    <w:rsid w:val="587D49B7"/>
    <w:rsid w:val="587F072F"/>
    <w:rsid w:val="58913FBE"/>
    <w:rsid w:val="58A67C1C"/>
    <w:rsid w:val="58B57CAD"/>
    <w:rsid w:val="58BC1051"/>
    <w:rsid w:val="58C177A9"/>
    <w:rsid w:val="58C63C68"/>
    <w:rsid w:val="58D565A1"/>
    <w:rsid w:val="58DE5456"/>
    <w:rsid w:val="58DF4D2A"/>
    <w:rsid w:val="58E56AAA"/>
    <w:rsid w:val="590D7AE9"/>
    <w:rsid w:val="59173FC1"/>
    <w:rsid w:val="592117E6"/>
    <w:rsid w:val="59442F30"/>
    <w:rsid w:val="594A2AEB"/>
    <w:rsid w:val="59575208"/>
    <w:rsid w:val="59590F80"/>
    <w:rsid w:val="595C637A"/>
    <w:rsid w:val="595E0345"/>
    <w:rsid w:val="595E20F3"/>
    <w:rsid w:val="59693073"/>
    <w:rsid w:val="597A4A53"/>
    <w:rsid w:val="598360E7"/>
    <w:rsid w:val="59851D75"/>
    <w:rsid w:val="598633F7"/>
    <w:rsid w:val="598C74CC"/>
    <w:rsid w:val="59AB5FF6"/>
    <w:rsid w:val="59B178CD"/>
    <w:rsid w:val="59B60181"/>
    <w:rsid w:val="59DE3233"/>
    <w:rsid w:val="59EF3692"/>
    <w:rsid w:val="59EF71EF"/>
    <w:rsid w:val="59F20A8D"/>
    <w:rsid w:val="59F70A29"/>
    <w:rsid w:val="59FF21C7"/>
    <w:rsid w:val="5A016599"/>
    <w:rsid w:val="5A146C55"/>
    <w:rsid w:val="5A160C1F"/>
    <w:rsid w:val="5A166E71"/>
    <w:rsid w:val="5A2275C4"/>
    <w:rsid w:val="5A2A0227"/>
    <w:rsid w:val="5A3E60F4"/>
    <w:rsid w:val="5A416278"/>
    <w:rsid w:val="5A5D05FC"/>
    <w:rsid w:val="5A663955"/>
    <w:rsid w:val="5A685562"/>
    <w:rsid w:val="5A6E45B7"/>
    <w:rsid w:val="5A753B98"/>
    <w:rsid w:val="5A755946"/>
    <w:rsid w:val="5A820063"/>
    <w:rsid w:val="5A9866CB"/>
    <w:rsid w:val="5AA347A1"/>
    <w:rsid w:val="5AB85F0C"/>
    <w:rsid w:val="5ABF9ECC"/>
    <w:rsid w:val="5AFC7FD4"/>
    <w:rsid w:val="5AFD6421"/>
    <w:rsid w:val="5AFF3461"/>
    <w:rsid w:val="5AFF4F24"/>
    <w:rsid w:val="5B174C4F"/>
    <w:rsid w:val="5B25654A"/>
    <w:rsid w:val="5B2A2BD4"/>
    <w:rsid w:val="5B2B4256"/>
    <w:rsid w:val="5B341957"/>
    <w:rsid w:val="5B362ED0"/>
    <w:rsid w:val="5B3E21DC"/>
    <w:rsid w:val="5B3F379D"/>
    <w:rsid w:val="5B4D68C3"/>
    <w:rsid w:val="5B4DA295"/>
    <w:rsid w:val="5B590DC3"/>
    <w:rsid w:val="5B5E63DA"/>
    <w:rsid w:val="5B653C0C"/>
    <w:rsid w:val="5B6553FD"/>
    <w:rsid w:val="5B7618C6"/>
    <w:rsid w:val="5B7DC130"/>
    <w:rsid w:val="5B8147BE"/>
    <w:rsid w:val="5B8D2D21"/>
    <w:rsid w:val="5B9B5880"/>
    <w:rsid w:val="5B9C33A6"/>
    <w:rsid w:val="5B9C5154"/>
    <w:rsid w:val="5B9E0ECC"/>
    <w:rsid w:val="5BA1276A"/>
    <w:rsid w:val="5BA54009"/>
    <w:rsid w:val="5BAA161F"/>
    <w:rsid w:val="5BAA7871"/>
    <w:rsid w:val="5BB701E0"/>
    <w:rsid w:val="5BBB9642"/>
    <w:rsid w:val="5BD963A8"/>
    <w:rsid w:val="5BDB5C7C"/>
    <w:rsid w:val="5BDB7A2A"/>
    <w:rsid w:val="5BDF0777"/>
    <w:rsid w:val="5BE1763E"/>
    <w:rsid w:val="5BE45B62"/>
    <w:rsid w:val="5BFD2097"/>
    <w:rsid w:val="5BFECB50"/>
    <w:rsid w:val="5BFFC033"/>
    <w:rsid w:val="5BFFF4E5"/>
    <w:rsid w:val="5C254095"/>
    <w:rsid w:val="5C294C3A"/>
    <w:rsid w:val="5C471564"/>
    <w:rsid w:val="5C563555"/>
    <w:rsid w:val="5C6429DB"/>
    <w:rsid w:val="5C82434A"/>
    <w:rsid w:val="5C875E04"/>
    <w:rsid w:val="5C9F6CAA"/>
    <w:rsid w:val="5CA93F99"/>
    <w:rsid w:val="5CACF435"/>
    <w:rsid w:val="5CB35126"/>
    <w:rsid w:val="5CBC5AAE"/>
    <w:rsid w:val="5CC20BEA"/>
    <w:rsid w:val="5CD050B5"/>
    <w:rsid w:val="5CF7DB3C"/>
    <w:rsid w:val="5CFA0384"/>
    <w:rsid w:val="5D137698"/>
    <w:rsid w:val="5D235B2D"/>
    <w:rsid w:val="5D301FF8"/>
    <w:rsid w:val="5D320DA7"/>
    <w:rsid w:val="5D327B1E"/>
    <w:rsid w:val="5D4712BC"/>
    <w:rsid w:val="5D55380D"/>
    <w:rsid w:val="5D6E4CAC"/>
    <w:rsid w:val="5D7719D5"/>
    <w:rsid w:val="5D8440F2"/>
    <w:rsid w:val="5D8F31C2"/>
    <w:rsid w:val="5DB04EE7"/>
    <w:rsid w:val="5DB70023"/>
    <w:rsid w:val="5DBEAE8F"/>
    <w:rsid w:val="5DBF3CA9"/>
    <w:rsid w:val="5DC143F9"/>
    <w:rsid w:val="5DC2356B"/>
    <w:rsid w:val="5DC7791A"/>
    <w:rsid w:val="5DCD71B5"/>
    <w:rsid w:val="5DD9443E"/>
    <w:rsid w:val="5DE51034"/>
    <w:rsid w:val="5DE813D7"/>
    <w:rsid w:val="5DEB63BE"/>
    <w:rsid w:val="5DEEF991"/>
    <w:rsid w:val="5DF254FF"/>
    <w:rsid w:val="5DF52BDE"/>
    <w:rsid w:val="5DF63241"/>
    <w:rsid w:val="5DF70A03"/>
    <w:rsid w:val="5E015742"/>
    <w:rsid w:val="5E2F0501"/>
    <w:rsid w:val="5E323B4E"/>
    <w:rsid w:val="5E4915C3"/>
    <w:rsid w:val="5E4A7F38"/>
    <w:rsid w:val="5E4F9B92"/>
    <w:rsid w:val="5E552C22"/>
    <w:rsid w:val="5E556A51"/>
    <w:rsid w:val="5E5D506F"/>
    <w:rsid w:val="5E693A13"/>
    <w:rsid w:val="5E6A32E8"/>
    <w:rsid w:val="5E820631"/>
    <w:rsid w:val="5E826883"/>
    <w:rsid w:val="5E8A5EC2"/>
    <w:rsid w:val="5E8E6FD6"/>
    <w:rsid w:val="5E9465B6"/>
    <w:rsid w:val="5EA313D7"/>
    <w:rsid w:val="5EA70A7C"/>
    <w:rsid w:val="5EA92116"/>
    <w:rsid w:val="5EAC56AE"/>
    <w:rsid w:val="5EBD78BB"/>
    <w:rsid w:val="5EBE711E"/>
    <w:rsid w:val="5EBF3633"/>
    <w:rsid w:val="5EC73876"/>
    <w:rsid w:val="5EEC1F4F"/>
    <w:rsid w:val="5EEFF28C"/>
    <w:rsid w:val="5EFA28BD"/>
    <w:rsid w:val="5EFD5F0A"/>
    <w:rsid w:val="5F090D52"/>
    <w:rsid w:val="5F0D3FA0"/>
    <w:rsid w:val="5F3758C0"/>
    <w:rsid w:val="5F3E09A2"/>
    <w:rsid w:val="5F3E1E82"/>
    <w:rsid w:val="5F3E8E99"/>
    <w:rsid w:val="5F3F29C6"/>
    <w:rsid w:val="5F501E59"/>
    <w:rsid w:val="5F5F0972"/>
    <w:rsid w:val="5F66BC06"/>
    <w:rsid w:val="5F6845F0"/>
    <w:rsid w:val="5F6B37BB"/>
    <w:rsid w:val="5F6E0BB6"/>
    <w:rsid w:val="5F6F47EF"/>
    <w:rsid w:val="5F6FEDEB"/>
    <w:rsid w:val="5F702B80"/>
    <w:rsid w:val="5F77BA2F"/>
    <w:rsid w:val="5F7F6E04"/>
    <w:rsid w:val="5F8F21B6"/>
    <w:rsid w:val="5F9E731F"/>
    <w:rsid w:val="5FA665A1"/>
    <w:rsid w:val="5FAC3308"/>
    <w:rsid w:val="5FAF6A71"/>
    <w:rsid w:val="5FB134FB"/>
    <w:rsid w:val="5FB83481"/>
    <w:rsid w:val="5FBB4D76"/>
    <w:rsid w:val="5FD00162"/>
    <w:rsid w:val="5FD1F363"/>
    <w:rsid w:val="5FD749AD"/>
    <w:rsid w:val="5FD96977"/>
    <w:rsid w:val="5FDA624B"/>
    <w:rsid w:val="5FDBF741"/>
    <w:rsid w:val="5FDF5CC0"/>
    <w:rsid w:val="5FDFBC1F"/>
    <w:rsid w:val="5FE62E42"/>
    <w:rsid w:val="5FE74338"/>
    <w:rsid w:val="5FE77FBF"/>
    <w:rsid w:val="5FEEA49B"/>
    <w:rsid w:val="5FEEE866"/>
    <w:rsid w:val="5FF225FC"/>
    <w:rsid w:val="5FFE1F39"/>
    <w:rsid w:val="5FFFB2D3"/>
    <w:rsid w:val="600532C8"/>
    <w:rsid w:val="60397415"/>
    <w:rsid w:val="60511079"/>
    <w:rsid w:val="605E0C2A"/>
    <w:rsid w:val="605F7E99"/>
    <w:rsid w:val="60681AA9"/>
    <w:rsid w:val="60696BC9"/>
    <w:rsid w:val="606A3A73"/>
    <w:rsid w:val="607466A0"/>
    <w:rsid w:val="607B393B"/>
    <w:rsid w:val="60805044"/>
    <w:rsid w:val="608368E3"/>
    <w:rsid w:val="60847381"/>
    <w:rsid w:val="608651B6"/>
    <w:rsid w:val="609B1E7E"/>
    <w:rsid w:val="60AE7E03"/>
    <w:rsid w:val="60B62814"/>
    <w:rsid w:val="60C90799"/>
    <w:rsid w:val="60CE5DB0"/>
    <w:rsid w:val="60CF7EA1"/>
    <w:rsid w:val="60E750C3"/>
    <w:rsid w:val="60EC67B1"/>
    <w:rsid w:val="60F03F78"/>
    <w:rsid w:val="611B2BA6"/>
    <w:rsid w:val="612B4FB0"/>
    <w:rsid w:val="612C0D28"/>
    <w:rsid w:val="612C3F35"/>
    <w:rsid w:val="612E22FF"/>
    <w:rsid w:val="61371BA7"/>
    <w:rsid w:val="613D2F35"/>
    <w:rsid w:val="61412A26"/>
    <w:rsid w:val="614B5652"/>
    <w:rsid w:val="615D5386"/>
    <w:rsid w:val="61753245"/>
    <w:rsid w:val="6175447D"/>
    <w:rsid w:val="617D9914"/>
    <w:rsid w:val="61840B64"/>
    <w:rsid w:val="61856F4B"/>
    <w:rsid w:val="61882403"/>
    <w:rsid w:val="619568CD"/>
    <w:rsid w:val="61A22D98"/>
    <w:rsid w:val="61A42FB4"/>
    <w:rsid w:val="61A44D62"/>
    <w:rsid w:val="61AE798F"/>
    <w:rsid w:val="61B03707"/>
    <w:rsid w:val="61B24F3F"/>
    <w:rsid w:val="61C15914"/>
    <w:rsid w:val="61C55405"/>
    <w:rsid w:val="61E17D65"/>
    <w:rsid w:val="61E810F3"/>
    <w:rsid w:val="61FD7624"/>
    <w:rsid w:val="620B6B90"/>
    <w:rsid w:val="6211064A"/>
    <w:rsid w:val="621662C2"/>
    <w:rsid w:val="6220263B"/>
    <w:rsid w:val="622F05D2"/>
    <w:rsid w:val="622F6D22"/>
    <w:rsid w:val="623E5FD0"/>
    <w:rsid w:val="624A590A"/>
    <w:rsid w:val="624D0F56"/>
    <w:rsid w:val="62500A46"/>
    <w:rsid w:val="6252656D"/>
    <w:rsid w:val="62571DD5"/>
    <w:rsid w:val="625978FB"/>
    <w:rsid w:val="626D15F8"/>
    <w:rsid w:val="62736350"/>
    <w:rsid w:val="629628FD"/>
    <w:rsid w:val="629F2AD9"/>
    <w:rsid w:val="62A0552A"/>
    <w:rsid w:val="62A25746"/>
    <w:rsid w:val="62A72D5C"/>
    <w:rsid w:val="62A768B8"/>
    <w:rsid w:val="62B72874"/>
    <w:rsid w:val="62C51434"/>
    <w:rsid w:val="62D90A3C"/>
    <w:rsid w:val="62E33669"/>
    <w:rsid w:val="62FB4E56"/>
    <w:rsid w:val="62FD472A"/>
    <w:rsid w:val="630B716B"/>
    <w:rsid w:val="63267838"/>
    <w:rsid w:val="632B74E9"/>
    <w:rsid w:val="632E574D"/>
    <w:rsid w:val="6333639E"/>
    <w:rsid w:val="634C5CEC"/>
    <w:rsid w:val="6356208C"/>
    <w:rsid w:val="635B2902"/>
    <w:rsid w:val="635D095A"/>
    <w:rsid w:val="636B1FDC"/>
    <w:rsid w:val="63711334"/>
    <w:rsid w:val="637E805B"/>
    <w:rsid w:val="638730C9"/>
    <w:rsid w:val="63936E3D"/>
    <w:rsid w:val="639E88DB"/>
    <w:rsid w:val="63C55DEB"/>
    <w:rsid w:val="63C60FC0"/>
    <w:rsid w:val="63CE39A4"/>
    <w:rsid w:val="63D35447"/>
    <w:rsid w:val="63DD630A"/>
    <w:rsid w:val="63EE6769"/>
    <w:rsid w:val="63FF1893"/>
    <w:rsid w:val="63FF546D"/>
    <w:rsid w:val="6401024A"/>
    <w:rsid w:val="64063AB3"/>
    <w:rsid w:val="64095351"/>
    <w:rsid w:val="640970FF"/>
    <w:rsid w:val="64195594"/>
    <w:rsid w:val="64264155"/>
    <w:rsid w:val="64265F03"/>
    <w:rsid w:val="6429154F"/>
    <w:rsid w:val="643B7C00"/>
    <w:rsid w:val="645A5BAC"/>
    <w:rsid w:val="64744EC0"/>
    <w:rsid w:val="647454AC"/>
    <w:rsid w:val="647E189B"/>
    <w:rsid w:val="64874BF3"/>
    <w:rsid w:val="64923598"/>
    <w:rsid w:val="649F3CE2"/>
    <w:rsid w:val="64A227CA"/>
    <w:rsid w:val="64A55079"/>
    <w:rsid w:val="64A62BA0"/>
    <w:rsid w:val="64A90B79"/>
    <w:rsid w:val="64B21544"/>
    <w:rsid w:val="64BE438D"/>
    <w:rsid w:val="64CD637E"/>
    <w:rsid w:val="64CE2822"/>
    <w:rsid w:val="64D771FD"/>
    <w:rsid w:val="64DE058B"/>
    <w:rsid w:val="64F669AC"/>
    <w:rsid w:val="64FA7DE9"/>
    <w:rsid w:val="64FFE9E7"/>
    <w:rsid w:val="650224CC"/>
    <w:rsid w:val="650908AB"/>
    <w:rsid w:val="65257F68"/>
    <w:rsid w:val="652A37D1"/>
    <w:rsid w:val="652F2B95"/>
    <w:rsid w:val="65387C9C"/>
    <w:rsid w:val="656971DE"/>
    <w:rsid w:val="65766A16"/>
    <w:rsid w:val="657F1D6E"/>
    <w:rsid w:val="6598361E"/>
    <w:rsid w:val="65A35A9E"/>
    <w:rsid w:val="65B5026D"/>
    <w:rsid w:val="65B80DDC"/>
    <w:rsid w:val="65C14BBC"/>
    <w:rsid w:val="65C44AE4"/>
    <w:rsid w:val="65CF3A5E"/>
    <w:rsid w:val="65D33E68"/>
    <w:rsid w:val="65DF2E02"/>
    <w:rsid w:val="65E210B0"/>
    <w:rsid w:val="65F00576"/>
    <w:rsid w:val="65F78226"/>
    <w:rsid w:val="6603474E"/>
    <w:rsid w:val="663012BB"/>
    <w:rsid w:val="664F1741"/>
    <w:rsid w:val="6659CC4C"/>
    <w:rsid w:val="667FA3C5"/>
    <w:rsid w:val="66817531"/>
    <w:rsid w:val="668A4D72"/>
    <w:rsid w:val="668F4233"/>
    <w:rsid w:val="669453A6"/>
    <w:rsid w:val="669F3D36"/>
    <w:rsid w:val="66AA6977"/>
    <w:rsid w:val="66B27F22"/>
    <w:rsid w:val="66B96BB0"/>
    <w:rsid w:val="66BC48FC"/>
    <w:rsid w:val="66DC53F8"/>
    <w:rsid w:val="66DD12F8"/>
    <w:rsid w:val="66EF7601"/>
    <w:rsid w:val="66F61BBC"/>
    <w:rsid w:val="66F916AD"/>
    <w:rsid w:val="67260425"/>
    <w:rsid w:val="67513297"/>
    <w:rsid w:val="676905E0"/>
    <w:rsid w:val="676F8E6C"/>
    <w:rsid w:val="677A0A3F"/>
    <w:rsid w:val="677E44DE"/>
    <w:rsid w:val="6780592A"/>
    <w:rsid w:val="6784366C"/>
    <w:rsid w:val="678E6299"/>
    <w:rsid w:val="6796514D"/>
    <w:rsid w:val="679F72F3"/>
    <w:rsid w:val="67A23AF2"/>
    <w:rsid w:val="67A36E11"/>
    <w:rsid w:val="67AB784C"/>
    <w:rsid w:val="67AF2780"/>
    <w:rsid w:val="67AF4B50"/>
    <w:rsid w:val="67AF7EBD"/>
    <w:rsid w:val="67B101D9"/>
    <w:rsid w:val="67BAAD65"/>
    <w:rsid w:val="67BF6691"/>
    <w:rsid w:val="67CB129B"/>
    <w:rsid w:val="67CE2B39"/>
    <w:rsid w:val="67D143D7"/>
    <w:rsid w:val="67D57A24"/>
    <w:rsid w:val="67DB0DB2"/>
    <w:rsid w:val="67DD0343"/>
    <w:rsid w:val="67DF9E99"/>
    <w:rsid w:val="67E7992F"/>
    <w:rsid w:val="67E97973"/>
    <w:rsid w:val="67F02AB0"/>
    <w:rsid w:val="67FB9F1D"/>
    <w:rsid w:val="68030C10"/>
    <w:rsid w:val="681349F0"/>
    <w:rsid w:val="681450EA"/>
    <w:rsid w:val="681C1AF7"/>
    <w:rsid w:val="682664D1"/>
    <w:rsid w:val="68282249"/>
    <w:rsid w:val="683010FE"/>
    <w:rsid w:val="68342C0B"/>
    <w:rsid w:val="68391610"/>
    <w:rsid w:val="683A01CF"/>
    <w:rsid w:val="68442DFB"/>
    <w:rsid w:val="684626D0"/>
    <w:rsid w:val="684B418A"/>
    <w:rsid w:val="68550B65"/>
    <w:rsid w:val="6864524C"/>
    <w:rsid w:val="68715B33"/>
    <w:rsid w:val="68790CF7"/>
    <w:rsid w:val="687F641F"/>
    <w:rsid w:val="68833924"/>
    <w:rsid w:val="68866F70"/>
    <w:rsid w:val="68951A5F"/>
    <w:rsid w:val="68986ABC"/>
    <w:rsid w:val="68A17036"/>
    <w:rsid w:val="68A44B73"/>
    <w:rsid w:val="68B56789"/>
    <w:rsid w:val="68D04F89"/>
    <w:rsid w:val="68DC1286"/>
    <w:rsid w:val="68E1689C"/>
    <w:rsid w:val="68E65C61"/>
    <w:rsid w:val="68E72104"/>
    <w:rsid w:val="68F14D31"/>
    <w:rsid w:val="6905258B"/>
    <w:rsid w:val="690D143F"/>
    <w:rsid w:val="691C1682"/>
    <w:rsid w:val="692F7608"/>
    <w:rsid w:val="69456E2B"/>
    <w:rsid w:val="694A4441"/>
    <w:rsid w:val="695B664F"/>
    <w:rsid w:val="69620B1A"/>
    <w:rsid w:val="696C43B8"/>
    <w:rsid w:val="697F4ECF"/>
    <w:rsid w:val="6980615C"/>
    <w:rsid w:val="6981433F"/>
    <w:rsid w:val="699102C2"/>
    <w:rsid w:val="69913047"/>
    <w:rsid w:val="69944F9A"/>
    <w:rsid w:val="6998062A"/>
    <w:rsid w:val="69993EDC"/>
    <w:rsid w:val="699A128F"/>
    <w:rsid w:val="69B44F51"/>
    <w:rsid w:val="69BA15C7"/>
    <w:rsid w:val="69BDB1AD"/>
    <w:rsid w:val="69C02956"/>
    <w:rsid w:val="69CB5649"/>
    <w:rsid w:val="69CE5857"/>
    <w:rsid w:val="69D41F5D"/>
    <w:rsid w:val="69DB32EB"/>
    <w:rsid w:val="69DF346C"/>
    <w:rsid w:val="69E421A0"/>
    <w:rsid w:val="69F30635"/>
    <w:rsid w:val="69F83E9D"/>
    <w:rsid w:val="69F908EC"/>
    <w:rsid w:val="69FA5E67"/>
    <w:rsid w:val="69FB573C"/>
    <w:rsid w:val="69FF347E"/>
    <w:rsid w:val="69FFAB84"/>
    <w:rsid w:val="6A022F6E"/>
    <w:rsid w:val="6A050B73"/>
    <w:rsid w:val="6A121A5A"/>
    <w:rsid w:val="6A1C5DDE"/>
    <w:rsid w:val="6A1D1B56"/>
    <w:rsid w:val="6A2314C8"/>
    <w:rsid w:val="6A267CF8"/>
    <w:rsid w:val="6A2E5B11"/>
    <w:rsid w:val="6A2F5056"/>
    <w:rsid w:val="6A4E7F61"/>
    <w:rsid w:val="6A5D1F52"/>
    <w:rsid w:val="6A8324B8"/>
    <w:rsid w:val="6A9260A0"/>
    <w:rsid w:val="6A9516EC"/>
    <w:rsid w:val="6A95793E"/>
    <w:rsid w:val="6AA06A0F"/>
    <w:rsid w:val="6AA61B4B"/>
    <w:rsid w:val="6AA858C3"/>
    <w:rsid w:val="6AB04778"/>
    <w:rsid w:val="6AB37DC4"/>
    <w:rsid w:val="6AC36259"/>
    <w:rsid w:val="6AC67AF8"/>
    <w:rsid w:val="6ACB15B2"/>
    <w:rsid w:val="6ACF10A2"/>
    <w:rsid w:val="6AD541DF"/>
    <w:rsid w:val="6AD736D6"/>
    <w:rsid w:val="6AE82164"/>
    <w:rsid w:val="6AEF557A"/>
    <w:rsid w:val="6B034621"/>
    <w:rsid w:val="6B080110"/>
    <w:rsid w:val="6B0D0D45"/>
    <w:rsid w:val="6B104EE7"/>
    <w:rsid w:val="6B142F59"/>
    <w:rsid w:val="6B26541A"/>
    <w:rsid w:val="6B286A04"/>
    <w:rsid w:val="6B362ECF"/>
    <w:rsid w:val="6B3F9EFF"/>
    <w:rsid w:val="6B3FB914"/>
    <w:rsid w:val="6B454EC0"/>
    <w:rsid w:val="6B563571"/>
    <w:rsid w:val="6B615564"/>
    <w:rsid w:val="6B632E76"/>
    <w:rsid w:val="6B6A2B79"/>
    <w:rsid w:val="6B735ED1"/>
    <w:rsid w:val="6B743D22"/>
    <w:rsid w:val="6B76151E"/>
    <w:rsid w:val="6B8579B3"/>
    <w:rsid w:val="6B881251"/>
    <w:rsid w:val="6B923E7E"/>
    <w:rsid w:val="6B947BF6"/>
    <w:rsid w:val="6B97466E"/>
    <w:rsid w:val="6B9B2D32"/>
    <w:rsid w:val="6BA0733A"/>
    <w:rsid w:val="6BAC3EA4"/>
    <w:rsid w:val="6BB00795"/>
    <w:rsid w:val="6BBA3B00"/>
    <w:rsid w:val="6BBFFC95"/>
    <w:rsid w:val="6BCFD03E"/>
    <w:rsid w:val="6BCFD2AB"/>
    <w:rsid w:val="6BD72CAB"/>
    <w:rsid w:val="6BE02E3B"/>
    <w:rsid w:val="6BE249E6"/>
    <w:rsid w:val="6BE6298C"/>
    <w:rsid w:val="6BECFC98"/>
    <w:rsid w:val="6BEE9241"/>
    <w:rsid w:val="6BFD5F1B"/>
    <w:rsid w:val="6BFF1513"/>
    <w:rsid w:val="6C066D46"/>
    <w:rsid w:val="6C136DEC"/>
    <w:rsid w:val="6C28360B"/>
    <w:rsid w:val="6C2C6080"/>
    <w:rsid w:val="6C33740F"/>
    <w:rsid w:val="6C376397"/>
    <w:rsid w:val="6C4030CE"/>
    <w:rsid w:val="6C4D6722"/>
    <w:rsid w:val="6C553829"/>
    <w:rsid w:val="6C6F5E1B"/>
    <w:rsid w:val="6C705F6D"/>
    <w:rsid w:val="6C713842"/>
    <w:rsid w:val="6C787517"/>
    <w:rsid w:val="6C847C6A"/>
    <w:rsid w:val="6C922387"/>
    <w:rsid w:val="6C967EEC"/>
    <w:rsid w:val="6C9D0D2C"/>
    <w:rsid w:val="6CB00A5F"/>
    <w:rsid w:val="6CB24EA6"/>
    <w:rsid w:val="6CBA0F47"/>
    <w:rsid w:val="6CDA5ADC"/>
    <w:rsid w:val="6CDC145C"/>
    <w:rsid w:val="6CDF05BA"/>
    <w:rsid w:val="6CE9291E"/>
    <w:rsid w:val="6CED1CB3"/>
    <w:rsid w:val="6D062D75"/>
    <w:rsid w:val="6D0D7C60"/>
    <w:rsid w:val="6D1E1E6D"/>
    <w:rsid w:val="6D2531FB"/>
    <w:rsid w:val="6D282CEC"/>
    <w:rsid w:val="6D2A3FA6"/>
    <w:rsid w:val="6D2B26D1"/>
    <w:rsid w:val="6D496DDE"/>
    <w:rsid w:val="6D4D4500"/>
    <w:rsid w:val="6D551575"/>
    <w:rsid w:val="6D7825A4"/>
    <w:rsid w:val="6D7D4A31"/>
    <w:rsid w:val="6D7F6A3F"/>
    <w:rsid w:val="6D7FE0D7"/>
    <w:rsid w:val="6D9D0732"/>
    <w:rsid w:val="6DAD31F1"/>
    <w:rsid w:val="6DB8A506"/>
    <w:rsid w:val="6DCE2F61"/>
    <w:rsid w:val="6DD46E3F"/>
    <w:rsid w:val="6DD8026E"/>
    <w:rsid w:val="6DDD5884"/>
    <w:rsid w:val="6DE704B1"/>
    <w:rsid w:val="6DE77FDB"/>
    <w:rsid w:val="6DFD9D27"/>
    <w:rsid w:val="6DFDA4AD"/>
    <w:rsid w:val="6DFE3847"/>
    <w:rsid w:val="6DFE3B02"/>
    <w:rsid w:val="6E0948CB"/>
    <w:rsid w:val="6E0E1EE1"/>
    <w:rsid w:val="6E0F17B6"/>
    <w:rsid w:val="6E105C5A"/>
    <w:rsid w:val="6E1374F8"/>
    <w:rsid w:val="6E1C26DF"/>
    <w:rsid w:val="6E292877"/>
    <w:rsid w:val="6E3556C0"/>
    <w:rsid w:val="6E4B6F06"/>
    <w:rsid w:val="6E5B49FB"/>
    <w:rsid w:val="6E6733A0"/>
    <w:rsid w:val="6E6F9EBE"/>
    <w:rsid w:val="6E79134A"/>
    <w:rsid w:val="6E7F0E65"/>
    <w:rsid w:val="6E843F52"/>
    <w:rsid w:val="6E8E5C79"/>
    <w:rsid w:val="6EB81FD5"/>
    <w:rsid w:val="6EBC4C7E"/>
    <w:rsid w:val="6EBDEFA3"/>
    <w:rsid w:val="6EC79EE6"/>
    <w:rsid w:val="6ED529FF"/>
    <w:rsid w:val="6EDE6742"/>
    <w:rsid w:val="6EEF9E19"/>
    <w:rsid w:val="6EF536FA"/>
    <w:rsid w:val="6EF570F8"/>
    <w:rsid w:val="6EF830A9"/>
    <w:rsid w:val="6EFF0227"/>
    <w:rsid w:val="6EFF1C33"/>
    <w:rsid w:val="6F086A3D"/>
    <w:rsid w:val="6F0B01CF"/>
    <w:rsid w:val="6F101C89"/>
    <w:rsid w:val="6F196D90"/>
    <w:rsid w:val="6F20011E"/>
    <w:rsid w:val="6F307C36"/>
    <w:rsid w:val="6F34724B"/>
    <w:rsid w:val="6F4C37C5"/>
    <w:rsid w:val="6F4DFEF1"/>
    <w:rsid w:val="6F4F026E"/>
    <w:rsid w:val="6F506FA1"/>
    <w:rsid w:val="6F5A4CB2"/>
    <w:rsid w:val="6F5E6FAE"/>
    <w:rsid w:val="6F6F0F37"/>
    <w:rsid w:val="6F751AEC"/>
    <w:rsid w:val="6F7E1CF6"/>
    <w:rsid w:val="6F8B7FB3"/>
    <w:rsid w:val="6F9401C4"/>
    <w:rsid w:val="6F963F3C"/>
    <w:rsid w:val="6F97C6DD"/>
    <w:rsid w:val="6F9B1553"/>
    <w:rsid w:val="6F9B77A5"/>
    <w:rsid w:val="6FB24AEE"/>
    <w:rsid w:val="6FB70357"/>
    <w:rsid w:val="6FBA7D9D"/>
    <w:rsid w:val="6FC00FB9"/>
    <w:rsid w:val="6FC73E91"/>
    <w:rsid w:val="6FC767EC"/>
    <w:rsid w:val="6FDF3048"/>
    <w:rsid w:val="6FEBB3FD"/>
    <w:rsid w:val="6FEE342C"/>
    <w:rsid w:val="6FF5E4CA"/>
    <w:rsid w:val="6FF6BBC2"/>
    <w:rsid w:val="6FF753FD"/>
    <w:rsid w:val="6FF9271D"/>
    <w:rsid w:val="6FFE7BDF"/>
    <w:rsid w:val="6FFF748D"/>
    <w:rsid w:val="6FFF9368"/>
    <w:rsid w:val="700E3D2C"/>
    <w:rsid w:val="70265F41"/>
    <w:rsid w:val="702E686B"/>
    <w:rsid w:val="70427C4A"/>
    <w:rsid w:val="70512CAE"/>
    <w:rsid w:val="70691651"/>
    <w:rsid w:val="707D334E"/>
    <w:rsid w:val="708C17E3"/>
    <w:rsid w:val="708F302F"/>
    <w:rsid w:val="70911A2C"/>
    <w:rsid w:val="70BC0902"/>
    <w:rsid w:val="70E36DEE"/>
    <w:rsid w:val="70EB02B8"/>
    <w:rsid w:val="70F869CD"/>
    <w:rsid w:val="70F96E79"/>
    <w:rsid w:val="71033854"/>
    <w:rsid w:val="71043AE9"/>
    <w:rsid w:val="710475CC"/>
    <w:rsid w:val="710F4E23"/>
    <w:rsid w:val="71105F71"/>
    <w:rsid w:val="71233EF6"/>
    <w:rsid w:val="712437CA"/>
    <w:rsid w:val="71461992"/>
    <w:rsid w:val="7148570A"/>
    <w:rsid w:val="714D0842"/>
    <w:rsid w:val="714D24B8"/>
    <w:rsid w:val="71535E5D"/>
    <w:rsid w:val="715B1F68"/>
    <w:rsid w:val="7161057A"/>
    <w:rsid w:val="71662034"/>
    <w:rsid w:val="717F6C52"/>
    <w:rsid w:val="718B3849"/>
    <w:rsid w:val="718F3339"/>
    <w:rsid w:val="71A87F57"/>
    <w:rsid w:val="71AD1A11"/>
    <w:rsid w:val="71B132B0"/>
    <w:rsid w:val="71B9429F"/>
    <w:rsid w:val="71D5DF55"/>
    <w:rsid w:val="71D60F68"/>
    <w:rsid w:val="71D64AC4"/>
    <w:rsid w:val="71E13469"/>
    <w:rsid w:val="71E74F23"/>
    <w:rsid w:val="71E76CD1"/>
    <w:rsid w:val="720F6228"/>
    <w:rsid w:val="72133F6A"/>
    <w:rsid w:val="72367C59"/>
    <w:rsid w:val="72473C14"/>
    <w:rsid w:val="725F24C9"/>
    <w:rsid w:val="726148AD"/>
    <w:rsid w:val="726A16B0"/>
    <w:rsid w:val="726B5B54"/>
    <w:rsid w:val="727B1B10"/>
    <w:rsid w:val="72802C82"/>
    <w:rsid w:val="728E3085"/>
    <w:rsid w:val="728E539F"/>
    <w:rsid w:val="72964253"/>
    <w:rsid w:val="729D386D"/>
    <w:rsid w:val="72A03324"/>
    <w:rsid w:val="72BE0D56"/>
    <w:rsid w:val="72BFFA09"/>
    <w:rsid w:val="72C13775"/>
    <w:rsid w:val="72C2329A"/>
    <w:rsid w:val="72C658E2"/>
    <w:rsid w:val="72CA465D"/>
    <w:rsid w:val="72D059B7"/>
    <w:rsid w:val="72ED5B8D"/>
    <w:rsid w:val="72FA0C86"/>
    <w:rsid w:val="7307685D"/>
    <w:rsid w:val="73171838"/>
    <w:rsid w:val="731A4E85"/>
    <w:rsid w:val="733C4B4B"/>
    <w:rsid w:val="73403DFE"/>
    <w:rsid w:val="734A2299"/>
    <w:rsid w:val="73532145"/>
    <w:rsid w:val="735CD5D3"/>
    <w:rsid w:val="73697BBA"/>
    <w:rsid w:val="7370719A"/>
    <w:rsid w:val="73716B5E"/>
    <w:rsid w:val="73760ACE"/>
    <w:rsid w:val="737FDF9D"/>
    <w:rsid w:val="738B18DE"/>
    <w:rsid w:val="738B7B30"/>
    <w:rsid w:val="738F1CDE"/>
    <w:rsid w:val="73944C37"/>
    <w:rsid w:val="73974727"/>
    <w:rsid w:val="73A2766E"/>
    <w:rsid w:val="73A86934"/>
    <w:rsid w:val="73AC0C70"/>
    <w:rsid w:val="73BD5C61"/>
    <w:rsid w:val="73BF3D43"/>
    <w:rsid w:val="73C60B68"/>
    <w:rsid w:val="73C910A3"/>
    <w:rsid w:val="73D43285"/>
    <w:rsid w:val="73DB1B03"/>
    <w:rsid w:val="73DEEBDF"/>
    <w:rsid w:val="73F282FC"/>
    <w:rsid w:val="73F74BF4"/>
    <w:rsid w:val="73F92565"/>
    <w:rsid w:val="73FF5F1C"/>
    <w:rsid w:val="740F250F"/>
    <w:rsid w:val="74125C89"/>
    <w:rsid w:val="74192A57"/>
    <w:rsid w:val="742003C3"/>
    <w:rsid w:val="74235FBB"/>
    <w:rsid w:val="743401C8"/>
    <w:rsid w:val="743B1556"/>
    <w:rsid w:val="74424693"/>
    <w:rsid w:val="7447614D"/>
    <w:rsid w:val="744F0B5E"/>
    <w:rsid w:val="74510D7A"/>
    <w:rsid w:val="74575C64"/>
    <w:rsid w:val="745B5755"/>
    <w:rsid w:val="746565D3"/>
    <w:rsid w:val="746A1E3C"/>
    <w:rsid w:val="747134E9"/>
    <w:rsid w:val="748051BB"/>
    <w:rsid w:val="74836A59"/>
    <w:rsid w:val="748650DC"/>
    <w:rsid w:val="74B543C5"/>
    <w:rsid w:val="74C04712"/>
    <w:rsid w:val="74C652C4"/>
    <w:rsid w:val="74DF1EE2"/>
    <w:rsid w:val="74E97204"/>
    <w:rsid w:val="74EC0AA3"/>
    <w:rsid w:val="74F11C15"/>
    <w:rsid w:val="74F45F1A"/>
    <w:rsid w:val="74F700BB"/>
    <w:rsid w:val="74F7B069"/>
    <w:rsid w:val="74F900F2"/>
    <w:rsid w:val="74FA4F6E"/>
    <w:rsid w:val="74FFEADF"/>
    <w:rsid w:val="7501454E"/>
    <w:rsid w:val="75050D66"/>
    <w:rsid w:val="75183646"/>
    <w:rsid w:val="751B4EE4"/>
    <w:rsid w:val="751F49D4"/>
    <w:rsid w:val="75226272"/>
    <w:rsid w:val="75263FB5"/>
    <w:rsid w:val="75297601"/>
    <w:rsid w:val="754F701B"/>
    <w:rsid w:val="75501031"/>
    <w:rsid w:val="756158FE"/>
    <w:rsid w:val="75644ADD"/>
    <w:rsid w:val="75660855"/>
    <w:rsid w:val="75687D2E"/>
    <w:rsid w:val="75778B8D"/>
    <w:rsid w:val="75812F99"/>
    <w:rsid w:val="75870556"/>
    <w:rsid w:val="759FC2D7"/>
    <w:rsid w:val="75B571F5"/>
    <w:rsid w:val="75B576D0"/>
    <w:rsid w:val="75BFF91C"/>
    <w:rsid w:val="75CA0DE4"/>
    <w:rsid w:val="75E4013C"/>
    <w:rsid w:val="75EC1E55"/>
    <w:rsid w:val="75EECA36"/>
    <w:rsid w:val="75F145C2"/>
    <w:rsid w:val="75F41852"/>
    <w:rsid w:val="75FA2D4B"/>
    <w:rsid w:val="75FB0F9D"/>
    <w:rsid w:val="75FC4D15"/>
    <w:rsid w:val="75FDD6C6"/>
    <w:rsid w:val="75FE45EA"/>
    <w:rsid w:val="75FF857F"/>
    <w:rsid w:val="75FF881E"/>
    <w:rsid w:val="75FFE84F"/>
    <w:rsid w:val="76037E52"/>
    <w:rsid w:val="76051E1C"/>
    <w:rsid w:val="76065B94"/>
    <w:rsid w:val="76183420"/>
    <w:rsid w:val="76191423"/>
    <w:rsid w:val="76232DC6"/>
    <w:rsid w:val="762B1157"/>
    <w:rsid w:val="763D7808"/>
    <w:rsid w:val="7640418E"/>
    <w:rsid w:val="76487F5B"/>
    <w:rsid w:val="76630022"/>
    <w:rsid w:val="76651207"/>
    <w:rsid w:val="7671300D"/>
    <w:rsid w:val="76724FD8"/>
    <w:rsid w:val="767825EE"/>
    <w:rsid w:val="7687606F"/>
    <w:rsid w:val="768B79D3"/>
    <w:rsid w:val="76960CC6"/>
    <w:rsid w:val="769D14E0"/>
    <w:rsid w:val="76A214DE"/>
    <w:rsid w:val="76A333E3"/>
    <w:rsid w:val="76B86E8E"/>
    <w:rsid w:val="76BE4A5D"/>
    <w:rsid w:val="76CD220E"/>
    <w:rsid w:val="76CD649B"/>
    <w:rsid w:val="76CE7176"/>
    <w:rsid w:val="76D21489"/>
    <w:rsid w:val="76DE33B7"/>
    <w:rsid w:val="76DF92D8"/>
    <w:rsid w:val="76E77774"/>
    <w:rsid w:val="76EE28B0"/>
    <w:rsid w:val="76EE377D"/>
    <w:rsid w:val="76F459ED"/>
    <w:rsid w:val="76FA1255"/>
    <w:rsid w:val="76FE0619"/>
    <w:rsid w:val="76FF71B4"/>
    <w:rsid w:val="76FFA0AA"/>
    <w:rsid w:val="770A3467"/>
    <w:rsid w:val="771B11CB"/>
    <w:rsid w:val="771C566F"/>
    <w:rsid w:val="77274014"/>
    <w:rsid w:val="77321BEC"/>
    <w:rsid w:val="774B6334"/>
    <w:rsid w:val="7775656E"/>
    <w:rsid w:val="7778C725"/>
    <w:rsid w:val="777F79AC"/>
    <w:rsid w:val="77876861"/>
    <w:rsid w:val="778816AD"/>
    <w:rsid w:val="77A25449"/>
    <w:rsid w:val="77A318EC"/>
    <w:rsid w:val="77AC9C75"/>
    <w:rsid w:val="77AE3C4C"/>
    <w:rsid w:val="77BB3AEB"/>
    <w:rsid w:val="77BD584B"/>
    <w:rsid w:val="77C73C5E"/>
    <w:rsid w:val="77CB499F"/>
    <w:rsid w:val="77CE4490"/>
    <w:rsid w:val="77CFC025"/>
    <w:rsid w:val="77DAC508"/>
    <w:rsid w:val="77E65C7D"/>
    <w:rsid w:val="77EB8379"/>
    <w:rsid w:val="77EBC8EA"/>
    <w:rsid w:val="77F34277"/>
    <w:rsid w:val="77F774C8"/>
    <w:rsid w:val="77F78D72"/>
    <w:rsid w:val="77F7AC9B"/>
    <w:rsid w:val="77F83369"/>
    <w:rsid w:val="77FB2AC8"/>
    <w:rsid w:val="77FB75F0"/>
    <w:rsid w:val="77FC6690"/>
    <w:rsid w:val="77FC6DDF"/>
    <w:rsid w:val="77FFF754"/>
    <w:rsid w:val="78066B76"/>
    <w:rsid w:val="78191BAF"/>
    <w:rsid w:val="781D05EA"/>
    <w:rsid w:val="782567A5"/>
    <w:rsid w:val="782F13D2"/>
    <w:rsid w:val="783828AA"/>
    <w:rsid w:val="783A5B3C"/>
    <w:rsid w:val="784A6593"/>
    <w:rsid w:val="784B0E08"/>
    <w:rsid w:val="784C1F84"/>
    <w:rsid w:val="78686F1E"/>
    <w:rsid w:val="786B3E1B"/>
    <w:rsid w:val="786D3CA8"/>
    <w:rsid w:val="787768D5"/>
    <w:rsid w:val="787C9058"/>
    <w:rsid w:val="788306BD"/>
    <w:rsid w:val="7883171E"/>
    <w:rsid w:val="7883527A"/>
    <w:rsid w:val="788F1E71"/>
    <w:rsid w:val="78931961"/>
    <w:rsid w:val="789A6EAC"/>
    <w:rsid w:val="78A76B46"/>
    <w:rsid w:val="78B74F24"/>
    <w:rsid w:val="78BB0EB8"/>
    <w:rsid w:val="78DE6954"/>
    <w:rsid w:val="78E026CC"/>
    <w:rsid w:val="78E90E66"/>
    <w:rsid w:val="78FB74C6"/>
    <w:rsid w:val="78FFC208"/>
    <w:rsid w:val="79092423"/>
    <w:rsid w:val="792151BF"/>
    <w:rsid w:val="792E3438"/>
    <w:rsid w:val="793B1DCD"/>
    <w:rsid w:val="79425135"/>
    <w:rsid w:val="79501600"/>
    <w:rsid w:val="79554E68"/>
    <w:rsid w:val="79660E24"/>
    <w:rsid w:val="796706F8"/>
    <w:rsid w:val="7979769D"/>
    <w:rsid w:val="797A667D"/>
    <w:rsid w:val="797DF5BB"/>
    <w:rsid w:val="79856DD0"/>
    <w:rsid w:val="79991DA1"/>
    <w:rsid w:val="799C2A97"/>
    <w:rsid w:val="79A25BD4"/>
    <w:rsid w:val="79A51EB4"/>
    <w:rsid w:val="79A75A82"/>
    <w:rsid w:val="79A96F62"/>
    <w:rsid w:val="79B40181"/>
    <w:rsid w:val="79C43D9C"/>
    <w:rsid w:val="79D078B1"/>
    <w:rsid w:val="79D5685F"/>
    <w:rsid w:val="79D97847"/>
    <w:rsid w:val="79E70D0C"/>
    <w:rsid w:val="79E93803"/>
    <w:rsid w:val="79EF24DE"/>
    <w:rsid w:val="79F503F9"/>
    <w:rsid w:val="79F777B7"/>
    <w:rsid w:val="79F9C24F"/>
    <w:rsid w:val="79FB7128"/>
    <w:rsid w:val="79FD6BA0"/>
    <w:rsid w:val="79FE4B9D"/>
    <w:rsid w:val="79FECF04"/>
    <w:rsid w:val="7A0348C4"/>
    <w:rsid w:val="7A0B19CB"/>
    <w:rsid w:val="7A0C4213"/>
    <w:rsid w:val="7A0E5017"/>
    <w:rsid w:val="7A141457"/>
    <w:rsid w:val="7A187C44"/>
    <w:rsid w:val="7A3F6C1D"/>
    <w:rsid w:val="7A477914"/>
    <w:rsid w:val="7A4F7B0A"/>
    <w:rsid w:val="7A5E6F24"/>
    <w:rsid w:val="7A5F5873"/>
    <w:rsid w:val="7A637111"/>
    <w:rsid w:val="7A6413DB"/>
    <w:rsid w:val="7A6D61E2"/>
    <w:rsid w:val="7A7D67F0"/>
    <w:rsid w:val="7A7E03EF"/>
    <w:rsid w:val="7A811E80"/>
    <w:rsid w:val="7A88301C"/>
    <w:rsid w:val="7AAA4D40"/>
    <w:rsid w:val="7AAF2356"/>
    <w:rsid w:val="7AB12572"/>
    <w:rsid w:val="7AB254F0"/>
    <w:rsid w:val="7AB5465D"/>
    <w:rsid w:val="7ABF96F5"/>
    <w:rsid w:val="7ACC115A"/>
    <w:rsid w:val="7AE069B4"/>
    <w:rsid w:val="7AE3E8D1"/>
    <w:rsid w:val="7AE53EE3"/>
    <w:rsid w:val="7AF62CB5"/>
    <w:rsid w:val="7AFB39D9"/>
    <w:rsid w:val="7B226FCC"/>
    <w:rsid w:val="7B242D44"/>
    <w:rsid w:val="7B2A3D1A"/>
    <w:rsid w:val="7B3702FB"/>
    <w:rsid w:val="7B483FA9"/>
    <w:rsid w:val="7B4A207F"/>
    <w:rsid w:val="7B527649"/>
    <w:rsid w:val="7B5F1FCE"/>
    <w:rsid w:val="7B643141"/>
    <w:rsid w:val="7B66335D"/>
    <w:rsid w:val="7B6C46EB"/>
    <w:rsid w:val="7B6EE4DE"/>
    <w:rsid w:val="7B705F89"/>
    <w:rsid w:val="7B72FB3B"/>
    <w:rsid w:val="7B749EB2"/>
    <w:rsid w:val="7B7B492E"/>
    <w:rsid w:val="7B7B4A92"/>
    <w:rsid w:val="7B810197"/>
    <w:rsid w:val="7B97D404"/>
    <w:rsid w:val="7B9FFA18"/>
    <w:rsid w:val="7BA07EF1"/>
    <w:rsid w:val="7BA6F3B7"/>
    <w:rsid w:val="7BC36238"/>
    <w:rsid w:val="7BCA9F8E"/>
    <w:rsid w:val="7BCD518A"/>
    <w:rsid w:val="7BCEAB73"/>
    <w:rsid w:val="7BD36518"/>
    <w:rsid w:val="7BD94AE5"/>
    <w:rsid w:val="7BDF71A5"/>
    <w:rsid w:val="7BE9291F"/>
    <w:rsid w:val="7BEB07E7"/>
    <w:rsid w:val="7BEF313D"/>
    <w:rsid w:val="7BF20550"/>
    <w:rsid w:val="7BF79E03"/>
    <w:rsid w:val="7BFA5853"/>
    <w:rsid w:val="7BFDF55F"/>
    <w:rsid w:val="7BFE17E7"/>
    <w:rsid w:val="7BFF02E9"/>
    <w:rsid w:val="7BFF22A0"/>
    <w:rsid w:val="7BFF2478"/>
    <w:rsid w:val="7BFFE01D"/>
    <w:rsid w:val="7BFFFACA"/>
    <w:rsid w:val="7C09018C"/>
    <w:rsid w:val="7C091F3A"/>
    <w:rsid w:val="7C175F5D"/>
    <w:rsid w:val="7C176405"/>
    <w:rsid w:val="7C273B24"/>
    <w:rsid w:val="7C2D3E7B"/>
    <w:rsid w:val="7C43136B"/>
    <w:rsid w:val="7C4371FA"/>
    <w:rsid w:val="7C4579C7"/>
    <w:rsid w:val="7C4C354E"/>
    <w:rsid w:val="7C4E4F6E"/>
    <w:rsid w:val="7C5238E1"/>
    <w:rsid w:val="7C5D638B"/>
    <w:rsid w:val="7C680059"/>
    <w:rsid w:val="7C6929D9"/>
    <w:rsid w:val="7C7B2E38"/>
    <w:rsid w:val="7C831CEC"/>
    <w:rsid w:val="7C8D2B6B"/>
    <w:rsid w:val="7C975798"/>
    <w:rsid w:val="7CAD0CF8"/>
    <w:rsid w:val="7CAE4A00"/>
    <w:rsid w:val="7CB41EA6"/>
    <w:rsid w:val="7CC869E7"/>
    <w:rsid w:val="7CD7604B"/>
    <w:rsid w:val="7CD92EB0"/>
    <w:rsid w:val="7CD97B5E"/>
    <w:rsid w:val="7CDE6D12"/>
    <w:rsid w:val="7CDF199D"/>
    <w:rsid w:val="7CE65DD7"/>
    <w:rsid w:val="7CE9247F"/>
    <w:rsid w:val="7CEC1640"/>
    <w:rsid w:val="7CF4CB49"/>
    <w:rsid w:val="7CFB5D27"/>
    <w:rsid w:val="7CFF4D45"/>
    <w:rsid w:val="7D0132C6"/>
    <w:rsid w:val="7D032E2D"/>
    <w:rsid w:val="7D064A03"/>
    <w:rsid w:val="7D133070"/>
    <w:rsid w:val="7D180687"/>
    <w:rsid w:val="7D1A8E4C"/>
    <w:rsid w:val="7D272C9D"/>
    <w:rsid w:val="7D423956"/>
    <w:rsid w:val="7D425704"/>
    <w:rsid w:val="7D513B99"/>
    <w:rsid w:val="7D52E434"/>
    <w:rsid w:val="7D575FCD"/>
    <w:rsid w:val="7D5B0FDA"/>
    <w:rsid w:val="7D604B79"/>
    <w:rsid w:val="7D6BC86B"/>
    <w:rsid w:val="7D762349"/>
    <w:rsid w:val="7D7BABA2"/>
    <w:rsid w:val="7D7EE43C"/>
    <w:rsid w:val="7D7F2832"/>
    <w:rsid w:val="7D7F9B44"/>
    <w:rsid w:val="7D8552BC"/>
    <w:rsid w:val="7D8A2C07"/>
    <w:rsid w:val="7D8B70AB"/>
    <w:rsid w:val="7D8D8FE4"/>
    <w:rsid w:val="7D9F4904"/>
    <w:rsid w:val="7DA77C5D"/>
    <w:rsid w:val="7DB62063"/>
    <w:rsid w:val="7DBA13E7"/>
    <w:rsid w:val="7DBA504E"/>
    <w:rsid w:val="7DBFAF75"/>
    <w:rsid w:val="7DC3726C"/>
    <w:rsid w:val="7DD10836"/>
    <w:rsid w:val="7DD967DD"/>
    <w:rsid w:val="7DDA2CEF"/>
    <w:rsid w:val="7DDA48A9"/>
    <w:rsid w:val="7DDB16B4"/>
    <w:rsid w:val="7DDF729F"/>
    <w:rsid w:val="7DE06CCB"/>
    <w:rsid w:val="7DE51665"/>
    <w:rsid w:val="7DE642E1"/>
    <w:rsid w:val="7DE7EDE0"/>
    <w:rsid w:val="7DE94FAB"/>
    <w:rsid w:val="7DEB691B"/>
    <w:rsid w:val="7DEB91D6"/>
    <w:rsid w:val="7DED25B6"/>
    <w:rsid w:val="7DEE7639"/>
    <w:rsid w:val="7DF2B126"/>
    <w:rsid w:val="7DF9DFA2"/>
    <w:rsid w:val="7DFB7C3C"/>
    <w:rsid w:val="7DFDBD85"/>
    <w:rsid w:val="7DFED8AC"/>
    <w:rsid w:val="7DFED981"/>
    <w:rsid w:val="7DFF48DB"/>
    <w:rsid w:val="7DFF701B"/>
    <w:rsid w:val="7E040C0B"/>
    <w:rsid w:val="7E1150D6"/>
    <w:rsid w:val="7E1534A0"/>
    <w:rsid w:val="7E1D3A7B"/>
    <w:rsid w:val="7E1E7F1F"/>
    <w:rsid w:val="7E301A00"/>
    <w:rsid w:val="7E320D2E"/>
    <w:rsid w:val="7E33504C"/>
    <w:rsid w:val="7E437985"/>
    <w:rsid w:val="7E50411B"/>
    <w:rsid w:val="7E521976"/>
    <w:rsid w:val="7E527E27"/>
    <w:rsid w:val="7E543940"/>
    <w:rsid w:val="7E5576B9"/>
    <w:rsid w:val="7E584AB3"/>
    <w:rsid w:val="7E5971A9"/>
    <w:rsid w:val="7E5C0A47"/>
    <w:rsid w:val="7E6D055E"/>
    <w:rsid w:val="7E73F395"/>
    <w:rsid w:val="7E779D19"/>
    <w:rsid w:val="7E79B8ED"/>
    <w:rsid w:val="7E7B36FD"/>
    <w:rsid w:val="7E8E4305"/>
    <w:rsid w:val="7E906162"/>
    <w:rsid w:val="7E9B156F"/>
    <w:rsid w:val="7E9FDC9F"/>
    <w:rsid w:val="7EA67F14"/>
    <w:rsid w:val="7EA7DA56"/>
    <w:rsid w:val="7EAA1510"/>
    <w:rsid w:val="7EB268B9"/>
    <w:rsid w:val="7EB51E7E"/>
    <w:rsid w:val="7EB62349"/>
    <w:rsid w:val="7EB735F7"/>
    <w:rsid w:val="7EBB9B77"/>
    <w:rsid w:val="7EBFDAA2"/>
    <w:rsid w:val="7EC30AC6"/>
    <w:rsid w:val="7EC32874"/>
    <w:rsid w:val="7EC34622"/>
    <w:rsid w:val="7ED6D8DA"/>
    <w:rsid w:val="7ED91D85"/>
    <w:rsid w:val="7EDA196C"/>
    <w:rsid w:val="7EDB6D07"/>
    <w:rsid w:val="7EDE145C"/>
    <w:rsid w:val="7EDF0D5E"/>
    <w:rsid w:val="7EE34CC4"/>
    <w:rsid w:val="7EEF5BD0"/>
    <w:rsid w:val="7EF64DF3"/>
    <w:rsid w:val="7EF6C402"/>
    <w:rsid w:val="7EF9475F"/>
    <w:rsid w:val="7EF94E57"/>
    <w:rsid w:val="7EFBAB97"/>
    <w:rsid w:val="7EFBD610"/>
    <w:rsid w:val="7EFE43DE"/>
    <w:rsid w:val="7EFE5A66"/>
    <w:rsid w:val="7EFE8942"/>
    <w:rsid w:val="7EFFE8CE"/>
    <w:rsid w:val="7EFFF77B"/>
    <w:rsid w:val="7F0A3FFF"/>
    <w:rsid w:val="7F0B4289"/>
    <w:rsid w:val="7F0D1D41"/>
    <w:rsid w:val="7F1E3F4E"/>
    <w:rsid w:val="7F272E03"/>
    <w:rsid w:val="7F2F3A66"/>
    <w:rsid w:val="7F315A30"/>
    <w:rsid w:val="7F3C6183"/>
    <w:rsid w:val="7F3C66F3"/>
    <w:rsid w:val="7F3C902D"/>
    <w:rsid w:val="7F475253"/>
    <w:rsid w:val="7F477001"/>
    <w:rsid w:val="7F4C0ABC"/>
    <w:rsid w:val="7F657745"/>
    <w:rsid w:val="7F6BFF0F"/>
    <w:rsid w:val="7F6F0540"/>
    <w:rsid w:val="7F7255DA"/>
    <w:rsid w:val="7F7331CB"/>
    <w:rsid w:val="7F77E58E"/>
    <w:rsid w:val="7F7AAC00"/>
    <w:rsid w:val="7F7AAC79"/>
    <w:rsid w:val="7F7B6CAB"/>
    <w:rsid w:val="7F7D2953"/>
    <w:rsid w:val="7F7F04CA"/>
    <w:rsid w:val="7F7F3650"/>
    <w:rsid w:val="7F7F436B"/>
    <w:rsid w:val="7F7FA838"/>
    <w:rsid w:val="7F8042C1"/>
    <w:rsid w:val="7F833DB1"/>
    <w:rsid w:val="7F871AF4"/>
    <w:rsid w:val="7F8E4C30"/>
    <w:rsid w:val="7F8F09A8"/>
    <w:rsid w:val="7F983D01"/>
    <w:rsid w:val="7F995383"/>
    <w:rsid w:val="7F99E7CB"/>
    <w:rsid w:val="7F9DCF61"/>
    <w:rsid w:val="7F9FBC90"/>
    <w:rsid w:val="7FA93818"/>
    <w:rsid w:val="7FB63534"/>
    <w:rsid w:val="7FB70F72"/>
    <w:rsid w:val="7FBB1436"/>
    <w:rsid w:val="7FBB54C4"/>
    <w:rsid w:val="7FBB55C2"/>
    <w:rsid w:val="7FBD3767"/>
    <w:rsid w:val="7FBF128D"/>
    <w:rsid w:val="7FBF824E"/>
    <w:rsid w:val="7FBF8D86"/>
    <w:rsid w:val="7FBF9484"/>
    <w:rsid w:val="7FC67934"/>
    <w:rsid w:val="7FCD99A9"/>
    <w:rsid w:val="7FCF0133"/>
    <w:rsid w:val="7FCF6544"/>
    <w:rsid w:val="7FD5465E"/>
    <w:rsid w:val="7FD855B6"/>
    <w:rsid w:val="7FD9032D"/>
    <w:rsid w:val="7FD9CE39"/>
    <w:rsid w:val="7FDD8081"/>
    <w:rsid w:val="7FDE7069"/>
    <w:rsid w:val="7FDF31A4"/>
    <w:rsid w:val="7FDFFB4C"/>
    <w:rsid w:val="7FE53332"/>
    <w:rsid w:val="7FE70E90"/>
    <w:rsid w:val="7FE7366A"/>
    <w:rsid w:val="7FE7C2B0"/>
    <w:rsid w:val="7FEB18A7"/>
    <w:rsid w:val="7FED0372"/>
    <w:rsid w:val="7FEE7369"/>
    <w:rsid w:val="7FEF47A6"/>
    <w:rsid w:val="7FF106E9"/>
    <w:rsid w:val="7FF2CD63"/>
    <w:rsid w:val="7FF30F37"/>
    <w:rsid w:val="7FF3E548"/>
    <w:rsid w:val="7FF71A95"/>
    <w:rsid w:val="7FF720AD"/>
    <w:rsid w:val="7FF9CD1D"/>
    <w:rsid w:val="7FFA2AA3"/>
    <w:rsid w:val="7FFC57DE"/>
    <w:rsid w:val="7FFCDBAC"/>
    <w:rsid w:val="7FFD0F94"/>
    <w:rsid w:val="7FFECB75"/>
    <w:rsid w:val="7FFF33D3"/>
    <w:rsid w:val="7FFF4CDE"/>
    <w:rsid w:val="7FFF9AA2"/>
    <w:rsid w:val="7FFFB210"/>
    <w:rsid w:val="7FFFC752"/>
    <w:rsid w:val="7FFFCF5F"/>
    <w:rsid w:val="7FFFDB58"/>
    <w:rsid w:val="7FFFE152"/>
    <w:rsid w:val="7FFFEB35"/>
    <w:rsid w:val="87F57311"/>
    <w:rsid w:val="8BFF064F"/>
    <w:rsid w:val="8ED773F7"/>
    <w:rsid w:val="8FDE64F3"/>
    <w:rsid w:val="91ED4A3B"/>
    <w:rsid w:val="94D86D29"/>
    <w:rsid w:val="95AF90B8"/>
    <w:rsid w:val="9673ED58"/>
    <w:rsid w:val="97ABF4E8"/>
    <w:rsid w:val="97B3D512"/>
    <w:rsid w:val="97F76470"/>
    <w:rsid w:val="97FF9277"/>
    <w:rsid w:val="97FFF531"/>
    <w:rsid w:val="99FA9623"/>
    <w:rsid w:val="99FDC05F"/>
    <w:rsid w:val="9AD2033E"/>
    <w:rsid w:val="9ADA8BC3"/>
    <w:rsid w:val="9BA6E38B"/>
    <w:rsid w:val="9C8FEC36"/>
    <w:rsid w:val="9CBFD489"/>
    <w:rsid w:val="9D0F7950"/>
    <w:rsid w:val="9D5F84A6"/>
    <w:rsid w:val="9DDA8345"/>
    <w:rsid w:val="9DF5E824"/>
    <w:rsid w:val="9DF652D3"/>
    <w:rsid w:val="9DFBC535"/>
    <w:rsid w:val="9DFF8138"/>
    <w:rsid w:val="9E2FCC05"/>
    <w:rsid w:val="9EFCC027"/>
    <w:rsid w:val="9F5FD076"/>
    <w:rsid w:val="9F7B1979"/>
    <w:rsid w:val="9F7B95A6"/>
    <w:rsid w:val="9F7FF2C6"/>
    <w:rsid w:val="9FB9B4DC"/>
    <w:rsid w:val="9FCFAF7D"/>
    <w:rsid w:val="9FECA72D"/>
    <w:rsid w:val="9FFF2BEA"/>
    <w:rsid w:val="9FFFBDBB"/>
    <w:rsid w:val="A17F9D4B"/>
    <w:rsid w:val="A37F0AAD"/>
    <w:rsid w:val="A3FFAD31"/>
    <w:rsid w:val="A4F75D98"/>
    <w:rsid w:val="A9FF9BD5"/>
    <w:rsid w:val="AAFFB62A"/>
    <w:rsid w:val="ABAFCFA5"/>
    <w:rsid w:val="ABF61E23"/>
    <w:rsid w:val="AC5E7DBA"/>
    <w:rsid w:val="AD6027C7"/>
    <w:rsid w:val="ADEA4286"/>
    <w:rsid w:val="ADFE6BF9"/>
    <w:rsid w:val="ADFF80B3"/>
    <w:rsid w:val="AEDF1D87"/>
    <w:rsid w:val="AF4428E1"/>
    <w:rsid w:val="AF771440"/>
    <w:rsid w:val="AF7BCA9C"/>
    <w:rsid w:val="AFBF5599"/>
    <w:rsid w:val="AFC8E315"/>
    <w:rsid w:val="AFEE2E00"/>
    <w:rsid w:val="AFFBDDFD"/>
    <w:rsid w:val="AFFE3716"/>
    <w:rsid w:val="AFFE3D22"/>
    <w:rsid w:val="AFFFD96B"/>
    <w:rsid w:val="B377A1ED"/>
    <w:rsid w:val="B3B5797F"/>
    <w:rsid w:val="B3FFB2A8"/>
    <w:rsid w:val="B4F56E47"/>
    <w:rsid w:val="B5D33BB1"/>
    <w:rsid w:val="B5FF2C6F"/>
    <w:rsid w:val="B5FFB537"/>
    <w:rsid w:val="B673FF45"/>
    <w:rsid w:val="B6976135"/>
    <w:rsid w:val="B6C73AE1"/>
    <w:rsid w:val="B6E734C5"/>
    <w:rsid w:val="B6EFED69"/>
    <w:rsid w:val="B77CEBDE"/>
    <w:rsid w:val="B79D4403"/>
    <w:rsid w:val="B7ABFCF1"/>
    <w:rsid w:val="B7BBCEAF"/>
    <w:rsid w:val="B7BDA0A2"/>
    <w:rsid w:val="B7D6A2A8"/>
    <w:rsid w:val="B7DB0B8A"/>
    <w:rsid w:val="B7EFE35A"/>
    <w:rsid w:val="B7F7477C"/>
    <w:rsid w:val="B7FB758E"/>
    <w:rsid w:val="B85E425F"/>
    <w:rsid w:val="B92E5FAB"/>
    <w:rsid w:val="B95F0F69"/>
    <w:rsid w:val="B98F9A2A"/>
    <w:rsid w:val="B9CD0FF4"/>
    <w:rsid w:val="B9DA1D81"/>
    <w:rsid w:val="B9FBB598"/>
    <w:rsid w:val="BA7F0E2F"/>
    <w:rsid w:val="BB7FD817"/>
    <w:rsid w:val="BBB5D386"/>
    <w:rsid w:val="BBDDD930"/>
    <w:rsid w:val="BBDF8781"/>
    <w:rsid w:val="BBFEB07F"/>
    <w:rsid w:val="BBFF39E0"/>
    <w:rsid w:val="BBFFDDDC"/>
    <w:rsid w:val="BC3F27A9"/>
    <w:rsid w:val="BC7F37DD"/>
    <w:rsid w:val="BCBBA024"/>
    <w:rsid w:val="BCEF9646"/>
    <w:rsid w:val="BCFE21F5"/>
    <w:rsid w:val="BD2EC4BF"/>
    <w:rsid w:val="BD398B7D"/>
    <w:rsid w:val="BD5F0556"/>
    <w:rsid w:val="BD6FEEE8"/>
    <w:rsid w:val="BD7DBC10"/>
    <w:rsid w:val="BDA73BE4"/>
    <w:rsid w:val="BDAF34AB"/>
    <w:rsid w:val="BDBFA3C0"/>
    <w:rsid w:val="BDDDEC2B"/>
    <w:rsid w:val="BDF098E9"/>
    <w:rsid w:val="BDFA561C"/>
    <w:rsid w:val="BDFB5F50"/>
    <w:rsid w:val="BDFFE7EF"/>
    <w:rsid w:val="BE5B5FAB"/>
    <w:rsid w:val="BE7E9C05"/>
    <w:rsid w:val="BE7FD9C9"/>
    <w:rsid w:val="BED52344"/>
    <w:rsid w:val="BEF44404"/>
    <w:rsid w:val="BEFFCA93"/>
    <w:rsid w:val="BEFFCC9F"/>
    <w:rsid w:val="BF36AA5D"/>
    <w:rsid w:val="BF508F71"/>
    <w:rsid w:val="BF681E30"/>
    <w:rsid w:val="BF6CDE40"/>
    <w:rsid w:val="BF7BED9F"/>
    <w:rsid w:val="BF7D37DD"/>
    <w:rsid w:val="BF7E266B"/>
    <w:rsid w:val="BF9B35C2"/>
    <w:rsid w:val="BF9F12A4"/>
    <w:rsid w:val="BFAEA5E9"/>
    <w:rsid w:val="BFAF4815"/>
    <w:rsid w:val="BFBBC060"/>
    <w:rsid w:val="BFBD872C"/>
    <w:rsid w:val="BFDB65D8"/>
    <w:rsid w:val="BFDBFA71"/>
    <w:rsid w:val="BFE470C0"/>
    <w:rsid w:val="BFEB0796"/>
    <w:rsid w:val="BFEB1DC5"/>
    <w:rsid w:val="BFEF33B5"/>
    <w:rsid w:val="BFF25F84"/>
    <w:rsid w:val="BFF950C5"/>
    <w:rsid w:val="BFFD05D4"/>
    <w:rsid w:val="BFFD518E"/>
    <w:rsid w:val="BFFE99C7"/>
    <w:rsid w:val="BFFEC31D"/>
    <w:rsid w:val="BFFF6C9F"/>
    <w:rsid w:val="C0FE4138"/>
    <w:rsid w:val="C5F3098F"/>
    <w:rsid w:val="C5F95EF9"/>
    <w:rsid w:val="C5FB7418"/>
    <w:rsid w:val="C74D947D"/>
    <w:rsid w:val="C7ED5C77"/>
    <w:rsid w:val="C9DF7425"/>
    <w:rsid w:val="C9FB471B"/>
    <w:rsid w:val="CAF6F497"/>
    <w:rsid w:val="CB7E37F4"/>
    <w:rsid w:val="CDEBFD72"/>
    <w:rsid w:val="CDEF0B3F"/>
    <w:rsid w:val="CDFB28E6"/>
    <w:rsid w:val="CE51C0E7"/>
    <w:rsid w:val="CEDF2487"/>
    <w:rsid w:val="CEED47D9"/>
    <w:rsid w:val="CF3A5EC3"/>
    <w:rsid w:val="CF3F3A77"/>
    <w:rsid w:val="CF5BAE2E"/>
    <w:rsid w:val="CFA36D9E"/>
    <w:rsid w:val="CFE71E1B"/>
    <w:rsid w:val="CFEF2B7F"/>
    <w:rsid w:val="CFFD28D5"/>
    <w:rsid w:val="CFFEC699"/>
    <w:rsid w:val="CFFEEE13"/>
    <w:rsid w:val="CFFF5B31"/>
    <w:rsid w:val="D27F3243"/>
    <w:rsid w:val="D2BF1ACE"/>
    <w:rsid w:val="D377684C"/>
    <w:rsid w:val="D37B8DA5"/>
    <w:rsid w:val="D3D9620A"/>
    <w:rsid w:val="D3FC84DC"/>
    <w:rsid w:val="D3FD5E41"/>
    <w:rsid w:val="D5B6DDF0"/>
    <w:rsid w:val="D5FF4F10"/>
    <w:rsid w:val="D64F1BD3"/>
    <w:rsid w:val="D6781766"/>
    <w:rsid w:val="D7776D24"/>
    <w:rsid w:val="D79F8684"/>
    <w:rsid w:val="D7ACEB42"/>
    <w:rsid w:val="D7B739B1"/>
    <w:rsid w:val="D7BB4ED5"/>
    <w:rsid w:val="D7CDC7AB"/>
    <w:rsid w:val="D7D78801"/>
    <w:rsid w:val="D7DF4BB5"/>
    <w:rsid w:val="D7FD53BF"/>
    <w:rsid w:val="DA7FE5F4"/>
    <w:rsid w:val="DA9B842C"/>
    <w:rsid w:val="DAAF7A8C"/>
    <w:rsid w:val="DAF7233C"/>
    <w:rsid w:val="DB379110"/>
    <w:rsid w:val="DB79A8A0"/>
    <w:rsid w:val="DBBC2F8B"/>
    <w:rsid w:val="DBFE059D"/>
    <w:rsid w:val="DD77AD07"/>
    <w:rsid w:val="DDBD2676"/>
    <w:rsid w:val="DDEE21B6"/>
    <w:rsid w:val="DDF07CEC"/>
    <w:rsid w:val="DDF5B848"/>
    <w:rsid w:val="DDF8F273"/>
    <w:rsid w:val="DDFFEC6F"/>
    <w:rsid w:val="DE16F14B"/>
    <w:rsid w:val="DE6E755A"/>
    <w:rsid w:val="DE7F8430"/>
    <w:rsid w:val="DE96AD72"/>
    <w:rsid w:val="DEAEC0FE"/>
    <w:rsid w:val="DEB6A54E"/>
    <w:rsid w:val="DEBCF0DD"/>
    <w:rsid w:val="DEBD65ED"/>
    <w:rsid w:val="DEDFF1F0"/>
    <w:rsid w:val="DEE7B01B"/>
    <w:rsid w:val="DEFA306F"/>
    <w:rsid w:val="DEFF98CC"/>
    <w:rsid w:val="DF1B5D5A"/>
    <w:rsid w:val="DF1B7F5B"/>
    <w:rsid w:val="DF3E2735"/>
    <w:rsid w:val="DF5F333F"/>
    <w:rsid w:val="DF7D7A90"/>
    <w:rsid w:val="DF9D509F"/>
    <w:rsid w:val="DFBD4E49"/>
    <w:rsid w:val="DFCBDB9C"/>
    <w:rsid w:val="DFD7DBD8"/>
    <w:rsid w:val="DFDDE938"/>
    <w:rsid w:val="DFEAC6BF"/>
    <w:rsid w:val="DFEDC1E8"/>
    <w:rsid w:val="DFF68233"/>
    <w:rsid w:val="DFF76575"/>
    <w:rsid w:val="DFF7A58C"/>
    <w:rsid w:val="DFF84E4B"/>
    <w:rsid w:val="DFFDC0E5"/>
    <w:rsid w:val="DFFEACB1"/>
    <w:rsid w:val="DFFF11EA"/>
    <w:rsid w:val="DFFF3342"/>
    <w:rsid w:val="E1DD0ED7"/>
    <w:rsid w:val="E2B3A9E4"/>
    <w:rsid w:val="E3CD0326"/>
    <w:rsid w:val="E3CDA9B5"/>
    <w:rsid w:val="E3E9757D"/>
    <w:rsid w:val="E3FFBA52"/>
    <w:rsid w:val="E67FE0D0"/>
    <w:rsid w:val="E6E5DF15"/>
    <w:rsid w:val="E6FFE7C6"/>
    <w:rsid w:val="E72FC9A9"/>
    <w:rsid w:val="E7B7EEAF"/>
    <w:rsid w:val="E7DF0449"/>
    <w:rsid w:val="E7E26ABA"/>
    <w:rsid w:val="E7E8A239"/>
    <w:rsid w:val="E7F8C8F9"/>
    <w:rsid w:val="E7FE3EBC"/>
    <w:rsid w:val="E9F70A5F"/>
    <w:rsid w:val="E9FCE50C"/>
    <w:rsid w:val="E9FF7BE7"/>
    <w:rsid w:val="EB6BCB01"/>
    <w:rsid w:val="EBEF7E7F"/>
    <w:rsid w:val="EBFFEEA4"/>
    <w:rsid w:val="ECFE8B49"/>
    <w:rsid w:val="EDA7773C"/>
    <w:rsid w:val="EDB77861"/>
    <w:rsid w:val="EDDEE70F"/>
    <w:rsid w:val="EDEDC114"/>
    <w:rsid w:val="EDF64306"/>
    <w:rsid w:val="EDFAB8B3"/>
    <w:rsid w:val="EDFFB5D3"/>
    <w:rsid w:val="EDFFF90D"/>
    <w:rsid w:val="EE3D1B0F"/>
    <w:rsid w:val="EE5D59C9"/>
    <w:rsid w:val="EE5F0F82"/>
    <w:rsid w:val="EE6B3863"/>
    <w:rsid w:val="EEED9AC9"/>
    <w:rsid w:val="EEEDF968"/>
    <w:rsid w:val="EEEF1B17"/>
    <w:rsid w:val="EEF0FE73"/>
    <w:rsid w:val="EEFB8C2A"/>
    <w:rsid w:val="EEFD0B8B"/>
    <w:rsid w:val="EEFEB949"/>
    <w:rsid w:val="EEFFFEDB"/>
    <w:rsid w:val="EF1F101D"/>
    <w:rsid w:val="EF47F327"/>
    <w:rsid w:val="EF4F0AC1"/>
    <w:rsid w:val="EF5B5065"/>
    <w:rsid w:val="EF5EEEEF"/>
    <w:rsid w:val="EF774D44"/>
    <w:rsid w:val="EF7F9703"/>
    <w:rsid w:val="EF8E9A1F"/>
    <w:rsid w:val="EFB5033C"/>
    <w:rsid w:val="EFBC0D60"/>
    <w:rsid w:val="EFD3F1F9"/>
    <w:rsid w:val="EFD700FB"/>
    <w:rsid w:val="EFDFF248"/>
    <w:rsid w:val="EFE7560A"/>
    <w:rsid w:val="EFFADBC5"/>
    <w:rsid w:val="EFFB5749"/>
    <w:rsid w:val="EFFBBE70"/>
    <w:rsid w:val="EFFFDD12"/>
    <w:rsid w:val="EFFFEE70"/>
    <w:rsid w:val="F03D4DD4"/>
    <w:rsid w:val="F0FB5D18"/>
    <w:rsid w:val="F17F7CC9"/>
    <w:rsid w:val="F2FE214A"/>
    <w:rsid w:val="F2FED19C"/>
    <w:rsid w:val="F3756310"/>
    <w:rsid w:val="F3BB103A"/>
    <w:rsid w:val="F3BBBCC4"/>
    <w:rsid w:val="F3DF8BEF"/>
    <w:rsid w:val="F3EDF962"/>
    <w:rsid w:val="F3FB0FE8"/>
    <w:rsid w:val="F3FF46AB"/>
    <w:rsid w:val="F45F38D2"/>
    <w:rsid w:val="F4EDCF57"/>
    <w:rsid w:val="F4EF8AE9"/>
    <w:rsid w:val="F53E44EE"/>
    <w:rsid w:val="F5AA02B7"/>
    <w:rsid w:val="F5B169E7"/>
    <w:rsid w:val="F5E41D78"/>
    <w:rsid w:val="F5EFCE67"/>
    <w:rsid w:val="F5F7686A"/>
    <w:rsid w:val="F61285BC"/>
    <w:rsid w:val="F63515A6"/>
    <w:rsid w:val="F653455C"/>
    <w:rsid w:val="F67F773C"/>
    <w:rsid w:val="F69E8B77"/>
    <w:rsid w:val="F6F27999"/>
    <w:rsid w:val="F6F7289C"/>
    <w:rsid w:val="F6FA61FE"/>
    <w:rsid w:val="F6FD0A4B"/>
    <w:rsid w:val="F6FF5625"/>
    <w:rsid w:val="F732D938"/>
    <w:rsid w:val="F7543C53"/>
    <w:rsid w:val="F763C7D4"/>
    <w:rsid w:val="F777C370"/>
    <w:rsid w:val="F77D419C"/>
    <w:rsid w:val="F77D58E8"/>
    <w:rsid w:val="F7BB7802"/>
    <w:rsid w:val="F7BF36E9"/>
    <w:rsid w:val="F7BF5F6D"/>
    <w:rsid w:val="F7CBA025"/>
    <w:rsid w:val="F7D5338A"/>
    <w:rsid w:val="F7DD8B45"/>
    <w:rsid w:val="F7E3D38C"/>
    <w:rsid w:val="F7ED4D77"/>
    <w:rsid w:val="F7EDA759"/>
    <w:rsid w:val="F7FA7C30"/>
    <w:rsid w:val="F7FBB991"/>
    <w:rsid w:val="F7FE33A4"/>
    <w:rsid w:val="F7FF03BC"/>
    <w:rsid w:val="F7FF385A"/>
    <w:rsid w:val="F7FFCEE7"/>
    <w:rsid w:val="F97D01F0"/>
    <w:rsid w:val="F9B73E08"/>
    <w:rsid w:val="F9CDFC42"/>
    <w:rsid w:val="F9FB8C20"/>
    <w:rsid w:val="F9FF2580"/>
    <w:rsid w:val="F9FFAE3F"/>
    <w:rsid w:val="FA7B6201"/>
    <w:rsid w:val="FADAAAE7"/>
    <w:rsid w:val="FAF224B8"/>
    <w:rsid w:val="FB3F759D"/>
    <w:rsid w:val="FB5D8130"/>
    <w:rsid w:val="FB6F61C9"/>
    <w:rsid w:val="FB792234"/>
    <w:rsid w:val="FB798011"/>
    <w:rsid w:val="FBB727B4"/>
    <w:rsid w:val="FBBF3923"/>
    <w:rsid w:val="FBC34717"/>
    <w:rsid w:val="FBCB507C"/>
    <w:rsid w:val="FBCB56AB"/>
    <w:rsid w:val="FBDE80BF"/>
    <w:rsid w:val="FBDF00C1"/>
    <w:rsid w:val="FBDF1297"/>
    <w:rsid w:val="FBE33DF8"/>
    <w:rsid w:val="FBEE23F7"/>
    <w:rsid w:val="FBF7A8DD"/>
    <w:rsid w:val="FBFD1130"/>
    <w:rsid w:val="FBFD43AB"/>
    <w:rsid w:val="FC0FF24B"/>
    <w:rsid w:val="FC7FC4E1"/>
    <w:rsid w:val="FC8FBC7C"/>
    <w:rsid w:val="FCC4187F"/>
    <w:rsid w:val="FCCBC4DC"/>
    <w:rsid w:val="FCE5F264"/>
    <w:rsid w:val="FCEF5959"/>
    <w:rsid w:val="FCF7A8C6"/>
    <w:rsid w:val="FCFF90A7"/>
    <w:rsid w:val="FD3F4F8B"/>
    <w:rsid w:val="FD75D6F9"/>
    <w:rsid w:val="FD767088"/>
    <w:rsid w:val="FD7CC1E9"/>
    <w:rsid w:val="FD8F4C40"/>
    <w:rsid w:val="FD95CD87"/>
    <w:rsid w:val="FD9FC750"/>
    <w:rsid w:val="FDB66E4C"/>
    <w:rsid w:val="FDBDFA6D"/>
    <w:rsid w:val="FDBEC2E9"/>
    <w:rsid w:val="FDBFC5F8"/>
    <w:rsid w:val="FDCFF5BC"/>
    <w:rsid w:val="FDDF0F9A"/>
    <w:rsid w:val="FDE5BAF0"/>
    <w:rsid w:val="FDF23F4B"/>
    <w:rsid w:val="FDF5BD30"/>
    <w:rsid w:val="FDF5E649"/>
    <w:rsid w:val="FDF8D72C"/>
    <w:rsid w:val="FDFDDE41"/>
    <w:rsid w:val="FDFF1F18"/>
    <w:rsid w:val="FE4D6350"/>
    <w:rsid w:val="FE503A75"/>
    <w:rsid w:val="FE5D2796"/>
    <w:rsid w:val="FE6F3994"/>
    <w:rsid w:val="FE7B21C3"/>
    <w:rsid w:val="FE7C4468"/>
    <w:rsid w:val="FE7F717D"/>
    <w:rsid w:val="FE96C81E"/>
    <w:rsid w:val="FE98CE9D"/>
    <w:rsid w:val="FECD6AB0"/>
    <w:rsid w:val="FECF48DB"/>
    <w:rsid w:val="FEDEBE3A"/>
    <w:rsid w:val="FEE68BCB"/>
    <w:rsid w:val="FEEAF0F6"/>
    <w:rsid w:val="FEF71CC5"/>
    <w:rsid w:val="FEF7E9F9"/>
    <w:rsid w:val="FEFD590D"/>
    <w:rsid w:val="FEFE9C92"/>
    <w:rsid w:val="FEFF28C3"/>
    <w:rsid w:val="FEFFB99B"/>
    <w:rsid w:val="FEFFC5B4"/>
    <w:rsid w:val="FEFFC964"/>
    <w:rsid w:val="FEFFD60A"/>
    <w:rsid w:val="FEFFDA90"/>
    <w:rsid w:val="FF1D0266"/>
    <w:rsid w:val="FF2DE0EE"/>
    <w:rsid w:val="FF305E5F"/>
    <w:rsid w:val="FF3B756A"/>
    <w:rsid w:val="FF3F3241"/>
    <w:rsid w:val="FF3F4A7F"/>
    <w:rsid w:val="FF3F76D4"/>
    <w:rsid w:val="FF3FCFD5"/>
    <w:rsid w:val="FF4FCDA6"/>
    <w:rsid w:val="FF55D01B"/>
    <w:rsid w:val="FF5680C7"/>
    <w:rsid w:val="FF59150C"/>
    <w:rsid w:val="FF5DA4F7"/>
    <w:rsid w:val="FF5F2940"/>
    <w:rsid w:val="FF6B9D8A"/>
    <w:rsid w:val="FF6F179A"/>
    <w:rsid w:val="FF6F81A9"/>
    <w:rsid w:val="FF7A99C9"/>
    <w:rsid w:val="FF7D985A"/>
    <w:rsid w:val="FF7E2313"/>
    <w:rsid w:val="FF7F7DB3"/>
    <w:rsid w:val="FF7FA72B"/>
    <w:rsid w:val="FF7FE080"/>
    <w:rsid w:val="FF7FEA9D"/>
    <w:rsid w:val="FF8FB1EE"/>
    <w:rsid w:val="FF9F2616"/>
    <w:rsid w:val="FFA545ED"/>
    <w:rsid w:val="FFADFF46"/>
    <w:rsid w:val="FFAEF493"/>
    <w:rsid w:val="FFAF6050"/>
    <w:rsid w:val="FFB1A8DD"/>
    <w:rsid w:val="FFBD2824"/>
    <w:rsid w:val="FFBD43C6"/>
    <w:rsid w:val="FFBD56FC"/>
    <w:rsid w:val="FFBD6C5E"/>
    <w:rsid w:val="FFBE6A78"/>
    <w:rsid w:val="FFBFCDE6"/>
    <w:rsid w:val="FFC340D4"/>
    <w:rsid w:val="FFD614EC"/>
    <w:rsid w:val="FFD6642F"/>
    <w:rsid w:val="FFD74079"/>
    <w:rsid w:val="FFDA2C37"/>
    <w:rsid w:val="FFDEFAE0"/>
    <w:rsid w:val="FFDFE251"/>
    <w:rsid w:val="FFE5ABAD"/>
    <w:rsid w:val="FFE6E52E"/>
    <w:rsid w:val="FFE7379A"/>
    <w:rsid w:val="FFEDB203"/>
    <w:rsid w:val="FFEE1E79"/>
    <w:rsid w:val="FFEE6478"/>
    <w:rsid w:val="FFEEC305"/>
    <w:rsid w:val="FFF3BF6B"/>
    <w:rsid w:val="FFF7FF5B"/>
    <w:rsid w:val="FFFDC1FF"/>
    <w:rsid w:val="FFFE147A"/>
    <w:rsid w:val="FFFF0ADB"/>
    <w:rsid w:val="FFFF5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unhideWhenUsed/>
    <w:qFormat/>
    <w:uiPriority w:val="0"/>
    <w:pPr>
      <w:keepNext/>
      <w:keepLines/>
      <w:spacing w:before="10" w:beforeLines="0" w:beforeAutospacing="0" w:after="10" w:afterLines="0" w:afterAutospacing="0" w:line="560" w:lineRule="exact"/>
      <w:ind w:firstLine="0" w:firstLineChars="0"/>
      <w:jc w:val="center"/>
      <w:outlineLvl w:val="1"/>
    </w:pPr>
    <w:rPr>
      <w:rFonts w:ascii="楷体_GB2312" w:hAnsi="楷体_GB2312" w:eastAsia="楷体_GB2312" w:cs="楷体_GB2312"/>
      <w:szCs w:val="32"/>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semiHidden/>
    <w:qFormat/>
    <w:uiPriority w:val="99"/>
  </w:style>
  <w:style w:type="paragraph" w:styleId="7">
    <w:name w:val="Normal Indent"/>
    <w:basedOn w:val="1"/>
    <w:next w:val="1"/>
    <w:unhideWhenUsed/>
    <w:qFormat/>
    <w:uiPriority w:val="99"/>
    <w:pPr>
      <w:ind w:firstLine="420" w:firstLineChars="200"/>
    </w:pPr>
  </w:style>
  <w:style w:type="paragraph" w:styleId="8">
    <w:name w:val="annotation text"/>
    <w:basedOn w:val="1"/>
    <w:qFormat/>
    <w:uiPriority w:val="0"/>
    <w:pPr>
      <w:jc w:val="left"/>
    </w:pPr>
  </w:style>
  <w:style w:type="paragraph" w:styleId="9">
    <w:name w:val="Body Text"/>
    <w:basedOn w:val="1"/>
    <w:semiHidden/>
    <w:qFormat/>
    <w:uiPriority w:val="0"/>
    <w:rPr>
      <w:rFonts w:ascii="楷体" w:hAnsi="楷体" w:eastAsia="楷体" w:cs="楷体"/>
      <w:sz w:val="35"/>
      <w:szCs w:val="35"/>
      <w:lang w:val="en-US" w:eastAsia="en-US" w:bidi="ar-SA"/>
    </w:rPr>
  </w:style>
  <w:style w:type="paragraph" w:styleId="10">
    <w:name w:val="Body Text Indent"/>
    <w:basedOn w:val="1"/>
    <w:next w:val="7"/>
    <w:qFormat/>
    <w:uiPriority w:val="0"/>
    <w:pPr>
      <w:spacing w:after="120" w:afterLines="0" w:afterAutospacing="0"/>
      <w:ind w:left="420" w:leftChars="200"/>
    </w:pPr>
    <w:rPr>
      <w:rFonts w:ascii="Times New Roman" w:hAnsi="Times New Roman" w:eastAsia="宋体" w:cs="Times New Roman"/>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9"/>
    <w:next w:val="9"/>
    <w:qFormat/>
    <w:uiPriority w:val="0"/>
    <w:pPr>
      <w:tabs>
        <w:tab w:val="left" w:pos="5580"/>
      </w:tabs>
      <w:ind w:firstLine="420" w:firstLineChars="100"/>
    </w:pPr>
  </w:style>
  <w:style w:type="paragraph" w:styleId="17">
    <w:name w:val="Body Text First Indent 2"/>
    <w:basedOn w:val="10"/>
    <w:next w:val="1"/>
    <w:qFormat/>
    <w:uiPriority w:val="0"/>
    <w:pPr>
      <w:spacing w:after="0" w:line="560" w:lineRule="exact"/>
      <w:ind w:left="0" w:leftChars="0" w:firstLine="200" w:firstLineChars="200"/>
    </w:pPr>
    <w:rPr>
      <w:rFonts w:eastAsia="仿宋_GB2312"/>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paragraph" w:customStyle="1" w:styleId="23">
    <w:name w:val="Default"/>
    <w:next w:val="24"/>
    <w:qFormat/>
    <w:uiPriority w:val="99"/>
    <w:pPr>
      <w:widowControl w:val="0"/>
      <w:autoSpaceDE w:val="0"/>
      <w:autoSpaceDN w:val="0"/>
      <w:adjustRightInd w:val="0"/>
    </w:pPr>
    <w:rPr>
      <w:rFonts w:ascii="方正小标宋简体" w:hAnsi="方正小标宋简体" w:eastAsia="方正小标宋简体" w:cs="方正小标宋简体"/>
      <w:color w:val="000000"/>
      <w:sz w:val="24"/>
      <w:szCs w:val="24"/>
      <w:lang w:val="en-US" w:eastAsia="zh-CN" w:bidi="ar-SA"/>
    </w:rPr>
  </w:style>
  <w:style w:type="paragraph" w:customStyle="1" w:styleId="24">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5">
    <w:name w:val="Body Text First Indent 21"/>
    <w:basedOn w:val="26"/>
    <w:qFormat/>
    <w:uiPriority w:val="0"/>
    <w:pPr>
      <w:widowControl w:val="0"/>
      <w:spacing w:before="0" w:beforeAutospacing="0" w:after="120" w:afterAutospacing="0" w:line="440" w:lineRule="exact"/>
      <w:ind w:left="200" w:leftChars="200" w:firstLine="420"/>
      <w:jc w:val="both"/>
    </w:pPr>
    <w:rPr>
      <w:rFonts w:ascii="Calibri" w:hAnsi="Calibri"/>
      <w:sz w:val="21"/>
    </w:rPr>
  </w:style>
  <w:style w:type="paragraph" w:customStyle="1" w:styleId="26">
    <w:name w:val="Body Text Indent1"/>
    <w:basedOn w:val="1"/>
    <w:qFormat/>
    <w:uiPriority w:val="0"/>
    <w:pPr>
      <w:widowControl/>
      <w:spacing w:before="100" w:beforeAutospacing="1" w:after="100" w:afterAutospacing="1"/>
      <w:jc w:val="left"/>
    </w:pPr>
    <w:rPr>
      <w:rFonts w:ascii="宋体" w:hAnsi="宋体" w:cs="宋体"/>
      <w:sz w:val="24"/>
    </w:rPr>
  </w:style>
  <w:style w:type="paragraph" w:customStyle="1" w:styleId="27">
    <w:name w:val="首行缩进"/>
    <w:basedOn w:val="1"/>
    <w:qFormat/>
    <w:uiPriority w:val="0"/>
    <w:pPr>
      <w:spacing w:line="360" w:lineRule="auto"/>
      <w:ind w:firstLine="480"/>
    </w:pPr>
    <w:rPr>
      <w:rFonts w:ascii="宋体" w:hAnsi="宋体" w:cs="宋体"/>
      <w:kern w:val="0"/>
    </w:rPr>
  </w:style>
  <w:style w:type="paragraph" w:customStyle="1" w:styleId="28">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29">
    <w:name w:val="fontstyle01"/>
    <w:basedOn w:val="20"/>
    <w:qFormat/>
    <w:uiPriority w:val="0"/>
    <w:rPr>
      <w:rFonts w:ascii="仿宋_GB2312" w:hAnsi="仿宋_GB2312" w:eastAsia="仿宋_GB2312" w:cs="仿宋_GB2312"/>
      <w:color w:val="000000"/>
      <w:sz w:val="32"/>
      <w:szCs w:val="32"/>
    </w:rPr>
  </w:style>
  <w:style w:type="paragraph" w:customStyle="1" w:styleId="30">
    <w:name w:val="_Style 13"/>
    <w:qFormat/>
    <w:uiPriority w:val="0"/>
    <w:pPr>
      <w:spacing w:before="120" w:after="120" w:line="288" w:lineRule="auto"/>
      <w:ind w:left="0"/>
      <w:jc w:val="left"/>
    </w:pPr>
    <w:rPr>
      <w:rFonts w:ascii="Arial" w:hAnsi="Arial" w:eastAsia="等线" w:cs="Arial"/>
      <w:sz w:val="22"/>
      <w:szCs w:val="22"/>
    </w:rPr>
  </w:style>
  <w:style w:type="paragraph" w:customStyle="1" w:styleId="31">
    <w:name w:val="BodyText"/>
    <w:basedOn w:val="1"/>
    <w:qFormat/>
    <w:uiPriority w:val="99"/>
  </w:style>
  <w:style w:type="character" w:customStyle="1" w:styleId="32">
    <w:name w:val="NormalCharacter"/>
    <w:link w:val="33"/>
    <w:qFormat/>
    <w:uiPriority w:val="0"/>
    <w:rPr>
      <w:rFonts w:ascii="Times New Roman" w:hAnsi="Times New Roman" w:eastAsia="宋体"/>
      <w:sz w:val="21"/>
    </w:rPr>
  </w:style>
  <w:style w:type="paragraph" w:customStyle="1" w:styleId="33">
    <w:name w:val="UserStyle_1"/>
    <w:basedOn w:val="1"/>
    <w:link w:val="32"/>
    <w:qFormat/>
    <w:uiPriority w:val="0"/>
    <w:pPr>
      <w:widowControl/>
      <w:spacing w:after="160" w:line="240" w:lineRule="exact"/>
      <w:jc w:val="left"/>
      <w:textAlignment w:val="baseline"/>
    </w:pPr>
    <w:rPr>
      <w:rFonts w:ascii="Times New Roman" w:hAnsi="Times New Roman" w:eastAsia="宋体"/>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104</Pages>
  <Words>55707</Words>
  <Characters>56472</Characters>
  <Lines>1</Lines>
  <Paragraphs>1</Paragraphs>
  <TotalTime>6</TotalTime>
  <ScaleCrop>false</ScaleCrop>
  <LinksUpToDate>false</LinksUpToDate>
  <CharactersWithSpaces>57532</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2025-03-27T16:01:00Z</dcterms:created>
  <dc:creator>王旻</dc:creator>
  <cp:lastModifiedBy>admi</cp:lastModifiedBy>
  <cp:lastPrinted>2026-09-11T14:43:00Z</cp:lastPrinted>
  <dcterms:modified xsi:type="dcterms:W3CDTF">2026-10-12T17:56:10Z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CEF3C1C391C14E218AC717EF61C42BB5_13</vt:lpwstr>
  </property>
  <property fmtid="{D5CDD505-2E9C-101B-9397-08002B2CF9AE}" pid="4" name="KSOTemplateDocerSaveRecord">
    <vt:lpwstr>eyJoZGlkIjoiNGQxMjYxZTZhY2NkNTNjYjFiMGQ3ZjkwOGU5MzNhZWEiLCJ1c2VySWQiOiI0MDQzNTE2OTgifQ==</vt:lpwstr>
  </property>
</Properties>
</file>