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60" w:lineRule="exact"/>
        <w:jc w:val="right"/>
        <w:rPr>
          <w:rFonts w:ascii="仿宋_GB2312" w:hAnsi="仿宋_GB2312" w:eastAsia="仿宋_GB2312" w:cs="仿宋_GB2312"/>
          <w:color w:val="000000" w:themeColor="text1"/>
          <w:sz w:val="32"/>
          <w:szCs w:val="32"/>
          <w14:textFill>
            <w14:solidFill>
              <w14:schemeClr w14:val="tx1"/>
            </w14:solidFill>
          </w14:textFill>
        </w:rPr>
      </w:pPr>
    </w:p>
    <w:p>
      <w:pPr>
        <w:spacing w:line="660" w:lineRule="exact"/>
        <w:jc w:val="center"/>
        <w:rPr>
          <w:rFonts w:ascii="方正小标宋简体" w:hAnsi="ˎ̥" w:eastAsia="方正小标宋简体"/>
          <w:bCs/>
          <w:color w:val="000000" w:themeColor="text1"/>
          <w:sz w:val="44"/>
          <w:szCs w:val="44"/>
          <w14:textFill>
            <w14:solidFill>
              <w14:schemeClr w14:val="tx1"/>
            </w14:solidFill>
          </w14:textFill>
        </w:rPr>
      </w:pPr>
      <w:r>
        <w:rPr>
          <w:rFonts w:hint="eastAsia" w:ascii="方正小标宋简体" w:hAnsi="ˎ̥" w:eastAsia="方正小标宋简体"/>
          <w:bCs/>
          <w:color w:val="000000" w:themeColor="text1"/>
          <w:sz w:val="44"/>
          <w:szCs w:val="44"/>
          <w14:textFill>
            <w14:solidFill>
              <w14:schemeClr w14:val="tx1"/>
            </w14:solidFill>
          </w14:textFill>
        </w:rPr>
        <w:t>乳山市市场监督管理局</w:t>
      </w:r>
    </w:p>
    <w:p>
      <w:pPr>
        <w:spacing w:line="660" w:lineRule="exact"/>
        <w:jc w:val="center"/>
        <w:rPr>
          <w:rFonts w:ascii="方正小标宋简体" w:hAnsi="ˎ̥" w:eastAsia="方正小标宋简体"/>
          <w:bCs/>
          <w:color w:val="000000" w:themeColor="text1"/>
          <w:sz w:val="44"/>
          <w:szCs w:val="44"/>
          <w14:textFill>
            <w14:solidFill>
              <w14:schemeClr w14:val="tx1"/>
            </w14:solidFill>
          </w14:textFill>
        </w:rPr>
      </w:pPr>
      <w:r>
        <w:rPr>
          <w:rFonts w:hint="eastAsia" w:ascii="方正小标宋简体" w:hAnsi="ˎ̥" w:eastAsia="方正小标宋简体"/>
          <w:bCs/>
          <w:color w:val="000000" w:themeColor="text1"/>
          <w:sz w:val="44"/>
          <w:szCs w:val="44"/>
          <w14:textFill>
            <w14:solidFill>
              <w14:schemeClr w14:val="tx1"/>
            </w14:solidFill>
          </w14:textFill>
        </w:rPr>
        <w:t>关于印发乳山市</w:t>
      </w:r>
      <w:r>
        <w:rPr>
          <w:rFonts w:hint="eastAsia" w:ascii="方正小标宋简体" w:hAnsi="ˎ̥" w:eastAsia="方正小标宋简体"/>
          <w:bCs/>
          <w:color w:val="000000" w:themeColor="text1"/>
          <w:sz w:val="44"/>
          <w:szCs w:val="44"/>
          <w:lang w:val="en-US" w:eastAsia="zh-CN"/>
          <w14:textFill>
            <w14:solidFill>
              <w14:schemeClr w14:val="tx1"/>
            </w14:solidFill>
          </w14:textFill>
        </w:rPr>
        <w:t>2021</w:t>
      </w:r>
      <w:r>
        <w:rPr>
          <w:rFonts w:hint="eastAsia" w:ascii="方正小标宋简体" w:hAnsi="ˎ̥" w:eastAsia="方正小标宋简体"/>
          <w:bCs/>
          <w:color w:val="000000" w:themeColor="text1"/>
          <w:sz w:val="44"/>
          <w:szCs w:val="44"/>
          <w14:textFill>
            <w14:solidFill>
              <w14:schemeClr w14:val="tx1"/>
            </w14:solidFill>
          </w14:textFill>
        </w:rPr>
        <w:t>年药品经营使用和化妆品经营监督检查工作计划的通知</w:t>
      </w:r>
    </w:p>
    <w:p>
      <w:pPr>
        <w:spacing w:line="660" w:lineRule="exact"/>
        <w:jc w:val="center"/>
        <w:rPr>
          <w:rFonts w:ascii="方正小标宋简体" w:hAnsi="ˎ̥" w:eastAsia="方正小标宋简体"/>
          <w:bCs/>
          <w:color w:val="000000" w:themeColor="text1"/>
          <w:sz w:val="44"/>
          <w:szCs w:val="44"/>
          <w14:textFill>
            <w14:solidFill>
              <w14:schemeClr w14:val="tx1"/>
            </w14:solidFill>
          </w14:textFill>
        </w:rPr>
      </w:pPr>
    </w:p>
    <w:p>
      <w:pPr>
        <w:widowControl/>
        <w:spacing w:line="560" w:lineRule="exact"/>
        <w:rPr>
          <w:rFonts w:ascii="仿宋_GB2312" w:hAnsi="仿宋_GB2312" w:eastAsia="仿宋_GB2312" w:cs="仿宋_GB2312"/>
          <w:color w:val="000000" w:themeColor="text1"/>
          <w:sz w:val="32"/>
          <w:szCs w:val="32"/>
          <w14:textFill>
            <w14:solidFill>
              <w14:schemeClr w14:val="tx1"/>
            </w14:solidFill>
          </w14:textFill>
        </w:rPr>
      </w:pPr>
    </w:p>
    <w:p>
      <w:pPr>
        <w:widowControl/>
        <w:spacing w:line="580" w:lineRule="exact"/>
        <w:jc w:val="left"/>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32"/>
          <w:szCs w:val="32"/>
          <w:lang w:eastAsia="zh-CN" w:bidi="ar"/>
        </w:rPr>
        <w:t>机关各科室、</w:t>
      </w:r>
      <w:r>
        <w:rPr>
          <w:rFonts w:hint="eastAsia" w:ascii="仿宋_GB2312" w:hAnsi="仿宋_GB2312" w:eastAsia="仿宋_GB2312" w:cs="仿宋_GB2312"/>
          <w:kern w:val="0"/>
          <w:sz w:val="32"/>
          <w:szCs w:val="32"/>
          <w:lang w:bidi="ar"/>
        </w:rPr>
        <w:t>各市场监管所、市场监管稽查大队：</w:t>
      </w:r>
    </w:p>
    <w:p>
      <w:pPr>
        <w:spacing w:line="58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现将《乳山市</w:t>
      </w:r>
      <w:r>
        <w:rPr>
          <w:rFonts w:hint="eastAsia" w:ascii="仿宋_GB2312" w:hAnsi="宋体" w:eastAsia="仿宋_GB2312" w:cs="宋体"/>
          <w:kern w:val="0"/>
          <w:sz w:val="32"/>
          <w:szCs w:val="32"/>
          <w:lang w:val="en-US" w:eastAsia="zh-CN"/>
        </w:rPr>
        <w:t>2021</w:t>
      </w:r>
      <w:r>
        <w:rPr>
          <w:rFonts w:hint="eastAsia" w:ascii="仿宋_GB2312" w:hAnsi="宋体" w:eastAsia="仿宋_GB2312" w:cs="宋体"/>
          <w:kern w:val="0"/>
          <w:sz w:val="32"/>
          <w:szCs w:val="32"/>
        </w:rPr>
        <w:t>年药品经营使用和化妆品经营监督</w:t>
      </w:r>
      <w:r>
        <w:rPr>
          <w:rFonts w:hint="eastAsia" w:ascii="仿宋_GB2312" w:hAnsi="宋体" w:eastAsia="仿宋_GB2312" w:cs="宋体"/>
          <w:kern w:val="0"/>
          <w:sz w:val="32"/>
          <w:szCs w:val="32"/>
          <w:lang w:eastAsia="zh-CN"/>
        </w:rPr>
        <w:t>检查</w:t>
      </w:r>
      <w:r>
        <w:rPr>
          <w:rFonts w:hint="eastAsia" w:ascii="仿宋_GB2312" w:hAnsi="宋体" w:eastAsia="仿宋_GB2312" w:cs="宋体"/>
          <w:kern w:val="0"/>
          <w:sz w:val="32"/>
          <w:szCs w:val="32"/>
        </w:rPr>
        <w:t>工作计划》印发你们，请认真贯彻执行。</w:t>
      </w:r>
    </w:p>
    <w:p>
      <w:pPr>
        <w:widowControl/>
        <w:spacing w:line="560" w:lineRule="exact"/>
        <w:ind w:firstLine="640" w:firstLineChars="200"/>
        <w:rPr>
          <w:rFonts w:ascii="仿宋_GB2312" w:hAnsi="宋体" w:eastAsia="仿宋_GB2312" w:cs="宋体"/>
          <w:color w:val="000000" w:themeColor="text1"/>
          <w:kern w:val="0"/>
          <w:sz w:val="32"/>
          <w:szCs w:val="32"/>
          <w14:textFill>
            <w14:solidFill>
              <w14:schemeClr w14:val="tx1"/>
            </w14:solidFill>
          </w14:textFill>
        </w:rPr>
      </w:pPr>
    </w:p>
    <w:p>
      <w:pPr>
        <w:widowControl/>
        <w:spacing w:line="560" w:lineRule="exact"/>
        <w:ind w:firstLine="640" w:firstLineChars="200"/>
        <w:jc w:val="left"/>
        <w:rPr>
          <w:rFonts w:ascii="仿宋_GB2312" w:hAnsi="宋体" w:eastAsia="仿宋_GB2312" w:cs="宋体"/>
          <w:color w:val="000000" w:themeColor="text1"/>
          <w:kern w:val="0"/>
          <w:sz w:val="32"/>
          <w:szCs w:val="32"/>
          <w14:textFill>
            <w14:solidFill>
              <w14:schemeClr w14:val="tx1"/>
            </w14:solidFill>
          </w14:textFill>
        </w:rPr>
      </w:pPr>
    </w:p>
    <w:p>
      <w:pPr>
        <w:widowControl/>
        <w:spacing w:line="560" w:lineRule="exact"/>
        <w:ind w:firstLine="640" w:firstLineChars="200"/>
        <w:jc w:val="left"/>
        <w:rPr>
          <w:rFonts w:ascii="仿宋_GB2312" w:hAnsi="宋体" w:eastAsia="仿宋_GB2312" w:cs="宋体"/>
          <w:color w:val="000000" w:themeColor="text1"/>
          <w:kern w:val="0"/>
          <w:sz w:val="32"/>
          <w:szCs w:val="32"/>
          <w14:textFill>
            <w14:solidFill>
              <w14:schemeClr w14:val="tx1"/>
            </w14:solidFill>
          </w14:textFill>
        </w:rPr>
      </w:pPr>
    </w:p>
    <w:p>
      <w:pPr>
        <w:widowControl/>
        <w:spacing w:line="560" w:lineRule="exact"/>
        <w:ind w:firstLine="640" w:firstLineChars="200"/>
        <w:jc w:val="left"/>
        <w:rPr>
          <w:rFonts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 xml:space="preserve">                         乳山市市场监督管理局</w:t>
      </w:r>
    </w:p>
    <w:p>
      <w:pPr>
        <w:widowControl/>
        <w:wordWrap w:val="0"/>
        <w:spacing w:line="560" w:lineRule="exact"/>
        <w:ind w:firstLine="640" w:firstLineChars="200"/>
        <w:jc w:val="right"/>
        <w:rPr>
          <w:rFonts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lang w:eastAsia="zh-CN"/>
          <w14:textFill>
            <w14:solidFill>
              <w14:schemeClr w14:val="tx1"/>
            </w14:solidFill>
          </w14:textFill>
        </w:rPr>
        <w:t>2021</w:t>
      </w:r>
      <w:r>
        <w:rPr>
          <w:rFonts w:hint="eastAsia" w:ascii="仿宋_GB2312" w:hAnsi="宋体" w:eastAsia="仿宋_GB2312" w:cs="宋体"/>
          <w:color w:val="000000" w:themeColor="text1"/>
          <w:kern w:val="0"/>
          <w:sz w:val="32"/>
          <w:szCs w:val="32"/>
          <w14:textFill>
            <w14:solidFill>
              <w14:schemeClr w14:val="tx1"/>
            </w14:solidFill>
          </w14:textFill>
        </w:rPr>
        <w:t>年4月</w:t>
      </w:r>
      <w:r>
        <w:rPr>
          <w:rFonts w:hint="eastAsia" w:ascii="仿宋_GB2312" w:hAnsi="宋体" w:eastAsia="仿宋_GB2312" w:cs="宋体"/>
          <w:color w:val="000000" w:themeColor="text1"/>
          <w:kern w:val="0"/>
          <w:sz w:val="32"/>
          <w:szCs w:val="32"/>
          <w:lang w:val="en-US" w:eastAsia="zh-CN"/>
          <w14:textFill>
            <w14:solidFill>
              <w14:schemeClr w14:val="tx1"/>
            </w14:solidFill>
          </w14:textFill>
        </w:rPr>
        <w:t>12</w:t>
      </w:r>
      <w:r>
        <w:rPr>
          <w:rFonts w:hint="eastAsia" w:ascii="仿宋_GB2312" w:hAnsi="宋体" w:eastAsia="仿宋_GB2312" w:cs="宋体"/>
          <w:color w:val="000000" w:themeColor="text1"/>
          <w:kern w:val="0"/>
          <w:sz w:val="32"/>
          <w:szCs w:val="32"/>
          <w14:textFill>
            <w14:solidFill>
              <w14:schemeClr w14:val="tx1"/>
            </w14:solidFill>
          </w14:textFill>
        </w:rPr>
        <w:t xml:space="preserve">日         </w:t>
      </w:r>
    </w:p>
    <w:p>
      <w:pPr>
        <w:widowControl/>
        <w:spacing w:line="560" w:lineRule="exact"/>
        <w:jc w:val="left"/>
        <w:rPr>
          <w:rFonts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 xml:space="preserve">  </w:t>
      </w:r>
    </w:p>
    <w:p>
      <w:pPr>
        <w:widowControl/>
        <w:spacing w:line="560" w:lineRule="exact"/>
        <w:ind w:firstLine="880" w:firstLineChars="200"/>
        <w:jc w:val="center"/>
        <w:rPr>
          <w:rFonts w:ascii="方正小标宋简体" w:hAnsi="宋体" w:eastAsia="方正小标宋简体" w:cs="宋体"/>
          <w:color w:val="000000" w:themeColor="text1"/>
          <w:kern w:val="0"/>
          <w:sz w:val="44"/>
          <w:szCs w:val="44"/>
          <w14:textFill>
            <w14:solidFill>
              <w14:schemeClr w14:val="tx1"/>
            </w14:solidFill>
          </w14:textFill>
        </w:rPr>
      </w:pPr>
    </w:p>
    <w:p>
      <w:pPr>
        <w:widowControl/>
        <w:spacing w:line="560" w:lineRule="exact"/>
        <w:ind w:firstLine="880" w:firstLineChars="200"/>
        <w:jc w:val="center"/>
        <w:rPr>
          <w:rFonts w:ascii="方正小标宋简体" w:hAnsi="宋体" w:eastAsia="方正小标宋简体" w:cs="宋体"/>
          <w:color w:val="000000" w:themeColor="text1"/>
          <w:kern w:val="0"/>
          <w:sz w:val="44"/>
          <w:szCs w:val="44"/>
          <w14:textFill>
            <w14:solidFill>
              <w14:schemeClr w14:val="tx1"/>
            </w14:solidFill>
          </w14:textFill>
        </w:rPr>
      </w:pPr>
    </w:p>
    <w:p>
      <w:pPr>
        <w:widowControl/>
        <w:spacing w:line="560" w:lineRule="exact"/>
        <w:ind w:firstLine="880" w:firstLineChars="200"/>
        <w:jc w:val="center"/>
        <w:rPr>
          <w:rFonts w:ascii="方正小标宋简体" w:hAnsi="宋体" w:eastAsia="方正小标宋简体" w:cs="宋体"/>
          <w:color w:val="000000" w:themeColor="text1"/>
          <w:kern w:val="0"/>
          <w:sz w:val="44"/>
          <w:szCs w:val="44"/>
          <w14:textFill>
            <w14:solidFill>
              <w14:schemeClr w14:val="tx1"/>
            </w14:solidFill>
          </w14:textFill>
        </w:rPr>
      </w:pPr>
      <w:r>
        <w:rPr>
          <w:rFonts w:hint="eastAsia" w:ascii="方正小标宋简体" w:hAnsi="宋体" w:eastAsia="方正小标宋简体" w:cs="宋体"/>
          <w:color w:val="000000" w:themeColor="text1"/>
          <w:kern w:val="0"/>
          <w:sz w:val="44"/>
          <w:szCs w:val="44"/>
          <w14:textFill>
            <w14:solidFill>
              <w14:schemeClr w14:val="tx1"/>
            </w14:solidFill>
          </w14:textFill>
        </w:rPr>
        <w:br w:type="page"/>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cente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t>2021 年全市药品经营使用</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cente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t>和化妆品经营监督检查计划</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cente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为加强药品经营使用及化妆品经营环节质量安全监管，深入</w:t>
      </w:r>
    </w:p>
    <w:p>
      <w:pPr>
        <w:keepNext w:val="0"/>
        <w:keepLines w:val="0"/>
        <w:pageBreakBefore w:val="0"/>
        <w:widowControl w:val="0"/>
        <w:kinsoku/>
        <w:wordWrap/>
        <w:overflowPunct/>
        <w:topLinePunct w:val="0"/>
        <w:autoSpaceDE/>
        <w:autoSpaceDN/>
        <w:bidi w:val="0"/>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践行“人民药监为人民”理念，按照省、市</w:t>
      </w:r>
      <w:r>
        <w:rPr>
          <w:rFonts w:hint="eastAsia" w:ascii="仿宋_GB2312" w:hAnsi="宋体" w:eastAsia="仿宋_GB2312" w:cs="宋体"/>
          <w:color w:val="000000" w:themeColor="text1"/>
          <w:kern w:val="0"/>
          <w:sz w:val="32"/>
          <w:szCs w:val="32"/>
          <w:lang w:eastAsia="zh-CN"/>
          <w14:textFill>
            <w14:solidFill>
              <w14:schemeClr w14:val="tx1"/>
            </w14:solidFill>
          </w14:textFill>
        </w:rPr>
        <w:t>局</w:t>
      </w:r>
      <w:r>
        <w:rPr>
          <w:rFonts w:hint="eastAsia" w:ascii="仿宋_GB2312" w:hAnsi="宋体" w:eastAsia="仿宋_GB2312" w:cs="宋体"/>
          <w:color w:val="000000" w:themeColor="text1"/>
          <w:kern w:val="0"/>
          <w:sz w:val="32"/>
          <w:szCs w:val="32"/>
          <w14:textFill>
            <w14:solidFill>
              <w14:schemeClr w14:val="tx1"/>
            </w14:solidFill>
          </w14:textFill>
        </w:rPr>
        <w:t>药化监管总体工作安排，根据相关法律法规规定，制定 2021 年全市药品经营使用和化妆品经营监督检查计划。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center"/>
        <w:rPr>
          <w:rFonts w:hint="eastAsia"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一、检查原则</w:t>
      </w:r>
    </w:p>
    <w:p>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（一）坚持严字当头。落实《药品管理法》《疫苗管理法》</w:t>
      </w:r>
    </w:p>
    <w:p>
      <w:pPr>
        <w:keepNext w:val="0"/>
        <w:keepLines w:val="0"/>
        <w:pageBreakBefore w:val="0"/>
        <w:widowControl w:val="0"/>
        <w:kinsoku/>
        <w:wordWrap/>
        <w:overflowPunct/>
        <w:topLinePunct w:val="0"/>
        <w:autoSpaceDE/>
        <w:autoSpaceDN/>
        <w:bidi w:val="0"/>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《化妆品监督管理条例》等法律法规和“四个最严”要求，督促</w:t>
      </w:r>
    </w:p>
    <w:p>
      <w:pPr>
        <w:keepNext w:val="0"/>
        <w:keepLines w:val="0"/>
        <w:pageBreakBefore w:val="0"/>
        <w:widowControl w:val="0"/>
        <w:kinsoku/>
        <w:wordWrap/>
        <w:overflowPunct/>
        <w:topLinePunct w:val="0"/>
        <w:autoSpaceDE/>
        <w:autoSpaceDN/>
        <w:bidi w:val="0"/>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药品经营使用单位和化妆品经营单位落实主体责任，规范药品经</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营使用和化妆品经营行为，严厉查处违法违规问题。</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（二）坚持问题导向。紧紧围绕重点单位、重点品种、关键</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环节，采取“暗查暗访”等方式，加大对突出问题检查力度。</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（三）坚持协作配合。按照统一组织、分级负责、协调配合</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的原则，统筹发挥监督检查、抽查检验和执法办案的作用、积极采取防控措施，形成监管闭环，实现监管效能最大化。</w:t>
      </w:r>
    </w:p>
    <w:p>
      <w:pPr>
        <w:adjustRightInd w:val="0"/>
        <w:snapToGrid w:val="0"/>
        <w:spacing w:line="560" w:lineRule="exact"/>
        <w:ind w:firstLine="640"/>
        <w:textAlignment w:val="center"/>
        <w:rPr>
          <w:rFonts w:hint="eastAsia"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二、检查重点</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（一）药品零售企业（含零售连锁企业门店）</w:t>
      </w:r>
    </w:p>
    <w:p>
      <w:pPr>
        <w:adjustRightInd w:val="0"/>
        <w:snapToGrid w:val="0"/>
        <w:spacing w:line="560" w:lineRule="exact"/>
        <w:ind w:firstLine="640" w:firstLineChars="20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以国家集中采购中选药品、中药饮片、含麻黄碱类复方制等有特殊管理要求的药品、冷链储运药品及疫情防控用药品为重点品种，以农村地区、城乡接合部等为重点区域，重点检查经营品种与经营范围一致性、药品购进渠道、储存条件、处方药销售、执业药师在岗服务、零售连锁药店“七统一”管理等内容。</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（二）药品使用单位</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以国家集中采购中选药品、基本药物、中药饮片、精神药品</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等有特殊管理要求的药品、冷链储运药品及疫情防控用药品为重</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点品种，农村地区、城乡接合部等为重点区域，重点关注个体诊</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所、村卫生室</w:t>
      </w:r>
      <w:r>
        <w:rPr>
          <w:rFonts w:hint="eastAsia" w:ascii="仿宋_GB2312" w:hAnsi="宋体" w:eastAsia="仿宋_GB2312" w:cs="宋体"/>
          <w:color w:val="000000" w:themeColor="text1"/>
          <w:kern w:val="0"/>
          <w:sz w:val="32"/>
          <w:szCs w:val="32"/>
          <w:lang w:eastAsia="zh-CN"/>
          <w14:textFill>
            <w14:solidFill>
              <w14:schemeClr w14:val="tx1"/>
            </w14:solidFill>
          </w14:textFill>
        </w:rPr>
        <w:t>等</w:t>
      </w:r>
      <w:r>
        <w:rPr>
          <w:rFonts w:hint="eastAsia" w:ascii="仿宋_GB2312" w:hAnsi="宋体" w:eastAsia="仿宋_GB2312" w:cs="宋体"/>
          <w:color w:val="000000" w:themeColor="text1"/>
          <w:kern w:val="0"/>
          <w:sz w:val="32"/>
          <w:szCs w:val="32"/>
          <w14:textFill>
            <w14:solidFill>
              <w14:schemeClr w14:val="tx1"/>
            </w14:solidFill>
          </w14:textFill>
        </w:rPr>
        <w:t>医疗机构，重点检查是否存在从非法渠道购进药品；是否建立购进验收记录；是否具有与所使用药品相适应的场所、设备、仓储设施；是否存在使用过期药品行为；是否存在不按照药品贮藏要求存储药品等可能影响药品质量安全的行为等内容。</w:t>
      </w:r>
    </w:p>
    <w:p>
      <w:pPr>
        <w:adjustRightInd w:val="0"/>
        <w:snapToGrid w:val="0"/>
        <w:spacing w:line="560" w:lineRule="exact"/>
        <w:ind w:firstLine="640"/>
        <w:textAlignment w:val="center"/>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（三）疾控机构、接种单位</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对疾控机构和接种单位按照《疫苗储存和运输管理规范》要</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求检查，重点检查冷链设备设施是否完备、运行是否良好，储运</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温度是否正常、定时监测是否落实，出入库台账记录是否完整、</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账物数量是否一致，批签发证明文件或检验报告是否齐全有效，</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定期检查制度是否落实，入库出库和接种阶段是否按规定上传追</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溯信息，发生温度异常是否及时记录并报疫苗生产企业评估，报</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废疫苗是否按规定处置等。</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（四）通过互联网销售药品的药品经营企业</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对通过互联网销售药品的药品经营企业按照“线上线下一</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致”的原则，检查是否符合药品经营质量管理规范等要求，重点</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检查是否存在违反互联网销售药品有关规定的情形。</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（五）化妆品经营单位</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持续做好《化妆品监督管理条例》宣贯工作，强化化妆品监</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督检查力度。</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1.重点内容</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（1）化妆品经营者是否建立并执行进货查验记录制度,能否</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保证化妆品来源合法可追溯;</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（2）化妆品标签标识是否符合规定。产品标签及店内广告</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是否明示或暗示产品具有医疗作用,是否虚假或夸大功效宣称;</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（3）是否按照规定条件储存运输,是否有变质或超过使用期</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限产品等;</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（4）是否经营或者进口未经注册的特殊化妆品。</w:t>
      </w:r>
    </w:p>
    <w:p>
      <w:pPr>
        <w:adjustRightInd w:val="0"/>
        <w:snapToGrid w:val="0"/>
        <w:spacing w:line="560" w:lineRule="exact"/>
        <w:ind w:firstLine="640"/>
        <w:textAlignment w:val="center"/>
        <w:rPr>
          <w:rFonts w:hint="eastAsia"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2.重点品种</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（1）儿童(含婴幼儿）化妆品;</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（2）进口化妆品;</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（3）染发类、美白祛斑类化妆品;</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（4）近年来监督抽检不合格及风险监测存在质量安全隐患</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的产品;</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（5）不良反应报告数量多或发生严重不良反应的品种;</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（6）媒体曝光或被投诉举报存在质量安全问题的品种。</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3.重点对象</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（1）化妆品集中交易市场、展销会:辖区内全面检查,查其</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是否对入场化妆品经营者进行管理。</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（2）美容美发机构、酒店宾馆等在经营中使用化妆品或者</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为消费者提供化妆品的单位:辖区内开展全面排查,查其是否履</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行经营者义务,是否有自行配制情况。</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（3）化妆品网络经营者:辖区内摸底排查,查其是否经营合</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法产品;是否全面真实准确及时披露产品信息。</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（4）大型商超、母婴专卖店:辖区内全面检查,查其是否经</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营合法产品,保证来源可追溯。</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（5）城乡结合部和农村地区日化用品商店及其他风险隐患</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较大的经营者。结合辖区实际,落实检查责任人,开展日常检查。</w:t>
      </w:r>
    </w:p>
    <w:p>
      <w:pPr>
        <w:adjustRightInd w:val="0"/>
        <w:snapToGrid w:val="0"/>
        <w:spacing w:line="560" w:lineRule="exact"/>
        <w:ind w:firstLine="640"/>
        <w:textAlignment w:val="center"/>
        <w:rPr>
          <w:rFonts w:hint="eastAsia"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三、检查安排</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药品经营使用环节监督检查主要包括日常检查、随机检查、</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有因检查、GSP 符合性检查和整改复查。化妆品经营环节监督检</w:t>
      </w:r>
    </w:p>
    <w:p>
      <w:pPr>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查方式包括日常监督检查、随机检查和整改复查。</w:t>
      </w:r>
    </w:p>
    <w:p>
      <w:pPr>
        <w:adjustRightInd w:val="0"/>
        <w:snapToGrid w:val="0"/>
        <w:spacing w:line="560" w:lineRule="exact"/>
        <w:ind w:firstLine="640" w:firstLineChars="20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具检查安排如下：</w:t>
      </w:r>
    </w:p>
    <w:p>
      <w:pPr>
        <w:adjustRightInd w:val="0"/>
        <w:snapToGrid w:val="0"/>
        <w:spacing w:line="560" w:lineRule="exact"/>
        <w:ind w:firstLine="640"/>
        <w:textAlignment w:val="center"/>
        <w:rPr>
          <w:rFonts w:hint="eastAsia"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1.日常检查</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药械科负责乳山市疾病控制中心、乳山市人民医院（含预防接种单位、产科接种室、狂犬病暴露处置门诊）、乳山市中医院（含预防接种单位、产科接种室、狂犬病暴露处置门诊）、技工学校</w:t>
      </w:r>
      <w:r>
        <w:rPr>
          <w:rFonts w:hint="eastAsia" w:ascii="仿宋_GB2312" w:hAnsi="宋体" w:eastAsia="仿宋_GB2312" w:cs="宋体"/>
          <w:color w:val="000000" w:themeColor="text1"/>
          <w:kern w:val="0"/>
          <w:sz w:val="32"/>
          <w:szCs w:val="32"/>
          <w:lang w:eastAsia="zh-CN"/>
          <w14:textFill>
            <w14:solidFill>
              <w14:schemeClr w14:val="tx1"/>
            </w14:solidFill>
          </w14:textFill>
        </w:rPr>
        <w:t>新冠疫苗</w:t>
      </w:r>
      <w:r>
        <w:rPr>
          <w:rFonts w:hint="eastAsia" w:ascii="仿宋_GB2312" w:hAnsi="宋体" w:eastAsia="仿宋_GB2312" w:cs="宋体"/>
          <w:color w:val="000000" w:themeColor="text1"/>
          <w:kern w:val="0"/>
          <w:sz w:val="32"/>
          <w:szCs w:val="32"/>
          <w14:textFill>
            <w14:solidFill>
              <w14:schemeClr w14:val="tx1"/>
            </w14:solidFill>
          </w14:textFill>
        </w:rPr>
        <w:t>临时接种点的日常监督检查；对零售药店、药品使用单位、疫苗接种单位、化妆品经营单位的随机检查、有因检查以及零售药店 GSP 符合性检查。</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各市场监管所对辖区内药品零售企业、药品使用单位实施每年 1 次监督检查全覆盖；对</w:t>
      </w:r>
      <w:r>
        <w:rPr>
          <w:rFonts w:hint="eastAsia" w:ascii="仿宋_GB2312" w:hAnsi="宋体" w:eastAsia="仿宋_GB2312" w:cs="宋体"/>
          <w:color w:val="000000" w:themeColor="text1"/>
          <w:kern w:val="0"/>
          <w:sz w:val="32"/>
          <w:szCs w:val="32"/>
          <w:lang w:eastAsia="zh-CN"/>
          <w14:textFill>
            <w14:solidFill>
              <w14:schemeClr w14:val="tx1"/>
            </w14:solidFill>
          </w14:textFill>
        </w:rPr>
        <w:t>新冠</w:t>
      </w:r>
      <w:r>
        <w:rPr>
          <w:rFonts w:hint="eastAsia" w:ascii="仿宋_GB2312" w:hAnsi="宋体" w:eastAsia="仿宋_GB2312" w:cs="宋体"/>
          <w:color w:val="000000" w:themeColor="text1"/>
          <w:kern w:val="0"/>
          <w:sz w:val="32"/>
          <w:szCs w:val="32"/>
          <w14:textFill>
            <w14:solidFill>
              <w14:schemeClr w14:val="tx1"/>
            </w14:solidFill>
          </w14:textFill>
        </w:rPr>
        <w:t>疫苗接种单位进行</w:t>
      </w:r>
      <w:r>
        <w:rPr>
          <w:rFonts w:hint="eastAsia" w:ascii="仿宋_GB2312" w:hAnsi="宋体" w:eastAsia="仿宋_GB2312" w:cs="宋体"/>
          <w:color w:val="000000" w:themeColor="text1"/>
          <w:kern w:val="0"/>
          <w:sz w:val="32"/>
          <w:szCs w:val="32"/>
          <w:lang w:eastAsia="zh-CN"/>
          <w14:textFill>
            <w14:solidFill>
              <w14:schemeClr w14:val="tx1"/>
            </w14:solidFill>
          </w14:textFill>
        </w:rPr>
        <w:t>一年多次检查（不低于</w:t>
      </w:r>
      <w:r>
        <w:rPr>
          <w:rFonts w:hint="eastAsia" w:ascii="仿宋_GB2312" w:hAnsi="宋体" w:eastAsia="仿宋_GB2312" w:cs="宋体"/>
          <w:color w:val="000000" w:themeColor="text1"/>
          <w:kern w:val="0"/>
          <w:sz w:val="32"/>
          <w:szCs w:val="32"/>
          <w:lang w:val="en-US" w:eastAsia="zh-CN"/>
          <w14:textFill>
            <w14:solidFill>
              <w14:schemeClr w14:val="tx1"/>
            </w14:solidFill>
          </w14:textFill>
        </w:rPr>
        <w:t>5次</w:t>
      </w:r>
      <w:r>
        <w:rPr>
          <w:rFonts w:hint="eastAsia" w:ascii="仿宋_GB2312" w:hAnsi="宋体" w:eastAsia="仿宋_GB2312" w:cs="宋体"/>
          <w:color w:val="000000" w:themeColor="text1"/>
          <w:kern w:val="0"/>
          <w:sz w:val="32"/>
          <w:szCs w:val="32"/>
          <w:lang w:eastAsia="zh-CN"/>
          <w14:textFill>
            <w14:solidFill>
              <w14:schemeClr w14:val="tx1"/>
            </w14:solidFill>
          </w14:textFill>
        </w:rPr>
        <w:t>）</w:t>
      </w:r>
      <w:r>
        <w:rPr>
          <w:rFonts w:hint="eastAsia" w:ascii="仿宋_GB2312" w:hAnsi="宋体" w:eastAsia="仿宋_GB2312" w:cs="宋体"/>
          <w:color w:val="000000" w:themeColor="text1"/>
          <w:kern w:val="0"/>
          <w:sz w:val="32"/>
          <w:szCs w:val="32"/>
          <w14:textFill>
            <w14:solidFill>
              <w14:schemeClr w14:val="tx1"/>
            </w14:solidFill>
          </w14:textFill>
        </w:rPr>
        <w:t>，</w:t>
      </w:r>
      <w:r>
        <w:rPr>
          <w:rFonts w:hint="eastAsia" w:ascii="仿宋_GB2312" w:hAnsi="宋体" w:eastAsia="仿宋_GB2312" w:cs="宋体"/>
          <w:color w:val="000000" w:themeColor="text1"/>
          <w:kern w:val="0"/>
          <w:sz w:val="32"/>
          <w:szCs w:val="32"/>
          <w:lang w:eastAsia="zh-CN"/>
          <w14:textFill>
            <w14:solidFill>
              <w14:schemeClr w14:val="tx1"/>
            </w14:solidFill>
          </w14:textFill>
        </w:rPr>
        <w:t>对</w:t>
      </w:r>
      <w:r>
        <w:rPr>
          <w:rFonts w:hint="eastAsia" w:ascii="仿宋_GB2312" w:hAnsi="宋体" w:eastAsia="仿宋_GB2312" w:cs="宋体"/>
          <w:color w:val="000000" w:themeColor="text1"/>
          <w:kern w:val="0"/>
          <w:sz w:val="32"/>
          <w:szCs w:val="32"/>
          <w14:textFill>
            <w14:solidFill>
              <w14:schemeClr w14:val="tx1"/>
            </w14:solidFill>
          </w14:textFill>
        </w:rPr>
        <w:t>同一疫苗接种单位取得多个资质的，需一并检查；对母婴用品店、美容美发机构、化妆品网络经营者、化妆品连锁销售门店、直接委托生产企业生产化妆品的经营单位、其他风险隐患较大的经营单位开展重点检查。</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2.整改复查。负责监督相关单位对各级检查发现涉及药品经营使用和化妆品经营环节的缺陷项目进行整改并组织现场复查。原则上检查结束后20个工作日内将企业整改报告和复查报告存档。涉及重大风险隐患的，在做好风险管控的同时，要及时报</w:t>
      </w:r>
    </w:p>
    <w:p>
      <w:pPr>
        <w:keepNext w:val="0"/>
        <w:keepLines w:val="0"/>
        <w:pageBreakBefore w:val="0"/>
        <w:widowControl w:val="0"/>
        <w:kinsoku/>
        <w:wordWrap/>
        <w:overflowPunct/>
        <w:topLinePunct w:val="0"/>
        <w:autoSpaceDE/>
        <w:autoSpaceDN/>
        <w:bidi w:val="0"/>
        <w:adjustRightInd w:val="0"/>
        <w:snapToGrid w:val="0"/>
        <w:spacing w:line="560" w:lineRule="exact"/>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告</w:t>
      </w:r>
      <w:r>
        <w:rPr>
          <w:rFonts w:hint="eastAsia" w:ascii="仿宋_GB2312" w:hAnsi="宋体" w:eastAsia="仿宋_GB2312" w:cs="宋体"/>
          <w:color w:val="000000" w:themeColor="text1"/>
          <w:kern w:val="0"/>
          <w:sz w:val="32"/>
          <w:szCs w:val="32"/>
          <w:lang w:eastAsia="zh-CN"/>
          <w14:textFill>
            <w14:solidFill>
              <w14:schemeClr w14:val="tx1"/>
            </w14:solidFill>
          </w14:textFill>
        </w:rPr>
        <w:t>药械科</w:t>
      </w:r>
      <w:r>
        <w:rPr>
          <w:rFonts w:hint="eastAsia" w:ascii="仿宋_GB2312" w:hAnsi="宋体" w:eastAsia="仿宋_GB2312" w:cs="宋体"/>
          <w:color w:val="000000" w:themeColor="text1"/>
          <w:kern w:val="0"/>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center"/>
        <w:rPr>
          <w:rFonts w:hint="eastAsia"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四、工作要求</w:t>
      </w:r>
    </w:p>
    <w:p>
      <w:pPr>
        <w:adjustRightInd w:val="0"/>
        <w:snapToGrid w:val="0"/>
        <w:spacing w:line="560" w:lineRule="exact"/>
        <w:ind w:firstLine="640" w:firstLineChars="20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一是切实增强药品和化妆品质量安全监管的风险意识</w:t>
      </w:r>
      <w:r>
        <w:rPr>
          <w:rFonts w:hint="eastAsia" w:ascii="仿宋_GB2312" w:hAnsi="宋体" w:eastAsia="仿宋_GB2312" w:cs="宋体"/>
          <w:color w:val="000000" w:themeColor="text1"/>
          <w:kern w:val="0"/>
          <w:sz w:val="32"/>
          <w:szCs w:val="32"/>
          <w:lang w:eastAsia="zh-CN"/>
          <w14:textFill>
            <w14:solidFill>
              <w14:schemeClr w14:val="tx1"/>
            </w14:solidFill>
          </w14:textFill>
        </w:rPr>
        <w:t>。各市场监管所要</w:t>
      </w:r>
      <w:r>
        <w:rPr>
          <w:rFonts w:hint="eastAsia" w:ascii="仿宋_GB2312" w:hAnsi="宋体" w:eastAsia="仿宋_GB2312" w:cs="宋体"/>
          <w:color w:val="000000" w:themeColor="text1"/>
          <w:kern w:val="0"/>
          <w:sz w:val="32"/>
          <w:szCs w:val="32"/>
          <w14:textFill>
            <w14:solidFill>
              <w14:schemeClr w14:val="tx1"/>
            </w14:solidFill>
          </w14:textFill>
        </w:rPr>
        <w:t>深入分析辖区内监管面临的形势和任务，针对影响药品和化妆品质量的风险因素和薄弱环节，采取有效防控措施，在日常监督检查中做好安全风险的评估、预警、排查，一旦发现问题要第一时间进行处置，做到快速反应、果断处置、有效应对，不放过任何一个隐患，坚决杜绝药品和化妆品安全事件的发生。</w:t>
      </w:r>
    </w:p>
    <w:p>
      <w:pPr>
        <w:adjustRightInd w:val="0"/>
        <w:snapToGrid w:val="0"/>
        <w:spacing w:line="560" w:lineRule="exact"/>
        <w:ind w:firstLine="640" w:firstLineChars="20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lang w:eastAsia="zh-CN"/>
          <w14:textFill>
            <w14:solidFill>
              <w14:schemeClr w14:val="tx1"/>
            </w14:solidFill>
          </w14:textFill>
        </w:rPr>
        <w:t>二是</w:t>
      </w:r>
      <w:r>
        <w:rPr>
          <w:rFonts w:hint="eastAsia" w:ascii="仿宋_GB2312" w:hAnsi="宋体" w:eastAsia="仿宋_GB2312" w:cs="宋体"/>
          <w:color w:val="000000" w:themeColor="text1"/>
          <w:kern w:val="0"/>
          <w:sz w:val="32"/>
          <w:szCs w:val="32"/>
          <w14:textFill>
            <w14:solidFill>
              <w14:schemeClr w14:val="tx1"/>
            </w14:solidFill>
          </w14:textFill>
        </w:rPr>
        <w:t>规范检查工作，加强考核评价。各项检查要符合法定程序，确保检查质量和效果，检查记录应及时录入</w:t>
      </w:r>
      <w:r>
        <w:rPr>
          <w:rFonts w:hint="eastAsia" w:ascii="仿宋_GB2312" w:hAnsi="宋体" w:eastAsia="仿宋_GB2312" w:cs="宋体"/>
          <w:color w:val="000000" w:themeColor="text1"/>
          <w:kern w:val="0"/>
          <w:sz w:val="32"/>
          <w:szCs w:val="32"/>
          <w:lang w:eastAsia="zh-CN"/>
          <w14:textFill>
            <w14:solidFill>
              <w14:schemeClr w14:val="tx1"/>
            </w14:solidFill>
          </w14:textFill>
        </w:rPr>
        <w:t>山东省一体化监管平台药化日常监管系统</w:t>
      </w:r>
      <w:r>
        <w:rPr>
          <w:rFonts w:hint="eastAsia" w:ascii="仿宋_GB2312" w:hAnsi="宋体" w:eastAsia="仿宋_GB2312" w:cs="宋体"/>
          <w:color w:val="000000" w:themeColor="text1"/>
          <w:kern w:val="0"/>
          <w:sz w:val="32"/>
          <w:szCs w:val="32"/>
          <w14:textFill>
            <w14:solidFill>
              <w14:schemeClr w14:val="tx1"/>
            </w14:solidFill>
          </w14:textFill>
        </w:rPr>
        <w:t>、</w:t>
      </w:r>
      <w:r>
        <w:rPr>
          <w:rFonts w:hint="eastAsia" w:ascii="仿宋_GB2312" w:hAnsi="宋体" w:eastAsia="仿宋_GB2312" w:cs="宋体"/>
          <w:color w:val="000000" w:themeColor="text1"/>
          <w:kern w:val="0"/>
          <w:sz w:val="32"/>
          <w:szCs w:val="32"/>
          <w:lang w:eastAsia="zh-CN"/>
          <w14:textFill>
            <w14:solidFill>
              <w14:schemeClr w14:val="tx1"/>
            </w14:solidFill>
          </w14:textFill>
        </w:rPr>
        <w:t>山东省</w:t>
      </w:r>
      <w:r>
        <w:rPr>
          <w:rFonts w:hint="eastAsia" w:ascii="仿宋_GB2312" w:hAnsi="宋体" w:eastAsia="仿宋_GB2312" w:cs="宋体"/>
          <w:color w:val="000000" w:themeColor="text1"/>
          <w:kern w:val="0"/>
          <w:sz w:val="32"/>
          <w:szCs w:val="32"/>
          <w14:textFill>
            <w14:solidFill>
              <w14:schemeClr w14:val="tx1"/>
            </w14:solidFill>
          </w14:textFill>
        </w:rPr>
        <w:t>疫苗追溯监管信息系统，建立药品化妆品经营使用</w:t>
      </w:r>
      <w:bookmarkStart w:id="0" w:name="_GoBack"/>
      <w:bookmarkEnd w:id="0"/>
      <w:r>
        <w:rPr>
          <w:rFonts w:hint="eastAsia" w:ascii="仿宋_GB2312" w:hAnsi="宋体" w:eastAsia="仿宋_GB2312" w:cs="宋体"/>
          <w:color w:val="000000" w:themeColor="text1"/>
          <w:kern w:val="0"/>
          <w:sz w:val="32"/>
          <w:szCs w:val="32"/>
          <w14:textFill>
            <w14:solidFill>
              <w14:schemeClr w14:val="tx1"/>
            </w14:solidFill>
          </w14:textFill>
        </w:rPr>
        <w:t>者信用档案,完善检查档案。</w:t>
      </w:r>
    </w:p>
    <w:p>
      <w:pPr>
        <w:adjustRightInd w:val="0"/>
        <w:snapToGrid w:val="0"/>
        <w:spacing w:line="560" w:lineRule="exact"/>
        <w:ind w:firstLine="640" w:firstLineChars="200"/>
        <w:textAlignment w:val="center"/>
        <w:rPr>
          <w:rFonts w:hint="eastAsia"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lang w:eastAsia="zh-CN"/>
          <w14:textFill>
            <w14:solidFill>
              <w14:schemeClr w14:val="tx1"/>
            </w14:solidFill>
          </w14:textFill>
        </w:rPr>
        <w:t>三是</w:t>
      </w:r>
      <w:r>
        <w:rPr>
          <w:rFonts w:hint="eastAsia" w:ascii="仿宋_GB2312" w:hAnsi="宋体" w:eastAsia="仿宋_GB2312" w:cs="宋体"/>
          <w:color w:val="000000" w:themeColor="text1"/>
          <w:kern w:val="0"/>
          <w:sz w:val="32"/>
          <w:szCs w:val="32"/>
          <w14:textFill>
            <w14:solidFill>
              <w14:schemeClr w14:val="tx1"/>
            </w14:solidFill>
          </w14:textFill>
        </w:rPr>
        <w:t>各单位</w:t>
      </w:r>
      <w:r>
        <w:rPr>
          <w:rFonts w:hint="eastAsia" w:ascii="仿宋_GB2312" w:hAnsi="宋体" w:eastAsia="仿宋_GB2312" w:cs="宋体"/>
          <w:color w:val="000000" w:themeColor="text1"/>
          <w:kern w:val="0"/>
          <w:sz w:val="32"/>
          <w:szCs w:val="32"/>
          <w:lang w:eastAsia="zh-CN"/>
          <w14:textFill>
            <w14:solidFill>
              <w14:schemeClr w14:val="tx1"/>
            </w14:solidFill>
          </w14:textFill>
        </w:rPr>
        <w:t>按照</w:t>
      </w:r>
      <w:r>
        <w:rPr>
          <w:rFonts w:hint="eastAsia" w:ascii="仿宋_GB2312" w:hAnsi="宋体" w:eastAsia="仿宋_GB2312" w:cs="宋体"/>
          <w:color w:val="000000" w:themeColor="text1"/>
          <w:kern w:val="0"/>
          <w:sz w:val="32"/>
          <w:szCs w:val="32"/>
          <w14:textFill>
            <w14:solidFill>
              <w14:schemeClr w14:val="tx1"/>
            </w14:solidFill>
          </w14:textFill>
        </w:rPr>
        <w:t>每</w:t>
      </w:r>
      <w:r>
        <w:rPr>
          <w:rFonts w:hint="eastAsia" w:ascii="仿宋_GB2312" w:hAnsi="宋体" w:eastAsia="仿宋_GB2312" w:cs="宋体"/>
          <w:color w:val="000000" w:themeColor="text1"/>
          <w:kern w:val="0"/>
          <w:sz w:val="32"/>
          <w:szCs w:val="32"/>
          <w:lang w:eastAsia="zh-CN"/>
          <w14:textFill>
            <w14:solidFill>
              <w14:schemeClr w14:val="tx1"/>
            </w14:solidFill>
          </w14:textFill>
        </w:rPr>
        <w:t>月下发的检查名单进行检查</w:t>
      </w:r>
      <w:r>
        <w:rPr>
          <w:rFonts w:hint="eastAsia" w:ascii="仿宋_GB2312" w:hAnsi="宋体" w:eastAsia="仿宋_GB2312" w:cs="宋体"/>
          <w:color w:val="000000" w:themeColor="text1"/>
          <w:kern w:val="0"/>
          <w:sz w:val="32"/>
          <w:szCs w:val="32"/>
          <w14:textFill>
            <w14:solidFill>
              <w14:schemeClr w14:val="tx1"/>
            </w14:solidFill>
          </w14:textFill>
        </w:rPr>
        <w:t>，</w:t>
      </w:r>
      <w:r>
        <w:rPr>
          <w:rFonts w:hint="eastAsia" w:ascii="仿宋_GB2312" w:hAnsi="宋体" w:eastAsia="仿宋_GB2312" w:cs="宋体"/>
          <w:color w:val="000000" w:themeColor="text1"/>
          <w:kern w:val="0"/>
          <w:sz w:val="32"/>
          <w:szCs w:val="32"/>
          <w:lang w:eastAsia="zh-CN"/>
          <w14:textFill>
            <w14:solidFill>
              <w14:schemeClr w14:val="tx1"/>
            </w14:solidFill>
          </w14:textFill>
        </w:rPr>
        <w:t>于每月</w:t>
      </w:r>
      <w:r>
        <w:rPr>
          <w:rFonts w:hint="eastAsia" w:ascii="仿宋_GB2312" w:hAnsi="宋体" w:eastAsia="仿宋_GB2312" w:cs="宋体"/>
          <w:color w:val="000000" w:themeColor="text1"/>
          <w:kern w:val="0"/>
          <w:sz w:val="32"/>
          <w:szCs w:val="32"/>
          <w:lang w:val="en-US" w:eastAsia="zh-CN"/>
          <w14:textFill>
            <w14:solidFill>
              <w14:schemeClr w14:val="tx1"/>
            </w14:solidFill>
          </w14:textFill>
        </w:rPr>
        <w:t>28日前将检查</w:t>
      </w:r>
      <w:r>
        <w:rPr>
          <w:rFonts w:hint="eastAsia" w:ascii="仿宋_GB2312" w:hAnsi="宋体" w:eastAsia="仿宋_GB2312" w:cs="宋体"/>
          <w:color w:val="000000" w:themeColor="text1"/>
          <w:kern w:val="0"/>
          <w:sz w:val="32"/>
          <w:szCs w:val="32"/>
          <w:lang w:eastAsia="zh-CN"/>
          <w14:textFill>
            <w14:solidFill>
              <w14:schemeClr w14:val="tx1"/>
            </w14:solidFill>
          </w14:textFill>
        </w:rPr>
        <w:t>台账</w:t>
      </w:r>
      <w:r>
        <w:rPr>
          <w:rFonts w:hint="eastAsia" w:ascii="仿宋_GB2312" w:hAnsi="宋体" w:eastAsia="仿宋_GB2312" w:cs="宋体"/>
          <w:color w:val="000000" w:themeColor="text1"/>
          <w:kern w:val="0"/>
          <w:sz w:val="32"/>
          <w:szCs w:val="32"/>
          <w14:textFill>
            <w14:solidFill>
              <w14:schemeClr w14:val="tx1"/>
            </w14:solidFill>
          </w14:textFill>
        </w:rPr>
        <w:t>报</w:t>
      </w:r>
      <w:r>
        <w:rPr>
          <w:rFonts w:hint="eastAsia" w:ascii="仿宋_GB2312" w:hAnsi="宋体" w:eastAsia="仿宋_GB2312" w:cs="宋体"/>
          <w:color w:val="000000" w:themeColor="text1"/>
          <w:kern w:val="0"/>
          <w:sz w:val="32"/>
          <w:szCs w:val="32"/>
          <w:lang w:eastAsia="zh-CN"/>
          <w14:textFill>
            <w14:solidFill>
              <w14:schemeClr w14:val="tx1"/>
            </w14:solidFill>
          </w14:textFill>
        </w:rPr>
        <w:t>药械科，由药械科汇总上报</w:t>
      </w:r>
      <w:r>
        <w:rPr>
          <w:rFonts w:hint="eastAsia" w:ascii="仿宋_GB2312" w:hAnsi="宋体" w:eastAsia="仿宋_GB2312" w:cs="宋体"/>
          <w:color w:val="000000" w:themeColor="text1"/>
          <w:kern w:val="0"/>
          <w:sz w:val="32"/>
          <w:szCs w:val="32"/>
          <w14:textFill>
            <w14:solidFill>
              <w14:schemeClr w14:val="tx1"/>
            </w14:solidFill>
          </w14:textFill>
        </w:rPr>
        <w:t>。</w:t>
      </w:r>
    </w:p>
    <w:p>
      <w:pPr>
        <w:adjustRightInd w:val="0"/>
        <w:snapToGrid w:val="0"/>
        <w:spacing w:line="560" w:lineRule="exact"/>
        <w:ind w:firstLine="640"/>
        <w:textAlignment w:val="center"/>
        <w:rPr>
          <w:rFonts w:hint="eastAsia" w:ascii="仿宋_GB2312" w:hAnsi="宋体" w:eastAsia="仿宋_GB2312" w:cs="宋体"/>
          <w:color w:val="000000" w:themeColor="text1"/>
          <w:kern w:val="0"/>
          <w:sz w:val="32"/>
          <w:szCs w:val="32"/>
          <w14:textFill>
            <w14:solidFill>
              <w14:schemeClr w14:val="tx1"/>
            </w14:solidFill>
          </w14:textFill>
        </w:rPr>
      </w:pPr>
    </w:p>
    <w:p>
      <w:pPr>
        <w:adjustRightInd w:val="0"/>
        <w:snapToGrid w:val="0"/>
        <w:spacing w:line="560" w:lineRule="exact"/>
        <w:rPr>
          <w:rFonts w:ascii="仿宋_GB2312" w:hAnsi="仿宋_GB2312" w:eastAsia="仿宋_GB2312" w:cs="仿宋_GB2312"/>
          <w:color w:val="000000" w:themeColor="text1"/>
          <w:kern w:val="0"/>
          <w:sz w:val="32"/>
          <w:szCs w:val="32"/>
          <w14:textFill>
            <w14:solidFill>
              <w14:schemeClr w14:val="tx1"/>
            </w14:solidFill>
          </w14:textFill>
        </w:rPr>
      </w:pPr>
    </w:p>
    <w:sectPr>
      <w:headerReference r:id="rId3" w:type="default"/>
      <w:footerReference r:id="rId4" w:type="default"/>
      <w:pgSz w:w="11906" w:h="16838"/>
      <w:pgMar w:top="2268" w:right="1531" w:bottom="1701" w:left="1531" w:header="850" w:footer="879" w:gutter="0"/>
      <w:pgNumType w:fmt="numberInDash"/>
      <w:cols w:space="0" w:num="1"/>
      <w:docGrid w:type="lines" w:linePitch="28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1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- 10 -</w:t>
                          </w:r>
                          <w:r>
                            <w:rPr>
                              <w:rFonts w:hint="eastAsia" w:ascii="宋体" w:hAnsi="宋体" w:cs="宋体"/>
                              <w:sz w:val="28"/>
                              <w:szCs w:val="28"/>
                            </w:rPr>
                            <w:fldChar w:fldCharType="end"/>
                          </w:r>
                        </w:p>
                      </w:txbxContent>
                    </wps:txbx>
                    <wps:bodyPr wrap="none" lIns="0" tIns="0" rIns="0" bIns="0">
                      <a:spAutoFit/>
                    </wps:bodyPr>
                  </wps:wsp>
                </a:graphicData>
              </a:graphic>
            </wp:anchor>
          </w:drawing>
        </mc:Choice>
        <mc:Fallback>
          <w:pict>
            <v:shape id="文本框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0+osB68BAABH&#10;AwAADgAAAAAAAAABACAAAAAeAQAAZHJzL2Uyb0RvYy54bWxQSwUGAAAAAAYABgBZAQAAPwUAAAAA&#10;">
              <v:fill on="f" focussize="0,0"/>
              <v:stroke on="f"/>
              <v:imagedata o:title=""/>
              <o:lock v:ext="edit" aspectratio="f"/>
              <v:textbox inset="0mm,0mm,0mm,0mm" style="mso-fit-shape-to-text:t;">
                <w:txbxContent>
                  <w:p>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- 10 -</w:t>
                    </w:r>
                    <w:r>
                      <w:rPr>
                        <w:rFonts w:hint="eastAsia" w:ascii="宋体" w:hAnsi="宋体" w:cs="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420"/>
  <w:drawingGridHorizontalSpacing w:val="210"/>
  <w:drawingGridVerticalSpacing w:val="144"/>
  <w:noPunctuationKerning w:val="1"/>
  <w:characterSpacingControl w:val="compressPunctuation"/>
  <w:doNotValidateAgainstSchema/>
  <w:doNotDemarcateInvalidXml/>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16BC"/>
    <w:rsid w:val="000019A9"/>
    <w:rsid w:val="00006620"/>
    <w:rsid w:val="0001091B"/>
    <w:rsid w:val="000128EF"/>
    <w:rsid w:val="00023EE4"/>
    <w:rsid w:val="000572A8"/>
    <w:rsid w:val="00097B19"/>
    <w:rsid w:val="000B2CA3"/>
    <w:rsid w:val="000B7F7F"/>
    <w:rsid w:val="000C2A5F"/>
    <w:rsid w:val="000E5DEA"/>
    <w:rsid w:val="000F0434"/>
    <w:rsid w:val="0015207B"/>
    <w:rsid w:val="001561F1"/>
    <w:rsid w:val="001570F2"/>
    <w:rsid w:val="001728DD"/>
    <w:rsid w:val="001A4C50"/>
    <w:rsid w:val="001A7B13"/>
    <w:rsid w:val="001B234D"/>
    <w:rsid w:val="001D40A0"/>
    <w:rsid w:val="001D79F3"/>
    <w:rsid w:val="001E6189"/>
    <w:rsid w:val="002074C7"/>
    <w:rsid w:val="00207E25"/>
    <w:rsid w:val="002454DF"/>
    <w:rsid w:val="00246037"/>
    <w:rsid w:val="00246D83"/>
    <w:rsid w:val="00287C14"/>
    <w:rsid w:val="002D6175"/>
    <w:rsid w:val="00351228"/>
    <w:rsid w:val="003A3812"/>
    <w:rsid w:val="003B23D7"/>
    <w:rsid w:val="003C22E7"/>
    <w:rsid w:val="003D7D7F"/>
    <w:rsid w:val="00407B4A"/>
    <w:rsid w:val="004135A8"/>
    <w:rsid w:val="00416D3E"/>
    <w:rsid w:val="00427B44"/>
    <w:rsid w:val="004314B0"/>
    <w:rsid w:val="004546E9"/>
    <w:rsid w:val="004669F7"/>
    <w:rsid w:val="004D4B25"/>
    <w:rsid w:val="00527A89"/>
    <w:rsid w:val="00563316"/>
    <w:rsid w:val="00590830"/>
    <w:rsid w:val="005A37D3"/>
    <w:rsid w:val="005B3C9C"/>
    <w:rsid w:val="005E06B5"/>
    <w:rsid w:val="00621732"/>
    <w:rsid w:val="006449EA"/>
    <w:rsid w:val="006545E6"/>
    <w:rsid w:val="00662383"/>
    <w:rsid w:val="0067311A"/>
    <w:rsid w:val="006B0C73"/>
    <w:rsid w:val="006B52B2"/>
    <w:rsid w:val="00730EB6"/>
    <w:rsid w:val="007447F3"/>
    <w:rsid w:val="0074631B"/>
    <w:rsid w:val="00756CC5"/>
    <w:rsid w:val="00757836"/>
    <w:rsid w:val="00764688"/>
    <w:rsid w:val="007646DB"/>
    <w:rsid w:val="007B4797"/>
    <w:rsid w:val="007F1DB2"/>
    <w:rsid w:val="00813443"/>
    <w:rsid w:val="008139C4"/>
    <w:rsid w:val="008240BD"/>
    <w:rsid w:val="00826D51"/>
    <w:rsid w:val="008777B3"/>
    <w:rsid w:val="00894A58"/>
    <w:rsid w:val="008C2317"/>
    <w:rsid w:val="0092130A"/>
    <w:rsid w:val="009216BC"/>
    <w:rsid w:val="009638F2"/>
    <w:rsid w:val="00972F77"/>
    <w:rsid w:val="009A4DB8"/>
    <w:rsid w:val="009E4F18"/>
    <w:rsid w:val="009F2402"/>
    <w:rsid w:val="009F2B0A"/>
    <w:rsid w:val="009F349E"/>
    <w:rsid w:val="00A06848"/>
    <w:rsid w:val="00A1760F"/>
    <w:rsid w:val="00A2689C"/>
    <w:rsid w:val="00A52041"/>
    <w:rsid w:val="00A6241F"/>
    <w:rsid w:val="00A734E4"/>
    <w:rsid w:val="00AA6B3E"/>
    <w:rsid w:val="00AC1446"/>
    <w:rsid w:val="00AF1A53"/>
    <w:rsid w:val="00AF1D84"/>
    <w:rsid w:val="00B41943"/>
    <w:rsid w:val="00B61D86"/>
    <w:rsid w:val="00B75DE4"/>
    <w:rsid w:val="00B80AAD"/>
    <w:rsid w:val="00B87A1B"/>
    <w:rsid w:val="00B91B00"/>
    <w:rsid w:val="00BA523C"/>
    <w:rsid w:val="00BB052F"/>
    <w:rsid w:val="00C004F7"/>
    <w:rsid w:val="00C21C4B"/>
    <w:rsid w:val="00C43C56"/>
    <w:rsid w:val="00C5694D"/>
    <w:rsid w:val="00C75037"/>
    <w:rsid w:val="00CA2EF2"/>
    <w:rsid w:val="00CA6AB7"/>
    <w:rsid w:val="00CC7778"/>
    <w:rsid w:val="00D851D4"/>
    <w:rsid w:val="00DB0549"/>
    <w:rsid w:val="00DB6FA8"/>
    <w:rsid w:val="00DC147E"/>
    <w:rsid w:val="00DD09DC"/>
    <w:rsid w:val="00E115F4"/>
    <w:rsid w:val="00E3603E"/>
    <w:rsid w:val="00E37496"/>
    <w:rsid w:val="00E64539"/>
    <w:rsid w:val="00E70E06"/>
    <w:rsid w:val="00E71B4D"/>
    <w:rsid w:val="00E74770"/>
    <w:rsid w:val="00EA5879"/>
    <w:rsid w:val="00EC5257"/>
    <w:rsid w:val="00EF60DE"/>
    <w:rsid w:val="00F03F07"/>
    <w:rsid w:val="00F508FA"/>
    <w:rsid w:val="00F67BC5"/>
    <w:rsid w:val="00F70249"/>
    <w:rsid w:val="00F710CB"/>
    <w:rsid w:val="00F72F08"/>
    <w:rsid w:val="00F85E4A"/>
    <w:rsid w:val="00FB3B44"/>
    <w:rsid w:val="00FC1799"/>
    <w:rsid w:val="00FC23A8"/>
    <w:rsid w:val="00FC4738"/>
    <w:rsid w:val="00FC4A5F"/>
    <w:rsid w:val="00FD73C0"/>
    <w:rsid w:val="010E596E"/>
    <w:rsid w:val="01450EE8"/>
    <w:rsid w:val="01641360"/>
    <w:rsid w:val="01A8771E"/>
    <w:rsid w:val="0243252F"/>
    <w:rsid w:val="02A3688D"/>
    <w:rsid w:val="036650C0"/>
    <w:rsid w:val="0422777E"/>
    <w:rsid w:val="04263DA5"/>
    <w:rsid w:val="045071B9"/>
    <w:rsid w:val="04617DFF"/>
    <w:rsid w:val="054101AC"/>
    <w:rsid w:val="058C43F7"/>
    <w:rsid w:val="05BD66E9"/>
    <w:rsid w:val="06242CD1"/>
    <w:rsid w:val="06EC0224"/>
    <w:rsid w:val="06F067E3"/>
    <w:rsid w:val="06F6789C"/>
    <w:rsid w:val="07753CE5"/>
    <w:rsid w:val="079F50DE"/>
    <w:rsid w:val="07DD4F2E"/>
    <w:rsid w:val="07DF5922"/>
    <w:rsid w:val="0872035C"/>
    <w:rsid w:val="08825872"/>
    <w:rsid w:val="089F5132"/>
    <w:rsid w:val="08B20AAE"/>
    <w:rsid w:val="08D46F71"/>
    <w:rsid w:val="08EF2C6B"/>
    <w:rsid w:val="0973407D"/>
    <w:rsid w:val="09793F36"/>
    <w:rsid w:val="097C26E2"/>
    <w:rsid w:val="09B462FF"/>
    <w:rsid w:val="0A1B2E58"/>
    <w:rsid w:val="0A507B70"/>
    <w:rsid w:val="0AB31CD9"/>
    <w:rsid w:val="0AC87A1B"/>
    <w:rsid w:val="0AE10E9C"/>
    <w:rsid w:val="0B004497"/>
    <w:rsid w:val="0B342618"/>
    <w:rsid w:val="0B51646B"/>
    <w:rsid w:val="0BAC01D6"/>
    <w:rsid w:val="0BB56600"/>
    <w:rsid w:val="0BC06358"/>
    <w:rsid w:val="0BCB12CA"/>
    <w:rsid w:val="0C073618"/>
    <w:rsid w:val="0C91343C"/>
    <w:rsid w:val="0CC548AF"/>
    <w:rsid w:val="0CE52582"/>
    <w:rsid w:val="0D051958"/>
    <w:rsid w:val="0D2249E9"/>
    <w:rsid w:val="0D2A1821"/>
    <w:rsid w:val="0D2B791E"/>
    <w:rsid w:val="0D665EBB"/>
    <w:rsid w:val="0DB17672"/>
    <w:rsid w:val="0DB9375B"/>
    <w:rsid w:val="0DE35A0F"/>
    <w:rsid w:val="0E054EA7"/>
    <w:rsid w:val="0E2B307F"/>
    <w:rsid w:val="0EDC3B60"/>
    <w:rsid w:val="10080AB2"/>
    <w:rsid w:val="10490F61"/>
    <w:rsid w:val="1056392F"/>
    <w:rsid w:val="10B079BE"/>
    <w:rsid w:val="10B833FA"/>
    <w:rsid w:val="11481C5A"/>
    <w:rsid w:val="11996A13"/>
    <w:rsid w:val="11CB42ED"/>
    <w:rsid w:val="122F7EE5"/>
    <w:rsid w:val="124275AB"/>
    <w:rsid w:val="127E6675"/>
    <w:rsid w:val="12A47E60"/>
    <w:rsid w:val="12CE3B79"/>
    <w:rsid w:val="14452AF9"/>
    <w:rsid w:val="14A27588"/>
    <w:rsid w:val="151E544C"/>
    <w:rsid w:val="154566CF"/>
    <w:rsid w:val="164D156A"/>
    <w:rsid w:val="16786182"/>
    <w:rsid w:val="16A51657"/>
    <w:rsid w:val="17402379"/>
    <w:rsid w:val="1769050F"/>
    <w:rsid w:val="17C14580"/>
    <w:rsid w:val="17EC11A1"/>
    <w:rsid w:val="19144B29"/>
    <w:rsid w:val="19586867"/>
    <w:rsid w:val="19D254AA"/>
    <w:rsid w:val="19E07885"/>
    <w:rsid w:val="1AD6051E"/>
    <w:rsid w:val="1BB2723A"/>
    <w:rsid w:val="1C133D82"/>
    <w:rsid w:val="1C2221C3"/>
    <w:rsid w:val="1C6061C3"/>
    <w:rsid w:val="1C7C6DE2"/>
    <w:rsid w:val="1E724B66"/>
    <w:rsid w:val="1E8E26DC"/>
    <w:rsid w:val="1ED22A5F"/>
    <w:rsid w:val="1EE1005D"/>
    <w:rsid w:val="1EF024DB"/>
    <w:rsid w:val="1F9E4A3E"/>
    <w:rsid w:val="20922D77"/>
    <w:rsid w:val="20CF621C"/>
    <w:rsid w:val="21363365"/>
    <w:rsid w:val="21370AD9"/>
    <w:rsid w:val="21753607"/>
    <w:rsid w:val="219C2C82"/>
    <w:rsid w:val="21B335F7"/>
    <w:rsid w:val="22016B00"/>
    <w:rsid w:val="22017ED3"/>
    <w:rsid w:val="220556D4"/>
    <w:rsid w:val="221259E6"/>
    <w:rsid w:val="22B21E67"/>
    <w:rsid w:val="22F512A3"/>
    <w:rsid w:val="236C5CD9"/>
    <w:rsid w:val="238C4AFF"/>
    <w:rsid w:val="23BC3B23"/>
    <w:rsid w:val="23D72B5C"/>
    <w:rsid w:val="24201402"/>
    <w:rsid w:val="2467450B"/>
    <w:rsid w:val="24CD5E36"/>
    <w:rsid w:val="24F93E0C"/>
    <w:rsid w:val="261231AE"/>
    <w:rsid w:val="2640008E"/>
    <w:rsid w:val="26604C5D"/>
    <w:rsid w:val="26AA09A3"/>
    <w:rsid w:val="277D2E5B"/>
    <w:rsid w:val="27CC4606"/>
    <w:rsid w:val="2806300E"/>
    <w:rsid w:val="285A6923"/>
    <w:rsid w:val="285D39FD"/>
    <w:rsid w:val="28ED5DDD"/>
    <w:rsid w:val="29624CBD"/>
    <w:rsid w:val="29875B4F"/>
    <w:rsid w:val="299A3167"/>
    <w:rsid w:val="29B556A7"/>
    <w:rsid w:val="29F16048"/>
    <w:rsid w:val="2A051573"/>
    <w:rsid w:val="2A365E0C"/>
    <w:rsid w:val="2A44236F"/>
    <w:rsid w:val="2AB6640B"/>
    <w:rsid w:val="2AED3D33"/>
    <w:rsid w:val="2AFA06A4"/>
    <w:rsid w:val="2B090002"/>
    <w:rsid w:val="2B6907E2"/>
    <w:rsid w:val="2B8A29D2"/>
    <w:rsid w:val="2B8A6D65"/>
    <w:rsid w:val="2BF74659"/>
    <w:rsid w:val="2BFB489A"/>
    <w:rsid w:val="2C2F3ABB"/>
    <w:rsid w:val="2C512FC6"/>
    <w:rsid w:val="2E1337F0"/>
    <w:rsid w:val="2E440641"/>
    <w:rsid w:val="2E483D9D"/>
    <w:rsid w:val="2EAA7BD8"/>
    <w:rsid w:val="2EF210F4"/>
    <w:rsid w:val="2F2400F1"/>
    <w:rsid w:val="2F9B3968"/>
    <w:rsid w:val="2FA018E9"/>
    <w:rsid w:val="3005083D"/>
    <w:rsid w:val="303D03AC"/>
    <w:rsid w:val="30C60F8A"/>
    <w:rsid w:val="30E27AE8"/>
    <w:rsid w:val="31046F6F"/>
    <w:rsid w:val="31473CA1"/>
    <w:rsid w:val="317A7F35"/>
    <w:rsid w:val="31A80E5E"/>
    <w:rsid w:val="31AC07CC"/>
    <w:rsid w:val="31E417CD"/>
    <w:rsid w:val="324D1EB3"/>
    <w:rsid w:val="32830B86"/>
    <w:rsid w:val="33060DD4"/>
    <w:rsid w:val="33284CE0"/>
    <w:rsid w:val="335A3A18"/>
    <w:rsid w:val="34887D14"/>
    <w:rsid w:val="34C938B6"/>
    <w:rsid w:val="34DF1B82"/>
    <w:rsid w:val="359E06B1"/>
    <w:rsid w:val="35AC1917"/>
    <w:rsid w:val="35D402AC"/>
    <w:rsid w:val="35F100CC"/>
    <w:rsid w:val="36014DBA"/>
    <w:rsid w:val="3629783B"/>
    <w:rsid w:val="36446EDC"/>
    <w:rsid w:val="36E36511"/>
    <w:rsid w:val="36EE0D54"/>
    <w:rsid w:val="373B0490"/>
    <w:rsid w:val="37C87119"/>
    <w:rsid w:val="385A284D"/>
    <w:rsid w:val="388F3113"/>
    <w:rsid w:val="38AF707D"/>
    <w:rsid w:val="392D7DA5"/>
    <w:rsid w:val="399F20D1"/>
    <w:rsid w:val="39E80E70"/>
    <w:rsid w:val="3A8A7644"/>
    <w:rsid w:val="3AB24299"/>
    <w:rsid w:val="3AC220A3"/>
    <w:rsid w:val="3B0A50D7"/>
    <w:rsid w:val="3B165229"/>
    <w:rsid w:val="3BA17A73"/>
    <w:rsid w:val="3C124C34"/>
    <w:rsid w:val="3C8E245A"/>
    <w:rsid w:val="3C8F2674"/>
    <w:rsid w:val="3D833D8F"/>
    <w:rsid w:val="3E3A331B"/>
    <w:rsid w:val="3E553FFA"/>
    <w:rsid w:val="3E830592"/>
    <w:rsid w:val="3ED15F37"/>
    <w:rsid w:val="3F202A2D"/>
    <w:rsid w:val="3F323CBD"/>
    <w:rsid w:val="3FF4372C"/>
    <w:rsid w:val="402D3506"/>
    <w:rsid w:val="40FE62EF"/>
    <w:rsid w:val="415A5691"/>
    <w:rsid w:val="41983DC1"/>
    <w:rsid w:val="41CB6E26"/>
    <w:rsid w:val="42020F89"/>
    <w:rsid w:val="424D7458"/>
    <w:rsid w:val="426E12D3"/>
    <w:rsid w:val="42CC2B17"/>
    <w:rsid w:val="42E665C5"/>
    <w:rsid w:val="453265E5"/>
    <w:rsid w:val="45603FA1"/>
    <w:rsid w:val="45953AE2"/>
    <w:rsid w:val="45F9244F"/>
    <w:rsid w:val="46A222F2"/>
    <w:rsid w:val="471722E6"/>
    <w:rsid w:val="47990D4E"/>
    <w:rsid w:val="48C310B6"/>
    <w:rsid w:val="48E44757"/>
    <w:rsid w:val="49264D82"/>
    <w:rsid w:val="49804A28"/>
    <w:rsid w:val="49C0129F"/>
    <w:rsid w:val="49E97672"/>
    <w:rsid w:val="4A043154"/>
    <w:rsid w:val="4A856630"/>
    <w:rsid w:val="4A9F5DFE"/>
    <w:rsid w:val="4BC851BB"/>
    <w:rsid w:val="4BDB6F5D"/>
    <w:rsid w:val="4C1C4C69"/>
    <w:rsid w:val="4CA8035B"/>
    <w:rsid w:val="4CC5461A"/>
    <w:rsid w:val="4D873B7B"/>
    <w:rsid w:val="4E510304"/>
    <w:rsid w:val="4E636275"/>
    <w:rsid w:val="4E693F9D"/>
    <w:rsid w:val="4EE05F01"/>
    <w:rsid w:val="4F6B47E9"/>
    <w:rsid w:val="50522393"/>
    <w:rsid w:val="506368E9"/>
    <w:rsid w:val="50B83F2F"/>
    <w:rsid w:val="50D8424D"/>
    <w:rsid w:val="510C6488"/>
    <w:rsid w:val="51107C93"/>
    <w:rsid w:val="51786C67"/>
    <w:rsid w:val="517B61F0"/>
    <w:rsid w:val="51AD1B21"/>
    <w:rsid w:val="51E926FE"/>
    <w:rsid w:val="51F12738"/>
    <w:rsid w:val="521A117A"/>
    <w:rsid w:val="52896EDC"/>
    <w:rsid w:val="52A24500"/>
    <w:rsid w:val="52BD64C0"/>
    <w:rsid w:val="530006E9"/>
    <w:rsid w:val="53174A74"/>
    <w:rsid w:val="533B1B72"/>
    <w:rsid w:val="53C74C00"/>
    <w:rsid w:val="54364041"/>
    <w:rsid w:val="54D97780"/>
    <w:rsid w:val="55191560"/>
    <w:rsid w:val="551E7E1B"/>
    <w:rsid w:val="565F5702"/>
    <w:rsid w:val="56773E07"/>
    <w:rsid w:val="57B55488"/>
    <w:rsid w:val="57DD2370"/>
    <w:rsid w:val="57E946BA"/>
    <w:rsid w:val="57EB4036"/>
    <w:rsid w:val="587354A4"/>
    <w:rsid w:val="5A4950E0"/>
    <w:rsid w:val="5A7A45A6"/>
    <w:rsid w:val="5A957820"/>
    <w:rsid w:val="5AC76EF7"/>
    <w:rsid w:val="5BD00168"/>
    <w:rsid w:val="5BF408B5"/>
    <w:rsid w:val="5C105095"/>
    <w:rsid w:val="5C185F10"/>
    <w:rsid w:val="5CAC1F85"/>
    <w:rsid w:val="5DB7377E"/>
    <w:rsid w:val="5DC124F8"/>
    <w:rsid w:val="5E0B0CE6"/>
    <w:rsid w:val="5E657913"/>
    <w:rsid w:val="5EF15E09"/>
    <w:rsid w:val="5EFD1840"/>
    <w:rsid w:val="5F2C664E"/>
    <w:rsid w:val="5F390CC1"/>
    <w:rsid w:val="5FE522A6"/>
    <w:rsid w:val="60184D69"/>
    <w:rsid w:val="606F1CB9"/>
    <w:rsid w:val="60940E06"/>
    <w:rsid w:val="60BE5FCB"/>
    <w:rsid w:val="61901BE9"/>
    <w:rsid w:val="61C210B6"/>
    <w:rsid w:val="61CC2144"/>
    <w:rsid w:val="62363651"/>
    <w:rsid w:val="62616116"/>
    <w:rsid w:val="627D11CF"/>
    <w:rsid w:val="637D780F"/>
    <w:rsid w:val="63A73680"/>
    <w:rsid w:val="64113509"/>
    <w:rsid w:val="64FA2540"/>
    <w:rsid w:val="65BA11F5"/>
    <w:rsid w:val="65C3091E"/>
    <w:rsid w:val="65F920D7"/>
    <w:rsid w:val="66772112"/>
    <w:rsid w:val="669E1352"/>
    <w:rsid w:val="672A049D"/>
    <w:rsid w:val="673F05EF"/>
    <w:rsid w:val="67BB7D81"/>
    <w:rsid w:val="67CF5CA1"/>
    <w:rsid w:val="67F751DE"/>
    <w:rsid w:val="68957A25"/>
    <w:rsid w:val="69D8418A"/>
    <w:rsid w:val="69FC4CE9"/>
    <w:rsid w:val="6A551CEF"/>
    <w:rsid w:val="6AB40FCB"/>
    <w:rsid w:val="6AD04D06"/>
    <w:rsid w:val="6B4D65FA"/>
    <w:rsid w:val="6BC57EBC"/>
    <w:rsid w:val="6BD56E7D"/>
    <w:rsid w:val="6BF97B5A"/>
    <w:rsid w:val="6C1219ED"/>
    <w:rsid w:val="6C532192"/>
    <w:rsid w:val="6C537A1B"/>
    <w:rsid w:val="6C710820"/>
    <w:rsid w:val="6CDF2E5C"/>
    <w:rsid w:val="6D260866"/>
    <w:rsid w:val="6E390BB2"/>
    <w:rsid w:val="6E9E11D1"/>
    <w:rsid w:val="6ED75B31"/>
    <w:rsid w:val="6F6A04F8"/>
    <w:rsid w:val="705E3D1E"/>
    <w:rsid w:val="707B788C"/>
    <w:rsid w:val="708A0B5F"/>
    <w:rsid w:val="70DC5906"/>
    <w:rsid w:val="71817BEB"/>
    <w:rsid w:val="71D95375"/>
    <w:rsid w:val="71EB29C8"/>
    <w:rsid w:val="720268C8"/>
    <w:rsid w:val="73251D5B"/>
    <w:rsid w:val="73B97913"/>
    <w:rsid w:val="73C631D2"/>
    <w:rsid w:val="73E96565"/>
    <w:rsid w:val="73FD64C7"/>
    <w:rsid w:val="74050E26"/>
    <w:rsid w:val="75BD505A"/>
    <w:rsid w:val="762735A1"/>
    <w:rsid w:val="765A301C"/>
    <w:rsid w:val="76C16549"/>
    <w:rsid w:val="76FC038A"/>
    <w:rsid w:val="772822AD"/>
    <w:rsid w:val="776D40BB"/>
    <w:rsid w:val="78147C95"/>
    <w:rsid w:val="783215BE"/>
    <w:rsid w:val="7878145E"/>
    <w:rsid w:val="78D46CFB"/>
    <w:rsid w:val="796B7309"/>
    <w:rsid w:val="79B061B5"/>
    <w:rsid w:val="79B57575"/>
    <w:rsid w:val="79BC4BFA"/>
    <w:rsid w:val="7A1671C7"/>
    <w:rsid w:val="7A1C5A09"/>
    <w:rsid w:val="7A27169D"/>
    <w:rsid w:val="7A884008"/>
    <w:rsid w:val="7AC6590E"/>
    <w:rsid w:val="7ACC0B61"/>
    <w:rsid w:val="7ACE07E4"/>
    <w:rsid w:val="7B095F1D"/>
    <w:rsid w:val="7B0E560E"/>
    <w:rsid w:val="7B221708"/>
    <w:rsid w:val="7B27670B"/>
    <w:rsid w:val="7B3C4307"/>
    <w:rsid w:val="7B3C57F6"/>
    <w:rsid w:val="7B9034A2"/>
    <w:rsid w:val="7C5B01CC"/>
    <w:rsid w:val="7CB92C30"/>
    <w:rsid w:val="7D5C18EF"/>
    <w:rsid w:val="7D7A624A"/>
    <w:rsid w:val="7DA75496"/>
    <w:rsid w:val="7DED4A7A"/>
    <w:rsid w:val="7E083706"/>
    <w:rsid w:val="7E1928E9"/>
    <w:rsid w:val="7E5D7397"/>
    <w:rsid w:val="7E8344FC"/>
    <w:rsid w:val="7EB8189E"/>
    <w:rsid w:val="7F554DA7"/>
    <w:rsid w:val="7FFB4E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ocument Map"/>
    <w:basedOn w:val="1"/>
    <w:semiHidden/>
    <w:qFormat/>
    <w:uiPriority w:val="0"/>
    <w:pPr>
      <w:shd w:val="clear" w:color="auto" w:fill="000080"/>
    </w:p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FollowedHyperlink"/>
    <w:basedOn w:val="8"/>
    <w:qFormat/>
    <w:uiPriority w:val="0"/>
    <w:rPr>
      <w:color w:val="000000"/>
      <w:u w:val="none"/>
    </w:rPr>
  </w:style>
  <w:style w:type="character" w:styleId="10">
    <w:name w:val="Hyperlink"/>
    <w:basedOn w:val="8"/>
    <w:qFormat/>
    <w:uiPriority w:val="0"/>
    <w:rPr>
      <w:color w:val="000000"/>
      <w:u w:val="none"/>
    </w:rPr>
  </w:style>
  <w:style w:type="paragraph" w:customStyle="1" w:styleId="11">
    <w:name w:val="Char Char Char"/>
    <w:basedOn w:val="2"/>
    <w:qFormat/>
    <w:uiPriority w:val="0"/>
    <w:rPr>
      <w:rFonts w:ascii="Tahoma" w:hAnsi="Tahoma"/>
      <w:sz w:val="24"/>
    </w:rPr>
  </w:style>
  <w:style w:type="paragraph" w:customStyle="1" w:styleId="12">
    <w:name w:val="Char"/>
    <w:basedOn w:val="1"/>
    <w:qFormat/>
    <w:uiPriority w:val="0"/>
    <w:pPr>
      <w:widowControl/>
      <w:spacing w:beforeLines="100" w:after="160" w:line="240" w:lineRule="exact"/>
      <w:jc w:val="left"/>
    </w:pPr>
    <w:rPr>
      <w:rFonts w:ascii="Verdana" w:hAnsi="Verdana"/>
      <w:kern w:val="0"/>
      <w:sz w:val="20"/>
      <w:szCs w:val="20"/>
      <w:lang w:eastAsia="en-US"/>
    </w:rPr>
  </w:style>
  <w:style w:type="paragraph" w:customStyle="1" w:styleId="13">
    <w:name w:val="列出段落1"/>
    <w:basedOn w:val="1"/>
    <w:qFormat/>
    <w:uiPriority w:val="34"/>
    <w:pPr>
      <w:spacing w:line="360" w:lineRule="auto"/>
      <w:ind w:firstLine="420" w:firstLineChars="200"/>
    </w:pPr>
    <w:rPr>
      <w:rFonts w:ascii="Calibri" w:hAnsi="Calibri"/>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tafda</Company>
  <Pages>11</Pages>
  <Words>656</Words>
  <Characters>3743</Characters>
  <Lines>31</Lines>
  <Paragraphs>8</Paragraphs>
  <TotalTime>11</TotalTime>
  <ScaleCrop>false</ScaleCrop>
  <LinksUpToDate>false</LinksUpToDate>
  <CharactersWithSpaces>4391</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2016-03-14T07:36:00Z</dcterms:created>
  <dc:creator>zhaozhongyang</dc:creator>
  <cp:lastModifiedBy>跌落人间</cp:lastModifiedBy>
  <cp:lastPrinted>2019-02-26T07:42:00Z</cp:lastPrinted>
  <dcterms:modified xsi:type="dcterms:W3CDTF">2021-12-17T00:54:35Z</dcterms:modified>
  <dc:title> </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