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49EEA6">
      <w:pPr>
        <w:keepNext w:val="0"/>
        <w:keepLines w:val="0"/>
        <w:pageBreakBefore w:val="0"/>
        <w:widowControl w:val="0"/>
        <w:suppressLineNumbers w:val="0"/>
        <w:kinsoku/>
        <w:wordWrap/>
        <w:overflowPunct/>
        <w:topLinePunct w:val="0"/>
        <w:autoSpaceDE/>
        <w:autoSpaceDN/>
        <w:bidi w:val="0"/>
        <w:adjustRightInd/>
        <w:snapToGrid/>
        <w:spacing w:line="570" w:lineRule="exact"/>
        <w:jc w:val="center"/>
        <w:textAlignment w:val="auto"/>
        <w:rPr>
          <w:rFonts w:hint="default" w:ascii="Times New Roman" w:hAnsi="Times New Roman" w:cs="Times New Roman"/>
          <w:sz w:val="44"/>
          <w:szCs w:val="44"/>
        </w:rPr>
      </w:pPr>
      <w:r>
        <w:rPr>
          <w:rFonts w:hint="default" w:ascii="Times New Roman" w:hAnsi="Times New Roman" w:eastAsia="方正小标宋简体" w:cs="Times New Roman"/>
          <w:color w:val="000000"/>
          <w:kern w:val="0"/>
          <w:sz w:val="44"/>
          <w:szCs w:val="44"/>
          <w:lang w:val="en-US" w:eastAsia="zh-CN" w:bidi="ar"/>
        </w:rPr>
        <w:t>乳山市人民政府</w:t>
      </w:r>
    </w:p>
    <w:p w14:paraId="36617C1C">
      <w:pPr>
        <w:keepNext w:val="0"/>
        <w:keepLines w:val="0"/>
        <w:pageBreakBefore w:val="0"/>
        <w:widowControl w:val="0"/>
        <w:suppressLineNumbers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kern w:val="0"/>
          <w:sz w:val="44"/>
          <w:szCs w:val="44"/>
          <w:lang w:val="en-US" w:eastAsia="zh-CN" w:bidi="ar"/>
        </w:rPr>
      </w:pPr>
      <w:r>
        <w:rPr>
          <w:rFonts w:hint="default" w:ascii="Times New Roman" w:hAnsi="Times New Roman" w:eastAsia="方正小标宋简体" w:cs="Times New Roman"/>
          <w:color w:val="000000"/>
          <w:kern w:val="0"/>
          <w:sz w:val="44"/>
          <w:szCs w:val="44"/>
          <w:lang w:val="en-US" w:eastAsia="zh-CN" w:bidi="ar"/>
        </w:rPr>
        <w:t>关于废止和宣布失效部分市政府政策性文件</w:t>
      </w:r>
    </w:p>
    <w:p w14:paraId="27316DCE">
      <w:pPr>
        <w:keepNext w:val="0"/>
        <w:keepLines w:val="0"/>
        <w:pageBreakBefore w:val="0"/>
        <w:widowControl w:val="0"/>
        <w:suppressLineNumbers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kern w:val="0"/>
          <w:sz w:val="44"/>
          <w:szCs w:val="44"/>
          <w:lang w:val="en-US" w:eastAsia="zh-CN" w:bidi="ar"/>
        </w:rPr>
      </w:pPr>
      <w:r>
        <w:rPr>
          <w:rFonts w:hint="default" w:ascii="Times New Roman" w:hAnsi="Times New Roman" w:eastAsia="方正小标宋简体" w:cs="Times New Roman"/>
          <w:color w:val="000000"/>
          <w:kern w:val="0"/>
          <w:sz w:val="44"/>
          <w:szCs w:val="44"/>
          <w:lang w:val="en-US" w:eastAsia="zh-CN" w:bidi="ar"/>
        </w:rPr>
        <w:t>的决定</w:t>
      </w:r>
    </w:p>
    <w:p w14:paraId="68C924A7">
      <w:pPr>
        <w:keepNext w:val="0"/>
        <w:keepLines w:val="0"/>
        <w:pageBreakBefore w:val="0"/>
        <w:widowControl w:val="0"/>
        <w:kinsoku/>
        <w:wordWrap/>
        <w:overflowPunct/>
        <w:topLinePunct w:val="0"/>
        <w:autoSpaceDE/>
        <w:autoSpaceDN/>
        <w:bidi w:val="0"/>
        <w:adjustRightInd/>
        <w:snapToGrid/>
        <w:spacing w:line="570" w:lineRule="exact"/>
        <w:ind w:left="0" w:leftChars="0"/>
        <w:jc w:val="center"/>
        <w:textAlignment w:val="auto"/>
        <w:rPr>
          <w:rFonts w:hint="default" w:ascii="Times New Roman" w:hAnsi="Times New Roman" w:eastAsia="仿宋_GB2312" w:cs="Times New Roman"/>
          <w:color w:val="000000"/>
          <w:kern w:val="2"/>
          <w:sz w:val="32"/>
          <w:szCs w:val="24"/>
          <w:lang w:val="en-US" w:eastAsia="zh-CN" w:bidi="ar"/>
        </w:rPr>
      </w:pPr>
      <w:bookmarkStart w:id="0" w:name="_GoBack"/>
      <w:r>
        <w:rPr>
          <w:rFonts w:hint="default" w:ascii="Times New Roman" w:hAnsi="Times New Roman" w:eastAsia="仿宋_GB2312" w:cs="Times New Roman"/>
          <w:color w:val="000000"/>
          <w:kern w:val="2"/>
          <w:sz w:val="32"/>
          <w:szCs w:val="24"/>
          <w:lang w:val="en-US" w:eastAsia="zh-CN" w:bidi="ar"/>
        </w:rPr>
        <w:t>乳政发〔2024〕3号</w:t>
      </w:r>
    </w:p>
    <w:bookmarkEnd w:id="0"/>
    <w:p w14:paraId="359567B0">
      <w:pPr>
        <w:keepNext w:val="0"/>
        <w:keepLines w:val="0"/>
        <w:pageBreakBefore w:val="0"/>
        <w:widowControl w:val="0"/>
        <w:kinsoku/>
        <w:wordWrap/>
        <w:overflowPunct/>
        <w:topLinePunct w:val="0"/>
        <w:autoSpaceDE/>
        <w:autoSpaceDN/>
        <w:bidi w:val="0"/>
        <w:adjustRightInd/>
        <w:snapToGrid/>
        <w:spacing w:line="570" w:lineRule="exact"/>
        <w:ind w:left="0" w:leftChars="0"/>
        <w:jc w:val="center"/>
        <w:textAlignment w:val="auto"/>
        <w:rPr>
          <w:rFonts w:hint="default" w:ascii="Times New Roman" w:hAnsi="Times New Roman" w:eastAsia="仿宋_GB2312" w:cs="Times New Roman"/>
          <w:color w:val="000000"/>
          <w:kern w:val="2"/>
          <w:sz w:val="32"/>
          <w:szCs w:val="24"/>
          <w:lang w:val="en-US" w:eastAsia="zh-CN" w:bidi="ar"/>
        </w:rPr>
      </w:pPr>
    </w:p>
    <w:p w14:paraId="7CCB0753">
      <w:pPr>
        <w:keepNext w:val="0"/>
        <w:keepLines w:val="0"/>
        <w:pageBreakBefore w:val="0"/>
        <w:widowControl w:val="0"/>
        <w:kinsoku/>
        <w:wordWrap/>
        <w:overflowPunct/>
        <w:topLinePunct w:val="0"/>
        <w:autoSpaceDE/>
        <w:autoSpaceDN/>
        <w:bidi w:val="0"/>
        <w:adjustRightInd/>
        <w:snapToGrid/>
        <w:spacing w:line="570" w:lineRule="exact"/>
        <w:ind w:left="0" w:leftChars="0"/>
        <w:jc w:val="left"/>
        <w:textAlignment w:val="auto"/>
        <w:rPr>
          <w:rFonts w:hint="default" w:ascii="Times New Roman" w:hAnsi="Times New Roman" w:eastAsia="方正小标宋简体" w:cs="Times New Roman"/>
          <w:color w:val="000000"/>
          <w:kern w:val="0"/>
          <w:sz w:val="32"/>
          <w:szCs w:val="32"/>
          <w:lang w:val="en-US" w:eastAsia="zh-CN" w:bidi="ar"/>
        </w:rPr>
      </w:pPr>
      <w:r>
        <w:rPr>
          <w:rFonts w:hint="default" w:ascii="Times New Roman" w:hAnsi="Times New Roman" w:eastAsia="仿宋_GB2312" w:cs="Times New Roman"/>
          <w:sz w:val="32"/>
          <w:szCs w:val="32"/>
        </w:rPr>
        <w:t>各镇人民政府，市政府各部门、单位，滨海新区（银滩旅游度假区）、经济开发区、城区街道办事处，各市属国有企业</w:t>
      </w:r>
      <w:r>
        <w:rPr>
          <w:rFonts w:hint="default" w:ascii="Times New Roman" w:hAnsi="Times New Roman" w:eastAsia="仿宋_GB2312" w:cs="Times New Roman"/>
          <w:sz w:val="32"/>
          <w:szCs w:val="32"/>
          <w:lang w:eastAsia="zh-CN"/>
        </w:rPr>
        <w:t>：</w:t>
      </w:r>
    </w:p>
    <w:p w14:paraId="13519FA5">
      <w:pPr>
        <w:pStyle w:val="4"/>
        <w:keepNext w:val="0"/>
        <w:keepLines w:val="0"/>
        <w:pageBreakBefore w:val="0"/>
        <w:widowControl w:val="0"/>
        <w:suppressLineNumbers w:val="0"/>
        <w:kinsoku/>
        <w:wordWrap/>
        <w:overflowPunct/>
        <w:topLinePunct w:val="0"/>
        <w:autoSpaceDE/>
        <w:autoSpaceDN/>
        <w:bidi w:val="0"/>
        <w:adjustRightInd/>
        <w:snapToGrid/>
        <w:spacing w:line="570" w:lineRule="exact"/>
        <w:ind w:left="0"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为认真贯彻习近平新时代中国特色社会主义思想，全面落实党的二十大精神，深入推进依法行政，加强法治政府建设，根据工作需要，市政府决定对部分市政府政策性文件进行清理，其中废止</w:t>
      </w:r>
      <w:r>
        <w:rPr>
          <w:rFonts w:hint="default" w:ascii="Times New Roman" w:hAnsi="Times New Roman" w:eastAsia="仿宋_GB2312" w:cs="Times New Roman"/>
          <w:color w:val="000000"/>
          <w:sz w:val="32"/>
          <w:szCs w:val="32"/>
          <w:lang w:val="en-US" w:eastAsia="zh-CN"/>
        </w:rPr>
        <w:t>3</w:t>
      </w:r>
      <w:r>
        <w:rPr>
          <w:rFonts w:hint="default" w:ascii="Times New Roman" w:hAnsi="Times New Roman" w:eastAsia="仿宋_GB2312" w:cs="Times New Roman"/>
          <w:color w:val="000000"/>
          <w:sz w:val="32"/>
          <w:szCs w:val="32"/>
        </w:rPr>
        <w:t>件、宣布失效</w:t>
      </w:r>
      <w:r>
        <w:rPr>
          <w:rFonts w:hint="eastAsia" w:ascii="Times New Roman" w:hAnsi="Times New Roman" w:eastAsia="仿宋_GB2312" w:cs="Times New Roman"/>
          <w:color w:val="000000"/>
          <w:sz w:val="32"/>
          <w:szCs w:val="32"/>
          <w:lang w:val="en-US" w:eastAsia="zh-CN"/>
        </w:rPr>
        <w:t>4</w:t>
      </w:r>
      <w:r>
        <w:rPr>
          <w:rFonts w:hint="default" w:ascii="Times New Roman" w:hAnsi="Times New Roman" w:eastAsia="仿宋_GB2312" w:cs="Times New Roman"/>
          <w:color w:val="000000"/>
          <w:sz w:val="32"/>
          <w:szCs w:val="32"/>
        </w:rPr>
        <w:t>件。凡废止、宣布失效的文件，自本决定发布之日起一律停止执行，不再作为行政管理依据。</w:t>
      </w:r>
    </w:p>
    <w:p w14:paraId="44AB8B4C">
      <w:pPr>
        <w:pStyle w:val="4"/>
        <w:keepNext w:val="0"/>
        <w:keepLines w:val="0"/>
        <w:pageBreakBefore w:val="0"/>
        <w:widowControl w:val="0"/>
        <w:suppressLineNumbers w:val="0"/>
        <w:kinsoku/>
        <w:wordWrap/>
        <w:overflowPunct/>
        <w:topLinePunct w:val="0"/>
        <w:autoSpaceDE/>
        <w:autoSpaceDN/>
        <w:bidi w:val="0"/>
        <w:adjustRightInd/>
        <w:snapToGrid/>
        <w:spacing w:line="570" w:lineRule="exact"/>
        <w:ind w:left="0"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各级各部门、单位要深刻认识做好文件清理工作的重要意义，坚持立改废释并举，持续优化政策制度供给，全力打造市场化、法治化、国际化营商环境，为不断开创</w:t>
      </w:r>
      <w:r>
        <w:rPr>
          <w:rFonts w:hint="default" w:ascii="Times New Roman" w:hAnsi="Times New Roman" w:eastAsia="仿宋_GB2312" w:cs="Times New Roman"/>
          <w:color w:val="000000"/>
          <w:sz w:val="32"/>
          <w:szCs w:val="32"/>
          <w:lang w:eastAsia="zh-CN"/>
        </w:rPr>
        <w:t>法治型政府</w:t>
      </w:r>
      <w:r>
        <w:rPr>
          <w:rFonts w:hint="default" w:ascii="Times New Roman" w:hAnsi="Times New Roman" w:eastAsia="仿宋_GB2312" w:cs="Times New Roman"/>
          <w:color w:val="000000"/>
          <w:sz w:val="32"/>
          <w:szCs w:val="32"/>
        </w:rPr>
        <w:t>新局面提供制度保障。</w:t>
      </w:r>
    </w:p>
    <w:p w14:paraId="3A6F1FB6">
      <w:pPr>
        <w:pStyle w:val="4"/>
        <w:keepNext w:val="0"/>
        <w:keepLines w:val="0"/>
        <w:pageBreakBefore w:val="0"/>
        <w:widowControl w:val="0"/>
        <w:suppressLineNumbers w:val="0"/>
        <w:kinsoku/>
        <w:wordWrap/>
        <w:overflowPunct/>
        <w:topLinePunct w:val="0"/>
        <w:autoSpaceDE/>
        <w:autoSpaceDN/>
        <w:bidi w:val="0"/>
        <w:adjustRightInd/>
        <w:snapToGrid/>
        <w:spacing w:line="570" w:lineRule="exact"/>
        <w:textAlignment w:val="auto"/>
        <w:rPr>
          <w:rFonts w:hint="default" w:ascii="Times New Roman" w:hAnsi="Times New Roman" w:eastAsia="仿宋_GB2312" w:cs="Times New Roman"/>
          <w:color w:val="000000"/>
          <w:sz w:val="32"/>
          <w:szCs w:val="32"/>
        </w:rPr>
      </w:pPr>
    </w:p>
    <w:p w14:paraId="12616280">
      <w:pPr>
        <w:pStyle w:val="4"/>
        <w:keepNext w:val="0"/>
        <w:keepLines w:val="0"/>
        <w:pageBreakBefore w:val="0"/>
        <w:widowControl w:val="0"/>
        <w:suppressLineNumbers w:val="0"/>
        <w:kinsoku/>
        <w:wordWrap/>
        <w:overflowPunct/>
        <w:topLinePunct w:val="0"/>
        <w:autoSpaceDE/>
        <w:autoSpaceDN/>
        <w:bidi w:val="0"/>
        <w:adjustRightInd/>
        <w:snapToGrid/>
        <w:spacing w:line="57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附件：</w:t>
      </w:r>
      <w:r>
        <w:rPr>
          <w:rFonts w:hint="default" w:ascii="Times New Roman" w:hAnsi="Times New Roman" w:cs="Times New Roman"/>
          <w:color w:val="000000"/>
          <w:sz w:val="32"/>
          <w:szCs w:val="32"/>
        </w:rPr>
        <w:t>1</w:t>
      </w:r>
      <w:r>
        <w:rPr>
          <w:rFonts w:hint="default" w:ascii="Times New Roman" w:hAnsi="Times New Roman" w:eastAsia="仿宋_GB2312" w:cs="Times New Roman"/>
          <w:color w:val="000000"/>
          <w:sz w:val="32"/>
          <w:szCs w:val="32"/>
        </w:rPr>
        <w:t>.决定废止的市政府政策性文件目录</w:t>
      </w:r>
    </w:p>
    <w:p w14:paraId="65471A9D">
      <w:pPr>
        <w:pStyle w:val="4"/>
        <w:keepNext w:val="0"/>
        <w:keepLines w:val="0"/>
        <w:pageBreakBefore w:val="0"/>
        <w:widowControl w:val="0"/>
        <w:suppressLineNumbers w:val="0"/>
        <w:kinsoku/>
        <w:wordWrap/>
        <w:overflowPunct/>
        <w:topLinePunct w:val="0"/>
        <w:autoSpaceDE/>
        <w:autoSpaceDN/>
        <w:bidi w:val="0"/>
        <w:adjustRightInd/>
        <w:snapToGrid/>
        <w:spacing w:line="570" w:lineRule="exact"/>
        <w:ind w:firstLine="1600" w:firstLineChars="500"/>
        <w:textAlignment w:val="auto"/>
        <w:rPr>
          <w:rFonts w:hint="default" w:ascii="Times New Roman" w:hAnsi="Times New Roman" w:cs="Times New Roman"/>
          <w:sz w:val="32"/>
          <w:szCs w:val="32"/>
        </w:rPr>
      </w:pPr>
      <w:r>
        <w:rPr>
          <w:rFonts w:hint="default" w:ascii="Times New Roman" w:hAnsi="Times New Roman" w:eastAsia="宋体" w:cs="Times New Roman"/>
          <w:sz w:val="32"/>
          <w:szCs w:val="32"/>
          <w:lang w:val="en-US" w:eastAsia="zh-CN"/>
        </w:rPr>
        <w:t>2</w:t>
      </w:r>
      <w:r>
        <w:rPr>
          <w:rFonts w:hint="default" w:ascii="Times New Roman" w:hAnsi="Times New Roman" w:eastAsia="宋体" w:cs="Times New Roman"/>
          <w:sz w:val="32"/>
          <w:szCs w:val="32"/>
        </w:rPr>
        <w:t>.</w:t>
      </w:r>
      <w:r>
        <w:rPr>
          <w:rFonts w:hint="default" w:ascii="Times New Roman" w:hAnsi="Times New Roman" w:eastAsia="仿宋_GB2312" w:cs="Times New Roman"/>
          <w:color w:val="000000"/>
          <w:sz w:val="32"/>
          <w:szCs w:val="32"/>
        </w:rPr>
        <w:t>宣布失效的市政府政策性文件目录</w:t>
      </w:r>
    </w:p>
    <w:p w14:paraId="3889F571">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000000"/>
          <w:kern w:val="0"/>
          <w:sz w:val="32"/>
          <w:szCs w:val="32"/>
          <w:lang w:val="en-US" w:eastAsia="zh-CN" w:bidi="ar"/>
        </w:rPr>
      </w:pPr>
    </w:p>
    <w:p w14:paraId="7D00BF51">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000000"/>
          <w:kern w:val="0"/>
          <w:sz w:val="32"/>
          <w:szCs w:val="32"/>
          <w:lang w:val="en-US" w:eastAsia="zh-CN" w:bidi="ar"/>
        </w:rPr>
      </w:pPr>
    </w:p>
    <w:p w14:paraId="786A1CF7">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乳山市人民政府</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w w:val="90"/>
          <w:sz w:val="32"/>
          <w:szCs w:val="32"/>
          <w:lang w:val="en-US" w:eastAsia="zh-CN"/>
        </w:rPr>
        <w:t xml:space="preserve">      </w:t>
      </w:r>
    </w:p>
    <w:p w14:paraId="5D11889F">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2024年5月7日        </w:t>
      </w:r>
    </w:p>
    <w:p w14:paraId="4442AD2D">
      <w:pPr>
        <w:keepNext w:val="0"/>
        <w:keepLines w:val="0"/>
        <w:widowControl/>
        <w:suppressLineNumbers w:val="0"/>
        <w:ind w:firstLine="640" w:firstLineChars="200"/>
        <w:jc w:val="both"/>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（此件公开发布）</w:t>
      </w:r>
    </w:p>
    <w:p w14:paraId="01AEBCE7">
      <w:pPr>
        <w:rPr>
          <w:rFonts w:hint="default" w:ascii="Times New Roman" w:hAnsi="Times New Roman" w:cs="Times New Roman"/>
        </w:rPr>
      </w:pPr>
    </w:p>
    <w:p w14:paraId="4EA2B298">
      <w:pPr>
        <w:rPr>
          <w:rFonts w:hint="default" w:ascii="Times New Roman" w:hAnsi="Times New Roman" w:cs="Times New Roman"/>
        </w:rPr>
      </w:pPr>
    </w:p>
    <w:p w14:paraId="7FDF57CC">
      <w:pPr>
        <w:rPr>
          <w:rFonts w:hint="default" w:ascii="Times New Roman" w:hAnsi="Times New Roman" w:cs="Times New Roman" w:eastAsiaTheme="minorEastAsia"/>
          <w:kern w:val="2"/>
          <w:sz w:val="21"/>
          <w:szCs w:val="24"/>
          <w:lang w:val="en-US" w:eastAsia="zh-CN" w:bidi="ar-SA"/>
        </w:rPr>
      </w:pPr>
      <w:r>
        <w:rPr>
          <w:rFonts w:hint="default" w:ascii="Times New Roman" w:hAnsi="Times New Roman" w:cs="Times New Roman"/>
        </w:rPr>
        <w:br w:type="page"/>
      </w:r>
    </w:p>
    <w:p w14:paraId="28D18B67">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eastAsia="zh-CN"/>
        </w:rPr>
        <w:t>附件</w:t>
      </w:r>
      <w:r>
        <w:rPr>
          <w:rFonts w:hint="default" w:ascii="Times New Roman" w:hAnsi="Times New Roman" w:eastAsia="黑体" w:cs="Times New Roman"/>
          <w:sz w:val="32"/>
          <w:szCs w:val="32"/>
          <w:lang w:val="en-US" w:eastAsia="zh-CN"/>
        </w:rPr>
        <w:t>1</w:t>
      </w:r>
    </w:p>
    <w:p w14:paraId="3477C760">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p>
    <w:p w14:paraId="7E4AEB4C">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kern w:val="0"/>
          <w:sz w:val="44"/>
          <w:szCs w:val="44"/>
          <w:lang w:val="en-US" w:eastAsia="zh-CN" w:bidi="ar"/>
        </w:rPr>
      </w:pPr>
      <w:r>
        <w:rPr>
          <w:rFonts w:hint="default" w:ascii="Times New Roman" w:hAnsi="Times New Roman" w:eastAsia="方正小标宋简体" w:cs="Times New Roman"/>
          <w:color w:val="000000"/>
          <w:kern w:val="0"/>
          <w:sz w:val="44"/>
          <w:szCs w:val="44"/>
          <w:lang w:val="en-US" w:eastAsia="zh-CN" w:bidi="ar"/>
        </w:rPr>
        <w:t>决定废止的市政府政策性文件目录</w:t>
      </w:r>
    </w:p>
    <w:p w14:paraId="2435F22C">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kern w:val="0"/>
          <w:sz w:val="44"/>
          <w:szCs w:val="44"/>
          <w:lang w:val="en-US" w:eastAsia="zh-CN" w:bidi="ar"/>
        </w:rPr>
      </w:pPr>
    </w:p>
    <w:tbl>
      <w:tblPr>
        <w:tblStyle w:val="6"/>
        <w:tblW w:w="921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9"/>
        <w:gridCol w:w="2689"/>
        <w:gridCol w:w="5622"/>
      </w:tblGrid>
      <w:tr w14:paraId="25B0D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blHeader/>
          <w:jc w:val="center"/>
        </w:trPr>
        <w:tc>
          <w:tcPr>
            <w:tcW w:w="899" w:type="dxa"/>
            <w:vAlign w:val="center"/>
          </w:tcPr>
          <w:p w14:paraId="2947253E">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黑体" w:cs="Times New Roman"/>
                <w:sz w:val="24"/>
                <w:szCs w:val="24"/>
                <w:highlight w:val="none"/>
              </w:rPr>
            </w:pPr>
            <w:r>
              <w:rPr>
                <w:rFonts w:hint="default" w:ascii="Times New Roman" w:hAnsi="Times New Roman" w:eastAsia="黑体" w:cs="Times New Roman"/>
                <w:sz w:val="24"/>
                <w:szCs w:val="24"/>
                <w:highlight w:val="none"/>
              </w:rPr>
              <w:t>序号</w:t>
            </w:r>
          </w:p>
        </w:tc>
        <w:tc>
          <w:tcPr>
            <w:tcW w:w="2689" w:type="dxa"/>
            <w:vAlign w:val="center"/>
          </w:tcPr>
          <w:p w14:paraId="5E7FA7AE">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黑体" w:cs="Times New Roman"/>
                <w:sz w:val="24"/>
                <w:szCs w:val="24"/>
                <w:highlight w:val="none"/>
              </w:rPr>
            </w:pPr>
            <w:r>
              <w:rPr>
                <w:rFonts w:hint="default" w:ascii="Times New Roman" w:hAnsi="Times New Roman" w:eastAsia="黑体" w:cs="Times New Roman"/>
                <w:sz w:val="24"/>
                <w:szCs w:val="24"/>
                <w:highlight w:val="none"/>
              </w:rPr>
              <w:t>文号</w:t>
            </w:r>
          </w:p>
        </w:tc>
        <w:tc>
          <w:tcPr>
            <w:tcW w:w="5622" w:type="dxa"/>
            <w:vAlign w:val="center"/>
          </w:tcPr>
          <w:p w14:paraId="270E80A7">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黑体" w:cs="Times New Roman"/>
                <w:sz w:val="24"/>
                <w:szCs w:val="24"/>
                <w:highlight w:val="none"/>
              </w:rPr>
            </w:pPr>
            <w:r>
              <w:rPr>
                <w:rFonts w:hint="default" w:ascii="Times New Roman" w:hAnsi="Times New Roman" w:eastAsia="黑体" w:cs="Times New Roman"/>
                <w:sz w:val="24"/>
                <w:szCs w:val="24"/>
                <w:highlight w:val="none"/>
              </w:rPr>
              <w:t>文件名称</w:t>
            </w:r>
          </w:p>
        </w:tc>
      </w:tr>
      <w:tr w14:paraId="09BBB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899" w:type="dxa"/>
            <w:vAlign w:val="center"/>
          </w:tcPr>
          <w:p w14:paraId="3B760F4E">
            <w:pPr>
              <w:keepNext w:val="0"/>
              <w:keepLines w:val="0"/>
              <w:pageBreakBefore w:val="0"/>
              <w:widowControl w:val="0"/>
              <w:kinsoku/>
              <w:wordWrap/>
              <w:overflowPunct/>
              <w:topLinePunct w:val="0"/>
              <w:autoSpaceDE w:val="0"/>
              <w:autoSpaceDN w:val="0"/>
              <w:bidi w:val="0"/>
              <w:adjustRightInd/>
              <w:snapToGrid/>
              <w:jc w:val="center"/>
              <w:textAlignment w:val="center"/>
              <w:rPr>
                <w:rFonts w:hint="default" w:ascii="Times New Roman" w:hAnsi="Times New Roman" w:eastAsia="仿宋_GB2312" w:cs="Times New Roman"/>
                <w:i w:val="0"/>
                <w:color w:val="000000"/>
                <w:kern w:val="0"/>
                <w:sz w:val="24"/>
                <w:szCs w:val="24"/>
                <w:highlight w:val="none"/>
                <w:u w:val="none"/>
                <w:lang w:val="en-US" w:eastAsia="zh-CN"/>
              </w:rPr>
            </w:pPr>
            <w:r>
              <w:rPr>
                <w:rFonts w:hint="default" w:ascii="Times New Roman" w:hAnsi="Times New Roman" w:eastAsia="仿宋_GB2312" w:cs="Times New Roman"/>
                <w:i w:val="0"/>
                <w:color w:val="000000"/>
                <w:kern w:val="0"/>
                <w:sz w:val="24"/>
                <w:szCs w:val="24"/>
                <w:highlight w:val="none"/>
                <w:u w:val="none"/>
                <w:lang w:val="en-US" w:eastAsia="zh-CN"/>
              </w:rPr>
              <w:t>1</w:t>
            </w:r>
          </w:p>
        </w:tc>
        <w:tc>
          <w:tcPr>
            <w:tcW w:w="2689" w:type="dxa"/>
            <w:vAlign w:val="center"/>
          </w:tcPr>
          <w:p w14:paraId="7D4C3FFF">
            <w:pPr>
              <w:keepNext w:val="0"/>
              <w:keepLines w:val="0"/>
              <w:pageBreakBefore w:val="0"/>
              <w:widowControl w:val="0"/>
              <w:kinsoku/>
              <w:wordWrap/>
              <w:overflowPunct/>
              <w:topLinePunct w:val="0"/>
              <w:bidi w:val="0"/>
              <w:adjustRightInd/>
              <w:snapToGrid/>
              <w:jc w:val="both"/>
              <w:textAlignment w:val="center"/>
              <w:rPr>
                <w:rFonts w:hint="default" w:ascii="Times New Roman" w:hAnsi="Times New Roman" w:eastAsia="仿宋_GB2312" w:cs="Times New Roman"/>
                <w:i w:val="0"/>
                <w:color w:val="000000"/>
                <w:kern w:val="2"/>
                <w:sz w:val="24"/>
                <w:szCs w:val="24"/>
                <w:highlight w:val="none"/>
                <w:u w:val="none"/>
                <w:lang w:val="en-US" w:eastAsia="zh-CN" w:bidi="ar-SA"/>
              </w:rPr>
            </w:pPr>
            <w:r>
              <w:rPr>
                <w:rFonts w:hint="default" w:ascii="Times New Roman" w:hAnsi="Times New Roman" w:eastAsia="仿宋_GB2312" w:cs="Times New Roman"/>
                <w:i w:val="0"/>
                <w:color w:val="000000"/>
                <w:sz w:val="24"/>
                <w:szCs w:val="24"/>
                <w:highlight w:val="none"/>
                <w:u w:val="none"/>
                <w:lang w:val="en-US" w:eastAsia="zh-CN"/>
              </w:rPr>
              <w:t>乳政办发〔2012〕81号</w:t>
            </w:r>
          </w:p>
        </w:tc>
        <w:tc>
          <w:tcPr>
            <w:tcW w:w="5622" w:type="dxa"/>
            <w:vAlign w:val="center"/>
          </w:tcPr>
          <w:p w14:paraId="5237AE31">
            <w:pPr>
              <w:keepNext w:val="0"/>
              <w:keepLines w:val="0"/>
              <w:pageBreakBefore w:val="0"/>
              <w:widowControl w:val="0"/>
              <w:kinsoku/>
              <w:wordWrap/>
              <w:overflowPunct/>
              <w:topLinePunct w:val="0"/>
              <w:bidi w:val="0"/>
              <w:adjustRightInd/>
              <w:snapToGrid/>
              <w:jc w:val="both"/>
              <w:textAlignment w:val="center"/>
              <w:rPr>
                <w:rFonts w:hint="default" w:ascii="Times New Roman" w:hAnsi="Times New Roman" w:eastAsia="仿宋_GB2312" w:cs="Times New Roman"/>
                <w:kern w:val="0"/>
                <w:sz w:val="24"/>
                <w:szCs w:val="24"/>
                <w:highlight w:val="none"/>
                <w:lang w:val="en-US" w:eastAsia="zh-CN" w:bidi="ar"/>
              </w:rPr>
            </w:pPr>
            <w:r>
              <w:rPr>
                <w:rFonts w:hint="default" w:ascii="Times New Roman" w:hAnsi="Times New Roman" w:eastAsia="仿宋_GB2312" w:cs="Times New Roman"/>
                <w:i w:val="0"/>
                <w:color w:val="000000"/>
                <w:sz w:val="24"/>
                <w:szCs w:val="24"/>
                <w:highlight w:val="none"/>
                <w:u w:val="none"/>
                <w:lang w:val="en-US" w:eastAsia="zh-CN"/>
              </w:rPr>
              <w:t>乳山市人民政府办公室关于在全市实行基本殡葬服务福利化的通知</w:t>
            </w:r>
          </w:p>
        </w:tc>
      </w:tr>
      <w:tr w14:paraId="37085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899" w:type="dxa"/>
            <w:vAlign w:val="center"/>
          </w:tcPr>
          <w:p w14:paraId="316E6DDE">
            <w:pPr>
              <w:keepNext w:val="0"/>
              <w:keepLines w:val="0"/>
              <w:pageBreakBefore w:val="0"/>
              <w:widowControl w:val="0"/>
              <w:kinsoku/>
              <w:wordWrap/>
              <w:overflowPunct/>
              <w:topLinePunct w:val="0"/>
              <w:autoSpaceDE w:val="0"/>
              <w:autoSpaceDN w:val="0"/>
              <w:bidi w:val="0"/>
              <w:adjustRightInd/>
              <w:snapToGrid/>
              <w:jc w:val="center"/>
              <w:textAlignment w:val="center"/>
              <w:rPr>
                <w:rFonts w:hint="default" w:ascii="Times New Roman" w:hAnsi="Times New Roman" w:eastAsia="仿宋_GB2312" w:cs="Times New Roman"/>
                <w:i w:val="0"/>
                <w:color w:val="000000"/>
                <w:kern w:val="0"/>
                <w:sz w:val="24"/>
                <w:szCs w:val="24"/>
                <w:highlight w:val="none"/>
                <w:u w:val="none"/>
                <w:lang w:val="en-US" w:eastAsia="zh-CN" w:bidi="ar-SA"/>
              </w:rPr>
            </w:pPr>
            <w:r>
              <w:rPr>
                <w:rFonts w:hint="default" w:ascii="Times New Roman" w:hAnsi="Times New Roman" w:eastAsia="仿宋_GB2312" w:cs="Times New Roman"/>
                <w:i w:val="0"/>
                <w:color w:val="000000"/>
                <w:kern w:val="0"/>
                <w:sz w:val="24"/>
                <w:szCs w:val="24"/>
                <w:highlight w:val="none"/>
                <w:u w:val="none"/>
                <w:lang w:val="en-US" w:eastAsia="zh-CN"/>
              </w:rPr>
              <w:t>2</w:t>
            </w:r>
          </w:p>
        </w:tc>
        <w:tc>
          <w:tcPr>
            <w:tcW w:w="2689" w:type="dxa"/>
            <w:vAlign w:val="center"/>
          </w:tcPr>
          <w:p w14:paraId="23A1CD87">
            <w:pPr>
              <w:keepNext w:val="0"/>
              <w:keepLines w:val="0"/>
              <w:pageBreakBefore w:val="0"/>
              <w:widowControl w:val="0"/>
              <w:kinsoku/>
              <w:wordWrap/>
              <w:overflowPunct/>
              <w:topLinePunct w:val="0"/>
              <w:bidi w:val="0"/>
              <w:adjustRightInd/>
              <w:snapToGrid/>
              <w:jc w:val="both"/>
              <w:textAlignment w:val="center"/>
              <w:rPr>
                <w:rFonts w:hint="default" w:ascii="Times New Roman" w:hAnsi="Times New Roman" w:eastAsia="仿宋_GB2312" w:cs="Times New Roman"/>
                <w:kern w:val="2"/>
                <w:sz w:val="24"/>
                <w:szCs w:val="24"/>
                <w:highlight w:val="none"/>
                <w:lang w:val="en-US" w:eastAsia="zh-CN" w:bidi="ar-SA"/>
              </w:rPr>
            </w:pPr>
            <w:r>
              <w:rPr>
                <w:rFonts w:hint="default" w:ascii="Times New Roman" w:hAnsi="Times New Roman" w:eastAsia="仿宋_GB2312" w:cs="Times New Roman"/>
                <w:sz w:val="24"/>
                <w:szCs w:val="24"/>
                <w:highlight w:val="none"/>
                <w:lang w:val="en-US" w:eastAsia="zh-CN"/>
              </w:rPr>
              <w:t>乳政办发〔2014〕61号</w:t>
            </w:r>
          </w:p>
        </w:tc>
        <w:tc>
          <w:tcPr>
            <w:tcW w:w="5622" w:type="dxa"/>
            <w:vAlign w:val="center"/>
          </w:tcPr>
          <w:p w14:paraId="63ADC45D">
            <w:pPr>
              <w:keepNext w:val="0"/>
              <w:keepLines w:val="0"/>
              <w:pageBreakBefore w:val="0"/>
              <w:widowControl w:val="0"/>
              <w:kinsoku/>
              <w:wordWrap/>
              <w:overflowPunct/>
              <w:topLinePunct w:val="0"/>
              <w:bidi w:val="0"/>
              <w:adjustRightInd/>
              <w:snapToGrid/>
              <w:jc w:val="both"/>
              <w:textAlignment w:val="center"/>
              <w:rPr>
                <w:rFonts w:hint="default" w:ascii="Times New Roman" w:hAnsi="Times New Roman" w:eastAsia="仿宋_GB2312" w:cs="Times New Roman"/>
                <w:kern w:val="0"/>
                <w:sz w:val="24"/>
                <w:szCs w:val="24"/>
                <w:highlight w:val="none"/>
                <w:lang w:val="en-US" w:eastAsia="zh-CN" w:bidi="ar"/>
              </w:rPr>
            </w:pPr>
            <w:r>
              <w:rPr>
                <w:rFonts w:hint="default" w:ascii="Times New Roman" w:hAnsi="Times New Roman" w:eastAsia="仿宋_GB2312" w:cs="Times New Roman"/>
                <w:i w:val="0"/>
                <w:color w:val="000000"/>
                <w:sz w:val="24"/>
                <w:szCs w:val="24"/>
                <w:highlight w:val="none"/>
                <w:u w:val="none"/>
                <w:lang w:val="en-US" w:eastAsia="zh-CN"/>
              </w:rPr>
              <w:t>乳山市人民政府办公室</w:t>
            </w:r>
            <w:r>
              <w:rPr>
                <w:rFonts w:hint="default" w:ascii="Times New Roman" w:hAnsi="Times New Roman" w:eastAsia="仿宋_GB2312" w:cs="Times New Roman"/>
                <w:sz w:val="24"/>
                <w:szCs w:val="24"/>
                <w:highlight w:val="none"/>
                <w:lang w:val="en-US" w:eastAsia="zh-CN"/>
              </w:rPr>
              <w:t>关于印发乳山市计划生育特殊家庭扶助工作实施方案的通知</w:t>
            </w:r>
          </w:p>
        </w:tc>
      </w:tr>
      <w:tr w14:paraId="3E28B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899" w:type="dxa"/>
            <w:vAlign w:val="center"/>
          </w:tcPr>
          <w:p w14:paraId="69E42BEB">
            <w:pPr>
              <w:keepNext w:val="0"/>
              <w:keepLines w:val="0"/>
              <w:pageBreakBefore w:val="0"/>
              <w:widowControl w:val="0"/>
              <w:kinsoku/>
              <w:wordWrap/>
              <w:overflowPunct/>
              <w:topLinePunct w:val="0"/>
              <w:autoSpaceDE w:val="0"/>
              <w:autoSpaceDN w:val="0"/>
              <w:bidi w:val="0"/>
              <w:adjustRightInd/>
              <w:snapToGrid/>
              <w:jc w:val="center"/>
              <w:textAlignment w:val="center"/>
              <w:rPr>
                <w:rFonts w:hint="default" w:ascii="Times New Roman" w:hAnsi="Times New Roman" w:eastAsia="仿宋_GB2312" w:cs="Times New Roman"/>
                <w:i w:val="0"/>
                <w:color w:val="000000"/>
                <w:kern w:val="0"/>
                <w:sz w:val="24"/>
                <w:szCs w:val="24"/>
                <w:highlight w:val="none"/>
                <w:u w:val="none"/>
                <w:lang w:val="en-US" w:eastAsia="zh-CN" w:bidi="ar-SA"/>
              </w:rPr>
            </w:pPr>
            <w:r>
              <w:rPr>
                <w:rFonts w:hint="default" w:ascii="Times New Roman" w:hAnsi="Times New Roman" w:eastAsia="仿宋_GB2312" w:cs="Times New Roman"/>
                <w:i w:val="0"/>
                <w:color w:val="000000"/>
                <w:kern w:val="0"/>
                <w:sz w:val="24"/>
                <w:szCs w:val="24"/>
                <w:highlight w:val="none"/>
                <w:u w:val="none"/>
                <w:lang w:val="en-US" w:eastAsia="zh-CN"/>
              </w:rPr>
              <w:t>3</w:t>
            </w:r>
          </w:p>
        </w:tc>
        <w:tc>
          <w:tcPr>
            <w:tcW w:w="2689" w:type="dxa"/>
            <w:vAlign w:val="center"/>
          </w:tcPr>
          <w:p w14:paraId="2B03B65C">
            <w:pPr>
              <w:keepNext w:val="0"/>
              <w:keepLines w:val="0"/>
              <w:pageBreakBefore w:val="0"/>
              <w:widowControl w:val="0"/>
              <w:kinsoku/>
              <w:wordWrap/>
              <w:overflowPunct/>
              <w:topLinePunct w:val="0"/>
              <w:autoSpaceDE/>
              <w:autoSpaceDN/>
              <w:bidi w:val="0"/>
              <w:adjustRightInd/>
              <w:snapToGrid/>
              <w:spacing w:line="560" w:lineRule="exact"/>
              <w:jc w:val="both"/>
              <w:textAlignment w:val="center"/>
              <w:rPr>
                <w:rFonts w:hint="default" w:ascii="Times New Roman" w:hAnsi="Times New Roman" w:eastAsia="仿宋_GB2312" w:cs="Times New Roman"/>
                <w:i w:val="0"/>
                <w:color w:val="000000"/>
                <w:kern w:val="2"/>
                <w:sz w:val="24"/>
                <w:szCs w:val="24"/>
                <w:highlight w:val="none"/>
                <w:u w:val="none"/>
                <w:lang w:val="en-US" w:eastAsia="zh-CN" w:bidi="ar-SA"/>
              </w:rPr>
            </w:pPr>
            <w:r>
              <w:rPr>
                <w:rFonts w:hint="default" w:ascii="Times New Roman" w:hAnsi="Times New Roman" w:eastAsia="仿宋_GB2312" w:cs="Times New Roman"/>
                <w:i w:val="0"/>
                <w:color w:val="000000"/>
                <w:sz w:val="24"/>
                <w:szCs w:val="24"/>
                <w:highlight w:val="none"/>
                <w:u w:val="none"/>
                <w:lang w:val="en-US" w:eastAsia="zh-CN"/>
              </w:rPr>
              <w:t>乳政办发〔2016〕35号</w:t>
            </w:r>
          </w:p>
        </w:tc>
        <w:tc>
          <w:tcPr>
            <w:tcW w:w="5622" w:type="dxa"/>
            <w:vAlign w:val="center"/>
          </w:tcPr>
          <w:p w14:paraId="2EFF94CC">
            <w:pPr>
              <w:keepNext w:val="0"/>
              <w:keepLines w:val="0"/>
              <w:pageBreakBefore w:val="0"/>
              <w:widowControl w:val="0"/>
              <w:kinsoku/>
              <w:wordWrap/>
              <w:overflowPunct/>
              <w:topLinePunct w:val="0"/>
              <w:autoSpaceDE/>
              <w:autoSpaceDN/>
              <w:bidi w:val="0"/>
              <w:adjustRightInd/>
              <w:snapToGrid/>
              <w:spacing w:line="240" w:lineRule="auto"/>
              <w:jc w:val="both"/>
              <w:textAlignment w:val="center"/>
              <w:rPr>
                <w:rFonts w:hint="default" w:ascii="Times New Roman" w:hAnsi="Times New Roman" w:eastAsia="仿宋_GB2312" w:cs="Times New Roman"/>
                <w:kern w:val="0"/>
                <w:sz w:val="24"/>
                <w:szCs w:val="24"/>
                <w:highlight w:val="none"/>
                <w:lang w:val="en-US" w:eastAsia="zh-CN" w:bidi="ar"/>
              </w:rPr>
            </w:pPr>
            <w:r>
              <w:rPr>
                <w:rFonts w:hint="default" w:ascii="Times New Roman" w:hAnsi="Times New Roman" w:eastAsia="仿宋_GB2312" w:cs="Times New Roman"/>
                <w:sz w:val="24"/>
                <w:szCs w:val="24"/>
                <w:highlight w:val="none"/>
                <w:lang w:val="en-US" w:eastAsia="zh-CN"/>
              </w:rPr>
              <w:t>乳山市人民政府办公室关于印发乳山市应急用水价格制度的通知</w:t>
            </w:r>
          </w:p>
        </w:tc>
      </w:tr>
    </w:tbl>
    <w:p w14:paraId="47EF8D84">
      <w:pPr>
        <w:jc w:val="center"/>
        <w:rPr>
          <w:rFonts w:hint="default" w:ascii="Times New Roman" w:hAnsi="Times New Roman" w:eastAsia="黑体" w:cs="Times New Roman"/>
          <w:color w:val="000000"/>
          <w:kern w:val="0"/>
          <w:sz w:val="44"/>
          <w:szCs w:val="44"/>
          <w:lang w:val="en-US" w:eastAsia="zh-CN" w:bidi="ar"/>
        </w:rPr>
      </w:pPr>
    </w:p>
    <w:p w14:paraId="545E8D43">
      <w:pPr>
        <w:jc w:val="center"/>
        <w:rPr>
          <w:rFonts w:hint="default" w:ascii="Times New Roman" w:hAnsi="Times New Roman" w:eastAsia="黑体" w:cs="Times New Roman"/>
          <w:color w:val="000000"/>
          <w:kern w:val="0"/>
          <w:sz w:val="44"/>
          <w:szCs w:val="44"/>
          <w:lang w:val="en-US" w:eastAsia="zh-CN" w:bidi="ar"/>
        </w:rPr>
      </w:pPr>
    </w:p>
    <w:p w14:paraId="09AB5292">
      <w:pPr>
        <w:jc w:val="center"/>
        <w:rPr>
          <w:rFonts w:hint="default" w:ascii="Times New Roman" w:hAnsi="Times New Roman" w:eastAsia="黑体" w:cs="Times New Roman"/>
          <w:color w:val="000000"/>
          <w:kern w:val="0"/>
          <w:sz w:val="44"/>
          <w:szCs w:val="44"/>
          <w:lang w:val="en-US" w:eastAsia="zh-CN" w:bidi="ar"/>
        </w:rPr>
      </w:pPr>
    </w:p>
    <w:p w14:paraId="53FFE710">
      <w:pPr>
        <w:rPr>
          <w:rFonts w:hint="default" w:ascii="Times New Roman" w:hAnsi="Times New Roman" w:eastAsia="黑体" w:cs="Times New Roman"/>
          <w:color w:val="000000"/>
          <w:kern w:val="0"/>
          <w:sz w:val="44"/>
          <w:szCs w:val="44"/>
          <w:lang w:val="en-US" w:eastAsia="zh-CN" w:bidi="ar"/>
        </w:rPr>
      </w:pPr>
      <w:r>
        <w:rPr>
          <w:rFonts w:hint="default" w:ascii="Times New Roman" w:hAnsi="Times New Roman" w:eastAsia="黑体" w:cs="Times New Roman"/>
          <w:color w:val="000000"/>
          <w:kern w:val="0"/>
          <w:sz w:val="44"/>
          <w:szCs w:val="44"/>
          <w:lang w:val="en-US" w:eastAsia="zh-CN" w:bidi="ar"/>
        </w:rPr>
        <w:br w:type="page"/>
      </w:r>
    </w:p>
    <w:p w14:paraId="50C65C55">
      <w:pPr>
        <w:keepNext w:val="0"/>
        <w:keepLines w:val="0"/>
        <w:pageBreakBefore w:val="0"/>
        <w:widowControl w:val="0"/>
        <w:kinsoku/>
        <w:wordWrap/>
        <w:overflowPunct/>
        <w:topLinePunct w:val="0"/>
        <w:autoSpaceDE/>
        <w:autoSpaceDN/>
        <w:bidi w:val="0"/>
        <w:adjustRightInd/>
        <w:snapToGrid/>
        <w:spacing w:line="570" w:lineRule="exact"/>
        <w:jc w:val="both"/>
        <w:textAlignment w:val="auto"/>
        <w:rPr>
          <w:rFonts w:hint="default" w:ascii="Times New Roman" w:hAnsi="Times New Roman" w:eastAsia="黑体" w:cs="Times New Roman"/>
          <w:color w:val="000000"/>
          <w:kern w:val="0"/>
          <w:sz w:val="32"/>
          <w:szCs w:val="32"/>
          <w:lang w:val="en-US" w:eastAsia="zh-CN" w:bidi="ar"/>
        </w:rPr>
      </w:pPr>
      <w:r>
        <w:rPr>
          <w:rFonts w:hint="default" w:ascii="Times New Roman" w:hAnsi="Times New Roman" w:eastAsia="黑体" w:cs="Times New Roman"/>
          <w:color w:val="000000"/>
          <w:kern w:val="0"/>
          <w:sz w:val="32"/>
          <w:szCs w:val="32"/>
          <w:lang w:val="en-US" w:eastAsia="zh-CN" w:bidi="ar"/>
        </w:rPr>
        <w:t>附件2</w:t>
      </w:r>
    </w:p>
    <w:p w14:paraId="0E62E94A">
      <w:pPr>
        <w:keepNext w:val="0"/>
        <w:keepLines w:val="0"/>
        <w:pageBreakBefore w:val="0"/>
        <w:widowControl w:val="0"/>
        <w:kinsoku/>
        <w:wordWrap/>
        <w:overflowPunct/>
        <w:topLinePunct w:val="0"/>
        <w:autoSpaceDE/>
        <w:autoSpaceDN/>
        <w:bidi w:val="0"/>
        <w:adjustRightInd/>
        <w:snapToGrid/>
        <w:spacing w:line="570" w:lineRule="exact"/>
        <w:jc w:val="both"/>
        <w:textAlignment w:val="auto"/>
        <w:rPr>
          <w:rFonts w:hint="default" w:ascii="Times New Roman" w:hAnsi="Times New Roman" w:eastAsia="黑体" w:cs="Times New Roman"/>
          <w:color w:val="000000"/>
          <w:kern w:val="0"/>
          <w:sz w:val="32"/>
          <w:szCs w:val="32"/>
          <w:lang w:val="en-US" w:eastAsia="zh-CN" w:bidi="ar"/>
        </w:rPr>
      </w:pPr>
    </w:p>
    <w:p w14:paraId="2FA74B6F">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kern w:val="0"/>
          <w:sz w:val="44"/>
          <w:szCs w:val="44"/>
          <w:lang w:val="en-US" w:eastAsia="zh-CN" w:bidi="ar"/>
        </w:rPr>
      </w:pPr>
      <w:r>
        <w:rPr>
          <w:rFonts w:hint="default" w:ascii="Times New Roman" w:hAnsi="Times New Roman" w:eastAsia="方正小标宋简体" w:cs="Times New Roman"/>
          <w:color w:val="000000"/>
          <w:kern w:val="0"/>
          <w:sz w:val="44"/>
          <w:szCs w:val="44"/>
          <w:lang w:val="en-US" w:eastAsia="zh-CN" w:bidi="ar"/>
        </w:rPr>
        <w:t>宣布失效的市政府政策性文件目录</w:t>
      </w:r>
    </w:p>
    <w:p w14:paraId="31B12B55">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kern w:val="0"/>
          <w:sz w:val="44"/>
          <w:szCs w:val="44"/>
          <w:lang w:val="en-US" w:eastAsia="zh-CN" w:bidi="ar"/>
        </w:rPr>
      </w:pPr>
    </w:p>
    <w:tbl>
      <w:tblPr>
        <w:tblStyle w:val="6"/>
        <w:tblW w:w="92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5"/>
        <w:gridCol w:w="2705"/>
        <w:gridCol w:w="5648"/>
      </w:tblGrid>
      <w:tr w14:paraId="19C16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blHeader/>
          <w:jc w:val="center"/>
        </w:trPr>
        <w:tc>
          <w:tcPr>
            <w:tcW w:w="905" w:type="dxa"/>
            <w:vAlign w:val="center"/>
          </w:tcPr>
          <w:p w14:paraId="2511F204">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序号</w:t>
            </w:r>
          </w:p>
        </w:tc>
        <w:tc>
          <w:tcPr>
            <w:tcW w:w="2705" w:type="dxa"/>
            <w:vAlign w:val="center"/>
          </w:tcPr>
          <w:p w14:paraId="2FB406F9">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文号</w:t>
            </w:r>
          </w:p>
        </w:tc>
        <w:tc>
          <w:tcPr>
            <w:tcW w:w="5648" w:type="dxa"/>
            <w:vAlign w:val="center"/>
          </w:tcPr>
          <w:p w14:paraId="0EFA2C31">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文件名称</w:t>
            </w:r>
          </w:p>
        </w:tc>
      </w:tr>
      <w:tr w14:paraId="05194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905" w:type="dxa"/>
            <w:vAlign w:val="center"/>
          </w:tcPr>
          <w:p w14:paraId="0E1FE3D2">
            <w:pPr>
              <w:autoSpaceDE w:val="0"/>
              <w:autoSpaceDN w:val="0"/>
              <w:jc w:val="center"/>
              <w:rPr>
                <w:rFonts w:hint="default" w:ascii="Times New Roman" w:hAnsi="Times New Roman" w:eastAsia="仿宋_GB2312" w:cs="Times New Roman"/>
                <w:i w:val="0"/>
                <w:color w:val="000000"/>
                <w:kern w:val="0"/>
                <w:sz w:val="24"/>
                <w:szCs w:val="24"/>
                <w:u w:val="none"/>
                <w:lang w:val="en-US" w:eastAsia="zh-CN"/>
              </w:rPr>
            </w:pPr>
            <w:r>
              <w:rPr>
                <w:rFonts w:hint="eastAsia" w:ascii="Times New Roman" w:hAnsi="Times New Roman" w:eastAsia="仿宋_GB2312" w:cs="Times New Roman"/>
                <w:i w:val="0"/>
                <w:color w:val="000000"/>
                <w:kern w:val="0"/>
                <w:sz w:val="24"/>
                <w:szCs w:val="24"/>
                <w:u w:val="none"/>
                <w:lang w:val="en-US" w:eastAsia="zh-CN"/>
              </w:rPr>
              <w:t>1</w:t>
            </w:r>
          </w:p>
        </w:tc>
        <w:tc>
          <w:tcPr>
            <w:tcW w:w="2705" w:type="dxa"/>
            <w:vAlign w:val="center"/>
          </w:tcPr>
          <w:p w14:paraId="13C2043C">
            <w:pPr>
              <w:jc w:val="both"/>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i w:val="0"/>
                <w:color w:val="000000"/>
                <w:sz w:val="24"/>
                <w:szCs w:val="24"/>
                <w:u w:val="none"/>
                <w:lang w:val="en-US" w:eastAsia="zh-CN"/>
              </w:rPr>
              <w:t>乳政发〔2016〕7号</w:t>
            </w:r>
          </w:p>
        </w:tc>
        <w:tc>
          <w:tcPr>
            <w:tcW w:w="5648" w:type="dxa"/>
            <w:vAlign w:val="center"/>
          </w:tcPr>
          <w:p w14:paraId="5A90F643">
            <w:pPr>
              <w:jc w:val="both"/>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i w:val="0"/>
                <w:color w:val="000000"/>
                <w:sz w:val="24"/>
                <w:szCs w:val="24"/>
                <w:u w:val="none"/>
                <w:lang w:val="en-US" w:eastAsia="zh-CN"/>
              </w:rPr>
              <w:t>乳山市人民政府关于调整理顺全市财政管理体制的意见</w:t>
            </w:r>
          </w:p>
        </w:tc>
      </w:tr>
      <w:tr w14:paraId="56E91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905" w:type="dxa"/>
            <w:vAlign w:val="center"/>
          </w:tcPr>
          <w:p w14:paraId="581748D8">
            <w:pPr>
              <w:autoSpaceDE w:val="0"/>
              <w:autoSpaceDN w:val="0"/>
              <w:jc w:val="center"/>
              <w:rPr>
                <w:rFonts w:hint="default" w:ascii="Times New Roman" w:hAnsi="Times New Roman" w:eastAsia="仿宋_GB2312" w:cs="Times New Roman"/>
                <w:i w:val="0"/>
                <w:color w:val="000000"/>
                <w:kern w:val="0"/>
                <w:sz w:val="24"/>
                <w:szCs w:val="24"/>
                <w:u w:val="none"/>
                <w:lang w:val="en-US" w:eastAsia="zh-CN"/>
              </w:rPr>
            </w:pPr>
            <w:r>
              <w:rPr>
                <w:rFonts w:hint="eastAsia" w:ascii="Times New Roman" w:hAnsi="Times New Roman" w:eastAsia="仿宋_GB2312" w:cs="Times New Roman"/>
                <w:i w:val="0"/>
                <w:color w:val="000000"/>
                <w:kern w:val="0"/>
                <w:sz w:val="24"/>
                <w:szCs w:val="24"/>
                <w:u w:val="none"/>
                <w:lang w:val="en-US" w:eastAsia="zh-CN"/>
              </w:rPr>
              <w:t>2</w:t>
            </w:r>
          </w:p>
        </w:tc>
        <w:tc>
          <w:tcPr>
            <w:tcW w:w="2705" w:type="dxa"/>
            <w:vAlign w:val="center"/>
          </w:tcPr>
          <w:p w14:paraId="394BEB52">
            <w:pPr>
              <w:jc w:val="both"/>
              <w:rPr>
                <w:rFonts w:hint="default" w:ascii="Times New Roman" w:hAnsi="Times New Roman" w:eastAsia="仿宋_GB2312" w:cs="Times New Roman"/>
                <w:kern w:val="0"/>
                <w:sz w:val="24"/>
                <w:szCs w:val="24"/>
                <w:lang w:bidi="ar"/>
              </w:rPr>
            </w:pPr>
            <w:r>
              <w:rPr>
                <w:rFonts w:hint="default" w:ascii="Times New Roman" w:hAnsi="Times New Roman" w:eastAsia="仿宋_GB2312" w:cs="Times New Roman"/>
                <w:i w:val="0"/>
                <w:color w:val="000000"/>
                <w:sz w:val="24"/>
                <w:szCs w:val="24"/>
                <w:u w:val="none"/>
                <w:lang w:val="en-US" w:eastAsia="zh-CN"/>
              </w:rPr>
              <w:t>乳政办发〔2016〕10号</w:t>
            </w:r>
          </w:p>
        </w:tc>
        <w:tc>
          <w:tcPr>
            <w:tcW w:w="5648" w:type="dxa"/>
            <w:vAlign w:val="center"/>
          </w:tcPr>
          <w:p w14:paraId="080FB39C">
            <w:pPr>
              <w:jc w:val="both"/>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i w:val="0"/>
                <w:color w:val="000000"/>
                <w:sz w:val="24"/>
                <w:szCs w:val="24"/>
                <w:u w:val="none"/>
                <w:lang w:val="en-US" w:eastAsia="zh-CN"/>
              </w:rPr>
              <w:t>乳山市人民政府办公室关于规范防空地下室易地建设费收费范围及标准的通知</w:t>
            </w:r>
          </w:p>
        </w:tc>
      </w:tr>
      <w:tr w14:paraId="79B91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905" w:type="dxa"/>
            <w:vAlign w:val="center"/>
          </w:tcPr>
          <w:p w14:paraId="20788DBC">
            <w:pPr>
              <w:autoSpaceDE w:val="0"/>
              <w:autoSpaceDN w:val="0"/>
              <w:jc w:val="center"/>
              <w:rPr>
                <w:rFonts w:hint="default" w:ascii="Times New Roman" w:hAnsi="Times New Roman" w:eastAsia="仿宋_GB2312" w:cs="Times New Roman"/>
                <w:i w:val="0"/>
                <w:color w:val="000000"/>
                <w:kern w:val="0"/>
                <w:sz w:val="24"/>
                <w:szCs w:val="24"/>
                <w:u w:val="none"/>
                <w:lang w:val="en-US" w:eastAsia="zh-CN"/>
              </w:rPr>
            </w:pPr>
            <w:r>
              <w:rPr>
                <w:rFonts w:hint="eastAsia" w:ascii="Times New Roman" w:hAnsi="Times New Roman" w:eastAsia="仿宋_GB2312" w:cs="Times New Roman"/>
                <w:i w:val="0"/>
                <w:color w:val="000000"/>
                <w:kern w:val="0"/>
                <w:sz w:val="24"/>
                <w:szCs w:val="24"/>
                <w:u w:val="none"/>
                <w:lang w:val="en-US" w:eastAsia="zh-CN"/>
              </w:rPr>
              <w:t>3</w:t>
            </w:r>
          </w:p>
        </w:tc>
        <w:tc>
          <w:tcPr>
            <w:tcW w:w="2705" w:type="dxa"/>
            <w:vAlign w:val="center"/>
          </w:tcPr>
          <w:p w14:paraId="1B7FC411">
            <w:pPr>
              <w:jc w:val="both"/>
              <w:rPr>
                <w:rFonts w:hint="default" w:ascii="Times New Roman" w:hAnsi="Times New Roman" w:eastAsia="仿宋_GB2312" w:cs="Times New Roman"/>
                <w:i w:val="0"/>
                <w:color w:val="000000"/>
                <w:kern w:val="2"/>
                <w:sz w:val="24"/>
                <w:szCs w:val="24"/>
                <w:u w:val="none"/>
                <w:lang w:val="en-US" w:eastAsia="zh-CN" w:bidi="ar-SA"/>
              </w:rPr>
            </w:pPr>
            <w:r>
              <w:rPr>
                <w:rFonts w:hint="default" w:ascii="Times New Roman" w:hAnsi="Times New Roman" w:eastAsia="仿宋_GB2312" w:cs="Times New Roman"/>
                <w:i w:val="0"/>
                <w:color w:val="000000"/>
                <w:sz w:val="24"/>
                <w:szCs w:val="24"/>
                <w:u w:val="none"/>
                <w:lang w:val="en-US" w:eastAsia="zh-CN"/>
              </w:rPr>
              <w:t>乳政发〔2017〕6号</w:t>
            </w:r>
          </w:p>
        </w:tc>
        <w:tc>
          <w:tcPr>
            <w:tcW w:w="5648" w:type="dxa"/>
            <w:vAlign w:val="center"/>
          </w:tcPr>
          <w:p w14:paraId="1E94B28C">
            <w:pPr>
              <w:jc w:val="both"/>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i w:val="0"/>
                <w:color w:val="000000"/>
                <w:sz w:val="24"/>
                <w:szCs w:val="24"/>
                <w:u w:val="none"/>
                <w:lang w:val="en-US" w:eastAsia="zh-CN"/>
              </w:rPr>
              <w:t>乳山市人民政府关于扶持海洋牧场建设的意见（试行）</w:t>
            </w:r>
          </w:p>
        </w:tc>
      </w:tr>
      <w:tr w14:paraId="6D249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905" w:type="dxa"/>
            <w:vAlign w:val="center"/>
          </w:tcPr>
          <w:p w14:paraId="44CB2058">
            <w:pPr>
              <w:autoSpaceDE w:val="0"/>
              <w:autoSpaceDN w:val="0"/>
              <w:jc w:val="center"/>
              <w:rPr>
                <w:rFonts w:hint="default" w:ascii="Times New Roman" w:hAnsi="Times New Roman" w:eastAsia="仿宋_GB2312" w:cs="Times New Roman"/>
                <w:i w:val="0"/>
                <w:color w:val="000000"/>
                <w:kern w:val="0"/>
                <w:sz w:val="24"/>
                <w:szCs w:val="24"/>
                <w:u w:val="none"/>
                <w:lang w:val="en-US" w:eastAsia="zh-CN"/>
              </w:rPr>
            </w:pPr>
            <w:r>
              <w:rPr>
                <w:rFonts w:hint="eastAsia" w:ascii="Times New Roman" w:hAnsi="Times New Roman" w:eastAsia="仿宋_GB2312" w:cs="Times New Roman"/>
                <w:i w:val="0"/>
                <w:color w:val="000000"/>
                <w:kern w:val="0"/>
                <w:sz w:val="24"/>
                <w:szCs w:val="24"/>
                <w:u w:val="none"/>
                <w:lang w:val="en-US" w:eastAsia="zh-CN"/>
              </w:rPr>
              <w:t>4</w:t>
            </w:r>
          </w:p>
        </w:tc>
        <w:tc>
          <w:tcPr>
            <w:tcW w:w="2705" w:type="dxa"/>
            <w:vAlign w:val="center"/>
          </w:tcPr>
          <w:p w14:paraId="44AD1C97">
            <w:pPr>
              <w:jc w:val="both"/>
              <w:rPr>
                <w:rFonts w:hint="default" w:ascii="Times New Roman" w:hAnsi="Times New Roman" w:eastAsia="仿宋_GB2312" w:cs="Times New Roman"/>
                <w:i w:val="0"/>
                <w:color w:val="000000"/>
                <w:kern w:val="2"/>
                <w:sz w:val="24"/>
                <w:szCs w:val="24"/>
                <w:u w:val="none"/>
                <w:lang w:val="en-US" w:eastAsia="zh-CN" w:bidi="ar-SA"/>
              </w:rPr>
            </w:pPr>
            <w:r>
              <w:rPr>
                <w:rFonts w:hint="default" w:ascii="Times New Roman" w:hAnsi="Times New Roman" w:eastAsia="仿宋_GB2312" w:cs="Times New Roman"/>
                <w:i w:val="0"/>
                <w:color w:val="000000"/>
                <w:sz w:val="24"/>
                <w:szCs w:val="24"/>
                <w:u w:val="none"/>
                <w:lang w:val="en-US" w:eastAsia="zh-CN"/>
              </w:rPr>
              <w:t>乳政办字〔2018〕84号</w:t>
            </w:r>
          </w:p>
        </w:tc>
        <w:tc>
          <w:tcPr>
            <w:tcW w:w="5648" w:type="dxa"/>
            <w:vAlign w:val="center"/>
          </w:tcPr>
          <w:p w14:paraId="24B512F3">
            <w:pPr>
              <w:jc w:val="both"/>
              <w:rPr>
                <w:rFonts w:hint="default" w:ascii="Times New Roman" w:hAnsi="Times New Roman" w:eastAsia="仿宋_GB2312" w:cs="Times New Roman"/>
                <w:kern w:val="0"/>
                <w:sz w:val="24"/>
                <w:szCs w:val="24"/>
                <w:lang w:val="en-US" w:eastAsia="zh-CN" w:bidi="ar"/>
              </w:rPr>
            </w:pPr>
            <w:r>
              <w:rPr>
                <w:rFonts w:hint="default" w:ascii="Times New Roman" w:hAnsi="Times New Roman" w:eastAsia="仿宋_GB2312" w:cs="Times New Roman"/>
                <w:i w:val="0"/>
                <w:color w:val="000000"/>
                <w:sz w:val="24"/>
                <w:szCs w:val="24"/>
                <w:u w:val="none"/>
                <w:lang w:val="en-US" w:eastAsia="zh-CN"/>
              </w:rPr>
              <w:t>乳山市人民政府办公室关于印发乳山市退耕还林奖补政策的通知</w:t>
            </w:r>
          </w:p>
        </w:tc>
      </w:tr>
    </w:tbl>
    <w:p w14:paraId="640EAAA0">
      <w:pPr>
        <w:rPr>
          <w:rFonts w:hint="default" w:ascii="Times New Roman" w:hAnsi="Times New Roman" w:cs="Times New Roman"/>
        </w:rPr>
      </w:pPr>
    </w:p>
    <w:p w14:paraId="4D7F5622">
      <w:pPr>
        <w:jc w:val="center"/>
        <w:rPr>
          <w:rFonts w:hint="default" w:ascii="Times New Roman" w:hAnsi="Times New Roman" w:eastAsia="黑体" w:cs="Times New Roman"/>
          <w:color w:val="000000"/>
          <w:kern w:val="0"/>
          <w:sz w:val="44"/>
          <w:szCs w:val="44"/>
          <w:lang w:val="en-US" w:eastAsia="zh-CN" w:bidi="ar"/>
        </w:rPr>
      </w:pPr>
    </w:p>
    <w:p w14:paraId="18C1A444">
      <w:pPr>
        <w:jc w:val="center"/>
        <w:rPr>
          <w:rFonts w:hint="default" w:ascii="Times New Roman" w:hAnsi="Times New Roman" w:eastAsia="黑体" w:cs="Times New Roman"/>
          <w:color w:val="000000"/>
          <w:kern w:val="0"/>
          <w:sz w:val="44"/>
          <w:szCs w:val="44"/>
          <w:lang w:val="en-US" w:eastAsia="zh-CN" w:bidi="ar"/>
        </w:rPr>
      </w:pPr>
    </w:p>
    <w:p w14:paraId="18E1AEBE">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5AEFD755">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5747BF78">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24DB263B">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6ECBF409">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56298C4A">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03815405">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3775460D">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2E877D16">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7271DCCE">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790FD254">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2AD02293">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6B78E84C">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40D17192">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03E41A43">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114E0D7C">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07FA6CDD">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75D62B6F">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6281E012">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16547CCB">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689AD9BF">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7C95EBC1">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64F10042">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37570E0C">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41C1BD7B">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657C2FDA">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51895132">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242E5FB1">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50EAC4D1">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137C71D8">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3A29E92B">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6C7F0CF2">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04EDF64C">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556839FE">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62554D01">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3B20AF5B">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64ED7F76">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2661E7B3">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06B6A8AD">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17B47827">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330567C6">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6456BD77">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0E4D0437">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06E88EDF">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1FDD43FF">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683D92E8">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404CD1A5">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46793891">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43CC21E8">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2DFC189B">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6853ADA3">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3BBA4407">
      <w:pPr>
        <w:keepNext w:val="0"/>
        <w:keepLines w:val="0"/>
        <w:pageBreakBefore w:val="0"/>
        <w:widowControl w:val="0"/>
        <w:kinsoku/>
        <w:wordWrap/>
        <w:overflowPunct/>
        <w:topLinePunct w:val="0"/>
        <w:autoSpaceDE/>
        <w:autoSpaceDN/>
        <w:bidi w:val="0"/>
        <w:adjustRightInd/>
        <w:snapToGrid/>
        <w:spacing w:line="40" w:lineRule="exact"/>
        <w:jc w:val="center"/>
        <w:textAlignment w:val="auto"/>
        <w:rPr>
          <w:rFonts w:hint="default" w:ascii="Times New Roman" w:hAnsi="Times New Roman" w:eastAsia="黑体" w:cs="Times New Roman"/>
          <w:color w:val="000000"/>
          <w:kern w:val="0"/>
          <w:sz w:val="44"/>
          <w:szCs w:val="44"/>
          <w:lang w:val="en-US" w:eastAsia="zh-CN" w:bidi="ar"/>
        </w:rPr>
      </w:pPr>
    </w:p>
    <w:p w14:paraId="7AE52480"/>
    <w:sectPr>
      <w:footerReference r:id="rId3" w:type="default"/>
      <w:pgSz w:w="11906" w:h="16838"/>
      <w:pgMar w:top="2098" w:right="1531" w:bottom="1984" w:left="1531" w:header="851" w:footer="1531"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96B1F6">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A55590">
                          <w:pPr>
                            <w:pStyle w:val="3"/>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23A55590">
                    <w:pPr>
                      <w:pStyle w:val="3"/>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D0445C"/>
    <w:rsid w:val="5FD044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99"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lock Text"/>
    <w:basedOn w:val="1"/>
    <w:qFormat/>
    <w:uiPriority w:val="99"/>
    <w:pPr>
      <w:ind w:left="1289" w:leftChars="101" w:right="320" w:rightChars="100" w:hanging="966" w:hangingChars="483"/>
    </w:pPr>
    <w:rPr>
      <w:rFonts w:ascii="Calibri" w:hAnsi="Calibri"/>
      <w:szCs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UserStyle_0"/>
    <w:basedOn w:val="1"/>
    <w:autoRedefine/>
    <w:qFormat/>
    <w:uiPriority w:val="0"/>
    <w:pPr>
      <w:spacing w:after="120"/>
      <w:jc w:val="both"/>
      <w:textAlignment w:val="baseline"/>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2024-11-22T01:01:00Z</dcterms:created>
  <dc:creator>Chihiro</dc:creator>
  <cp:lastModifiedBy>Chihiro</cp:lastModifiedBy>
  <dcterms:modified xsi:type="dcterms:W3CDTF">2024-11-22T01:02:25Z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EDC100C7A27C43B185AFEF65E1DD50B2_11</vt:lpwstr>
  </property>
</Properties>
</file>