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00" w:lineRule="exact"/>
        <w:jc w:val="both"/>
        <w:rPr>
          <w:rFonts w:ascii="Times New Roman" w:hAnsi="Times New Roman" w:eastAsia="方正小标宋简体"/>
          <w:color w:val="000000"/>
          <w:w w:val="50"/>
          <w:sz w:val="138"/>
          <w:szCs w:val="138"/>
        </w:rPr>
      </w:pPr>
    </w:p>
    <w:p>
      <w:pPr>
        <w:spacing w:line="580" w:lineRule="exact"/>
        <w:jc w:val="center"/>
        <w:rPr>
          <w:rFonts w:ascii="Times New Roman" w:hAnsi="Times New Roman" w:eastAsia="方正小标宋简体" w:cs="Times New Roman"/>
          <w:sz w:val="44"/>
          <w:szCs w:val="44"/>
        </w:rPr>
      </w:pPr>
      <w:r>
        <w:rPr>
          <w:rFonts w:hint="eastAsia" w:ascii="Times New Roman" w:hAnsi="Times New Roman" w:eastAsia="方正小标宋简体" w:cs="Times New Roman"/>
          <w:sz w:val="44"/>
          <w:szCs w:val="44"/>
        </w:rPr>
        <w:t>乳山市</w:t>
      </w:r>
      <w:r>
        <w:rPr>
          <w:rFonts w:hint="eastAsia" w:ascii="Times New Roman" w:hAnsi="Times New Roman" w:eastAsia="方正小标宋简体" w:cs="Times New Roman"/>
          <w:sz w:val="44"/>
          <w:szCs w:val="44"/>
          <w:lang w:eastAsia="zh-CN"/>
        </w:rPr>
        <w:t>中小微企业</w:t>
      </w:r>
      <w:r>
        <w:rPr>
          <w:rFonts w:hint="eastAsia" w:ascii="Times New Roman" w:hAnsi="Times New Roman" w:eastAsia="方正小标宋简体" w:cs="Times New Roman"/>
          <w:sz w:val="44"/>
          <w:szCs w:val="44"/>
        </w:rPr>
        <w:t>增信基金管理办法</w:t>
      </w:r>
    </w:p>
    <w:p>
      <w:pPr>
        <w:spacing w:line="580" w:lineRule="exact"/>
        <w:jc w:val="center"/>
        <w:rPr>
          <w:rFonts w:hint="eastAsia" w:ascii="楷体" w:hAnsi="楷体" w:eastAsia="楷体" w:cs="楷体"/>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征求意见稿</w:t>
      </w:r>
      <w:r>
        <w:rPr>
          <w:rFonts w:hint="eastAsia" w:ascii="楷体" w:hAnsi="楷体" w:eastAsia="楷体" w:cs="楷体"/>
          <w:sz w:val="32"/>
          <w:szCs w:val="32"/>
          <w:lang w:eastAsia="zh-CN"/>
        </w:rPr>
        <w:t>）</w:t>
      </w:r>
    </w:p>
    <w:p>
      <w:pPr>
        <w:spacing w:afterLines="50" w:line="580" w:lineRule="exact"/>
        <w:jc w:val="center"/>
        <w:rPr>
          <w:rFonts w:ascii="Times New Roman" w:hAnsi="Times New Roman" w:eastAsia="黑体" w:cs="Times New Roman"/>
          <w:color w:val="000000"/>
          <w:sz w:val="32"/>
          <w:szCs w:val="32"/>
        </w:rPr>
      </w:pPr>
      <w:r>
        <w:rPr>
          <w:rFonts w:hint="eastAsia" w:ascii="Times New Roman" w:hAnsi="Times New Roman" w:eastAsia="黑体" w:cs="Times New Roman"/>
          <w:sz w:val="32"/>
          <w:szCs w:val="32"/>
        </w:rPr>
        <w:t>第一章</w:t>
      </w:r>
      <w:r>
        <w:rPr>
          <w:rFonts w:ascii="Times New Roman" w:hAnsi="Times New Roman" w:eastAsia="黑体" w:cs="Times New Roman"/>
          <w:sz w:val="32"/>
          <w:szCs w:val="32"/>
        </w:rPr>
        <w:t xml:space="preserve"> </w:t>
      </w:r>
      <w:r>
        <w:rPr>
          <w:rFonts w:ascii="Times New Roman" w:hAnsi="Times New Roman" w:eastAsia="黑体" w:cs="Times New Roman"/>
          <w:color w:val="000000"/>
          <w:sz w:val="32"/>
          <w:szCs w:val="32"/>
        </w:rPr>
        <w:t xml:space="preserve"> </w:t>
      </w:r>
      <w:r>
        <w:rPr>
          <w:rFonts w:hint="eastAsia" w:ascii="Times New Roman" w:hAnsi="Times New Roman" w:eastAsia="黑体" w:cs="Times New Roman"/>
          <w:color w:val="000000"/>
          <w:sz w:val="32"/>
          <w:szCs w:val="32"/>
        </w:rPr>
        <w:t>总</w:t>
      </w:r>
      <w:r>
        <w:rPr>
          <w:rFonts w:ascii="Times New Roman" w:hAnsi="Times New Roman" w:eastAsia="黑体" w:cs="Times New Roman"/>
          <w:color w:val="000000"/>
          <w:sz w:val="32"/>
          <w:szCs w:val="32"/>
        </w:rPr>
        <w:t xml:space="preserve">  </w:t>
      </w:r>
      <w:r>
        <w:rPr>
          <w:rFonts w:hint="eastAsia" w:ascii="Times New Roman" w:hAnsi="Times New Roman" w:eastAsia="黑体" w:cs="Times New Roman"/>
          <w:color w:val="000000"/>
          <w:sz w:val="32"/>
          <w:szCs w:val="32"/>
        </w:rPr>
        <w:t>则</w:t>
      </w:r>
    </w:p>
    <w:p>
      <w:pPr>
        <w:spacing w:line="58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第一条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为鼓励金融机构扩大信用贷款的投放力度，支持我市</w:t>
      </w:r>
      <w:r>
        <w:rPr>
          <w:rFonts w:hint="eastAsia" w:ascii="Times New Roman" w:hAnsi="Times New Roman" w:eastAsia="仿宋_GB2312" w:cs="Times New Roman"/>
          <w:color w:val="000000"/>
          <w:sz w:val="32"/>
          <w:szCs w:val="32"/>
          <w:lang w:eastAsia="zh-CN"/>
        </w:rPr>
        <w:t>中小微企业</w:t>
      </w:r>
      <w:r>
        <w:rPr>
          <w:rFonts w:hint="eastAsia" w:ascii="Times New Roman" w:hAnsi="Times New Roman" w:eastAsia="仿宋_GB2312" w:cs="Times New Roman"/>
          <w:color w:val="000000"/>
          <w:sz w:val="32"/>
          <w:szCs w:val="32"/>
        </w:rPr>
        <w:t>健康发展，特制定本办法。</w:t>
      </w:r>
    </w:p>
    <w:p>
      <w:pPr>
        <w:spacing w:line="580" w:lineRule="exact"/>
        <w:ind w:firstLine="643" w:firstLineChars="200"/>
        <w:rPr>
          <w:rFonts w:ascii="Times New Roman" w:hAnsi="Times New Roman" w:eastAsia="仿宋_GB2312" w:cs="Times New Roman"/>
          <w:color w:val="auto"/>
          <w:sz w:val="32"/>
          <w:szCs w:val="32"/>
        </w:rPr>
      </w:pPr>
      <w:r>
        <w:rPr>
          <w:rFonts w:hint="eastAsia" w:ascii="Times New Roman" w:hAnsi="Times New Roman" w:eastAsia="仿宋_GB2312" w:cs="Times New Roman"/>
          <w:b/>
          <w:bCs/>
          <w:color w:val="000000"/>
          <w:sz w:val="32"/>
          <w:szCs w:val="32"/>
        </w:rPr>
        <w:t>第二条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本办法所称</w:t>
      </w:r>
      <w:r>
        <w:rPr>
          <w:rFonts w:hint="eastAsia" w:ascii="Times New Roman" w:hAnsi="Times New Roman" w:eastAsia="仿宋_GB2312" w:cs="Times New Roman"/>
          <w:color w:val="000000"/>
          <w:sz w:val="32"/>
          <w:szCs w:val="32"/>
          <w:lang w:eastAsia="zh-CN"/>
        </w:rPr>
        <w:t>中小微企业</w:t>
      </w:r>
      <w:r>
        <w:rPr>
          <w:rFonts w:hint="eastAsia" w:ascii="Times New Roman" w:hAnsi="Times New Roman" w:eastAsia="仿宋_GB2312" w:cs="Times New Roman"/>
          <w:color w:val="000000"/>
          <w:sz w:val="32"/>
          <w:szCs w:val="32"/>
        </w:rPr>
        <w:t>增信基金（下称</w:t>
      </w:r>
      <w:r>
        <w:rPr>
          <w:rFonts w:ascii="Times New Roman" w:hAnsi="Times New Roman" w:eastAsia="仿宋_GB2312" w:cs="Times New Roman"/>
          <w:color w:val="000000"/>
          <w:sz w:val="32"/>
          <w:szCs w:val="32"/>
        </w:rPr>
        <w:t>“</w:t>
      </w:r>
      <w:r>
        <w:rPr>
          <w:rFonts w:hint="eastAsia" w:ascii="Times New Roman" w:hAnsi="Times New Roman" w:eastAsia="仿宋_GB2312" w:cs="Times New Roman"/>
          <w:color w:val="000000"/>
          <w:sz w:val="32"/>
          <w:szCs w:val="32"/>
        </w:rPr>
        <w:t>增信基金</w:t>
      </w:r>
      <w:r>
        <w:rPr>
          <w:rFonts w:ascii="Times New Roman" w:hAnsi="Times New Roman" w:eastAsia="仿宋_GB2312" w:cs="Times New Roman"/>
          <w:color w:val="000000"/>
          <w:sz w:val="32"/>
          <w:szCs w:val="32"/>
        </w:rPr>
        <w:t>”</w:t>
      </w:r>
      <w:r>
        <w:rPr>
          <w:rFonts w:hint="eastAsia" w:ascii="Times New Roman" w:hAnsi="Times New Roman" w:eastAsia="仿宋_GB2312" w:cs="Times New Roman"/>
          <w:color w:val="auto"/>
          <w:sz w:val="32"/>
          <w:szCs w:val="32"/>
        </w:rPr>
        <w:t>），是指由政府出资作为增信基金，合作银行给予放大，用于对我市</w:t>
      </w:r>
      <w:r>
        <w:rPr>
          <w:rFonts w:hint="eastAsia" w:ascii="Times New Roman" w:hAnsi="Times New Roman" w:eastAsia="仿宋_GB2312" w:cs="Times New Roman"/>
          <w:color w:val="auto"/>
          <w:sz w:val="32"/>
          <w:szCs w:val="32"/>
          <w:lang w:eastAsia="zh-CN"/>
        </w:rPr>
        <w:t>中小微企业</w:t>
      </w:r>
      <w:r>
        <w:rPr>
          <w:rFonts w:hint="eastAsia" w:ascii="Times New Roman" w:hAnsi="Times New Roman" w:eastAsia="仿宋_GB2312" w:cs="Times New Roman"/>
          <w:color w:val="auto"/>
          <w:sz w:val="32"/>
          <w:szCs w:val="32"/>
        </w:rPr>
        <w:t>信用贷款的投放。市政府委托</w:t>
      </w:r>
      <w:r>
        <w:rPr>
          <w:rFonts w:hint="eastAsia" w:ascii="Times New Roman" w:hAnsi="Times New Roman" w:eastAsia="仿宋_GB2312" w:cs="Times New Roman"/>
          <w:color w:val="auto"/>
          <w:sz w:val="32"/>
          <w:szCs w:val="32"/>
          <w:lang w:val="en-US" w:eastAsia="zh-CN"/>
        </w:rPr>
        <w:t>乳山市发改局下属事业单位（乳山市地方金融服务中心）</w:t>
      </w:r>
      <w:r>
        <w:rPr>
          <w:rFonts w:hint="eastAsia" w:ascii="Times New Roman" w:hAnsi="Times New Roman" w:eastAsia="仿宋_GB2312" w:cs="Times New Roman"/>
          <w:color w:val="auto"/>
          <w:sz w:val="32"/>
          <w:szCs w:val="32"/>
        </w:rPr>
        <w:t>在合作银行</w:t>
      </w:r>
      <w:r>
        <w:rPr>
          <w:rFonts w:hint="eastAsia" w:ascii="Times New Roman" w:hAnsi="Times New Roman" w:eastAsia="仿宋_GB2312" w:cs="Times New Roman"/>
          <w:snapToGrid w:val="0"/>
          <w:color w:val="auto"/>
          <w:kern w:val="0"/>
          <w:sz w:val="32"/>
          <w:szCs w:val="32"/>
        </w:rPr>
        <w:t>开立专门账户，存入</w:t>
      </w:r>
      <w:r>
        <w:rPr>
          <w:rFonts w:hint="eastAsia" w:ascii="Times New Roman" w:hAnsi="Times New Roman" w:eastAsia="仿宋_GB2312" w:cs="Times New Roman"/>
          <w:color w:val="auto"/>
          <w:sz w:val="32"/>
          <w:szCs w:val="32"/>
        </w:rPr>
        <w:t>增信基金</w:t>
      </w:r>
      <w:r>
        <w:rPr>
          <w:rFonts w:hint="eastAsia" w:ascii="Times New Roman" w:hAnsi="Times New Roman" w:eastAsia="仿宋_GB2312" w:cs="Times New Roman"/>
          <w:snapToGrid w:val="0"/>
          <w:color w:val="auto"/>
          <w:kern w:val="0"/>
          <w:sz w:val="32"/>
          <w:szCs w:val="32"/>
        </w:rPr>
        <w:t>并实行封闭管理、独立运行，该基金的拨付及使用属于财政专项资金，用于出现贷款损失的风险补偿</w:t>
      </w:r>
      <w:r>
        <w:rPr>
          <w:rFonts w:hint="eastAsia" w:ascii="Times New Roman" w:hAnsi="Times New Roman" w:eastAsia="仿宋_GB2312" w:cs="Times New Roman"/>
          <w:color w:val="auto"/>
          <w:sz w:val="32"/>
          <w:szCs w:val="32"/>
        </w:rPr>
        <w:t>。</w:t>
      </w:r>
    </w:p>
    <w:p>
      <w:pPr>
        <w:spacing w:line="580" w:lineRule="exact"/>
        <w:ind w:firstLine="643" w:firstLineChars="200"/>
        <w:rPr>
          <w:rFonts w:ascii="Times New Roman" w:hAnsi="Times New Roman" w:eastAsia="仿宋_GB2312" w:cs="Times New Roman"/>
          <w:snapToGrid w:val="0"/>
          <w:kern w:val="0"/>
          <w:sz w:val="32"/>
          <w:szCs w:val="32"/>
        </w:rPr>
      </w:pPr>
      <w:r>
        <w:rPr>
          <w:rFonts w:hint="eastAsia" w:ascii="Times New Roman" w:hAnsi="Times New Roman" w:eastAsia="仿宋_GB2312" w:cs="Times New Roman"/>
          <w:b/>
          <w:bCs/>
          <w:color w:val="auto"/>
          <w:sz w:val="32"/>
          <w:szCs w:val="32"/>
        </w:rPr>
        <w:t>第三条</w:t>
      </w:r>
      <w:r>
        <w:rPr>
          <w:rFonts w:ascii="Times New Roman" w:hAnsi="Times New Roman" w:eastAsia="仿宋_GB2312" w:cs="Times New Roman"/>
          <w:color w:val="auto"/>
          <w:sz w:val="32"/>
          <w:szCs w:val="32"/>
        </w:rPr>
        <w:t xml:space="preserve">  </w:t>
      </w:r>
      <w:r>
        <w:rPr>
          <w:rFonts w:hint="eastAsia" w:ascii="Times New Roman" w:hAnsi="Times New Roman" w:eastAsia="仿宋_GB2312" w:cs="Times New Roman"/>
          <w:color w:val="auto"/>
          <w:sz w:val="32"/>
          <w:szCs w:val="32"/>
        </w:rPr>
        <w:t>增信基金信用借款原则上由乳山市</w:t>
      </w:r>
      <w:r>
        <w:rPr>
          <w:rFonts w:hint="eastAsia" w:ascii="Times New Roman" w:hAnsi="Times New Roman" w:eastAsia="仿宋_GB2312" w:cs="Times New Roman"/>
          <w:color w:val="auto"/>
          <w:sz w:val="32"/>
          <w:szCs w:val="32"/>
          <w:lang w:eastAsia="zh-CN"/>
        </w:rPr>
        <w:t>中小微企业</w:t>
      </w:r>
      <w:r>
        <w:rPr>
          <w:rFonts w:hint="eastAsia" w:ascii="Times New Roman" w:hAnsi="Times New Roman" w:eastAsia="仿宋_GB2312" w:cs="Times New Roman"/>
          <w:color w:val="auto"/>
          <w:sz w:val="32"/>
          <w:szCs w:val="32"/>
        </w:rPr>
        <w:t>自主向合作银行申请，</w:t>
      </w:r>
      <w:r>
        <w:rPr>
          <w:rFonts w:hint="eastAsia" w:ascii="Times New Roman" w:hAnsi="Times New Roman" w:eastAsia="仿宋_GB2312" w:cs="Times New Roman"/>
          <w:snapToGrid w:val="0"/>
          <w:color w:val="auto"/>
          <w:kern w:val="0"/>
          <w:sz w:val="32"/>
          <w:szCs w:val="32"/>
        </w:rPr>
        <w:t>合作银行</w:t>
      </w:r>
      <w:r>
        <w:rPr>
          <w:rFonts w:hint="eastAsia" w:ascii="Times New Roman" w:hAnsi="Times New Roman" w:eastAsia="仿宋_GB2312" w:cs="Times New Roman"/>
          <w:snapToGrid w:val="0"/>
          <w:kern w:val="0"/>
          <w:sz w:val="32"/>
          <w:szCs w:val="32"/>
        </w:rPr>
        <w:t>对申请企业进行初审，增信基金联席会议成员单位对通过初审的企业进行审核，一致通过后，合作银行方可发放信用贷款。</w:t>
      </w:r>
    </w:p>
    <w:p>
      <w:pPr>
        <w:spacing w:line="580" w:lineRule="exact"/>
        <w:ind w:firstLine="643" w:firstLineChars="200"/>
        <w:rPr>
          <w:rFonts w:hint="eastAsia" w:ascii="Times New Roman" w:hAnsi="Times New Roman" w:eastAsia="仿宋_GB2312" w:cs="Times New Roman"/>
          <w:snapToGrid w:val="0"/>
          <w:kern w:val="0"/>
          <w:sz w:val="32"/>
          <w:szCs w:val="32"/>
        </w:rPr>
      </w:pPr>
      <w:r>
        <w:rPr>
          <w:rFonts w:hint="eastAsia" w:ascii="Times New Roman" w:hAnsi="Times New Roman" w:eastAsia="仿宋_GB2312" w:cs="Times New Roman"/>
          <w:b/>
          <w:bCs/>
          <w:snapToGrid w:val="0"/>
          <w:kern w:val="0"/>
          <w:sz w:val="32"/>
          <w:szCs w:val="32"/>
        </w:rPr>
        <w:t>第四条</w:t>
      </w:r>
      <w:r>
        <w:rPr>
          <w:rFonts w:ascii="Times New Roman" w:hAnsi="Times New Roman" w:eastAsia="仿宋_GB2312" w:cs="Times New Roman"/>
          <w:b/>
          <w:bCs/>
          <w:snapToGrid w:val="0"/>
          <w:kern w:val="0"/>
          <w:sz w:val="32"/>
          <w:szCs w:val="32"/>
        </w:rPr>
        <w:t xml:space="preserve"> </w:t>
      </w:r>
      <w:r>
        <w:rPr>
          <w:rFonts w:ascii="Times New Roman" w:hAnsi="Times New Roman" w:eastAsia="仿宋_GB2312" w:cs="Times New Roman"/>
          <w:snapToGrid w:val="0"/>
          <w:kern w:val="0"/>
          <w:sz w:val="32"/>
          <w:szCs w:val="32"/>
        </w:rPr>
        <w:t xml:space="preserve"> </w:t>
      </w:r>
      <w:r>
        <w:rPr>
          <w:rFonts w:hint="eastAsia" w:ascii="Times New Roman" w:hAnsi="Times New Roman" w:eastAsia="仿宋_GB2312" w:cs="Times New Roman"/>
          <w:snapToGrid w:val="0"/>
          <w:kern w:val="0"/>
          <w:sz w:val="32"/>
          <w:szCs w:val="32"/>
        </w:rPr>
        <w:t>合作银行对符合条件的全部企业，累计年授信额度最高为增信基金的</w:t>
      </w:r>
      <w:r>
        <w:rPr>
          <w:rFonts w:ascii="Times New Roman" w:hAnsi="Times New Roman" w:eastAsia="仿宋_GB2312" w:cs="Times New Roman"/>
          <w:snapToGrid w:val="0"/>
          <w:kern w:val="0"/>
          <w:sz w:val="32"/>
          <w:szCs w:val="32"/>
        </w:rPr>
        <w:t>10</w:t>
      </w:r>
      <w:r>
        <w:rPr>
          <w:rFonts w:hint="eastAsia" w:ascii="Times New Roman" w:hAnsi="Times New Roman" w:eastAsia="仿宋_GB2312" w:cs="Times New Roman"/>
          <w:snapToGrid w:val="0"/>
          <w:kern w:val="0"/>
          <w:sz w:val="32"/>
          <w:szCs w:val="32"/>
        </w:rPr>
        <w:t>倍。其中，新三板挂牌企业每家贷款额度最高不超过500万元，</w:t>
      </w:r>
      <w:r>
        <w:rPr>
          <w:rFonts w:hint="eastAsia" w:ascii="Times New Roman" w:hAnsi="Times New Roman" w:eastAsia="仿宋_GB2312" w:cs="Times New Roman"/>
          <w:snapToGrid w:val="0"/>
          <w:kern w:val="0"/>
          <w:sz w:val="32"/>
          <w:szCs w:val="32"/>
          <w:lang w:val="en-US" w:eastAsia="zh-CN"/>
        </w:rPr>
        <w:t>山东省内</w:t>
      </w:r>
      <w:r>
        <w:rPr>
          <w:rFonts w:hint="eastAsia" w:ascii="Times New Roman" w:hAnsi="Times New Roman" w:eastAsia="仿宋_GB2312" w:cs="Times New Roman"/>
          <w:snapToGrid w:val="0"/>
          <w:kern w:val="0"/>
          <w:sz w:val="32"/>
          <w:szCs w:val="32"/>
        </w:rPr>
        <w:t>区域市场挂牌企业每家贷款额度不超过300万元，</w:t>
      </w:r>
      <w:r>
        <w:rPr>
          <w:rFonts w:hint="eastAsia" w:ascii="Times New Roman" w:hAnsi="Times New Roman" w:eastAsia="仿宋_GB2312" w:cs="Times New Roman"/>
          <w:snapToGrid w:val="0"/>
          <w:kern w:val="0"/>
          <w:sz w:val="32"/>
          <w:szCs w:val="32"/>
          <w:lang w:val="en-US" w:eastAsia="zh-CN"/>
        </w:rPr>
        <w:t>其他在我市注册的中小微企业</w:t>
      </w:r>
      <w:r>
        <w:rPr>
          <w:rFonts w:hint="eastAsia" w:ascii="Times New Roman" w:hAnsi="Times New Roman" w:eastAsia="仿宋_GB2312" w:cs="Times New Roman"/>
          <w:snapToGrid w:val="0"/>
          <w:kern w:val="0"/>
          <w:sz w:val="32"/>
          <w:szCs w:val="32"/>
        </w:rPr>
        <w:t>授信额不超过</w:t>
      </w:r>
      <w:r>
        <w:rPr>
          <w:rFonts w:ascii="Times New Roman" w:hAnsi="Times New Roman" w:eastAsia="仿宋_GB2312" w:cs="Times New Roman"/>
          <w:snapToGrid w:val="0"/>
          <w:kern w:val="0"/>
          <w:sz w:val="32"/>
          <w:szCs w:val="32"/>
        </w:rPr>
        <w:t>200</w:t>
      </w:r>
      <w:r>
        <w:rPr>
          <w:rFonts w:hint="eastAsia" w:ascii="Times New Roman" w:hAnsi="Times New Roman" w:eastAsia="仿宋_GB2312" w:cs="Times New Roman"/>
          <w:snapToGrid w:val="0"/>
          <w:kern w:val="0"/>
          <w:sz w:val="32"/>
          <w:szCs w:val="32"/>
        </w:rPr>
        <w:t>万元，期限不超过</w:t>
      </w:r>
      <w:r>
        <w:rPr>
          <w:rFonts w:ascii="Times New Roman" w:hAnsi="Times New Roman" w:eastAsia="仿宋_GB2312" w:cs="Times New Roman"/>
          <w:snapToGrid w:val="0"/>
          <w:kern w:val="0"/>
          <w:sz w:val="32"/>
          <w:szCs w:val="32"/>
        </w:rPr>
        <w:t>1</w:t>
      </w:r>
      <w:r>
        <w:rPr>
          <w:rFonts w:hint="eastAsia" w:ascii="Times New Roman" w:hAnsi="Times New Roman" w:eastAsia="仿宋_GB2312" w:cs="Times New Roman"/>
          <w:snapToGrid w:val="0"/>
          <w:kern w:val="0"/>
          <w:sz w:val="32"/>
          <w:szCs w:val="32"/>
        </w:rPr>
        <w:t>年，贷款利率不超过</w:t>
      </w:r>
      <w:r>
        <w:rPr>
          <w:rFonts w:hint="eastAsia" w:ascii="Times New Roman" w:hAnsi="Times New Roman" w:eastAsia="仿宋_GB2312" w:cs="Times New Roman"/>
          <w:snapToGrid w:val="0"/>
          <w:kern w:val="0"/>
          <w:sz w:val="32"/>
          <w:szCs w:val="32"/>
          <w:lang w:val="en-US" w:eastAsia="zh-CN"/>
        </w:rPr>
        <w:t>6.8</w:t>
      </w:r>
      <w:r>
        <w:rPr>
          <w:rFonts w:hint="eastAsia" w:ascii="Times New Roman" w:hAnsi="Times New Roman" w:eastAsia="仿宋_GB2312" w:cs="Times New Roman"/>
          <w:snapToGrid w:val="0"/>
          <w:kern w:val="0"/>
          <w:sz w:val="32"/>
          <w:szCs w:val="32"/>
        </w:rPr>
        <w:t>%，并随一年期</w:t>
      </w:r>
      <w:r>
        <w:rPr>
          <w:rFonts w:hint="eastAsia" w:ascii="Times New Roman" w:hAnsi="Times New Roman" w:eastAsia="仿宋_GB2312" w:cs="Times New Roman"/>
          <w:snapToGrid w:val="0"/>
          <w:kern w:val="0"/>
          <w:sz w:val="32"/>
          <w:szCs w:val="32"/>
          <w:lang w:val="en-US" w:eastAsia="zh-CN"/>
        </w:rPr>
        <w:t>市场报价利率（LPR</w:t>
      </w:r>
      <w:r>
        <w:rPr>
          <w:rFonts w:hint="eastAsia" w:ascii="Times New Roman" w:hAnsi="Times New Roman" w:eastAsia="仿宋_GB2312" w:cs="Times New Roman"/>
          <w:snapToGrid w:val="0"/>
          <w:kern w:val="0"/>
          <w:sz w:val="32"/>
          <w:szCs w:val="32"/>
        </w:rPr>
        <w:t>利率</w:t>
      </w:r>
      <w:r>
        <w:rPr>
          <w:rFonts w:hint="eastAsia" w:ascii="Times New Roman" w:hAnsi="Times New Roman" w:eastAsia="仿宋_GB2312" w:cs="Times New Roman"/>
          <w:snapToGrid w:val="0"/>
          <w:kern w:val="0"/>
          <w:sz w:val="32"/>
          <w:szCs w:val="32"/>
          <w:lang w:val="en-US" w:eastAsia="zh-CN"/>
        </w:rPr>
        <w:t>）</w:t>
      </w:r>
      <w:r>
        <w:rPr>
          <w:rFonts w:hint="eastAsia" w:ascii="Times New Roman" w:hAnsi="Times New Roman" w:eastAsia="仿宋_GB2312" w:cs="Times New Roman"/>
          <w:snapToGrid w:val="0"/>
          <w:kern w:val="0"/>
          <w:sz w:val="32"/>
          <w:szCs w:val="32"/>
        </w:rPr>
        <w:t>的变动同比例上下浮动。</w:t>
      </w:r>
    </w:p>
    <w:p>
      <w:pPr>
        <w:spacing w:line="58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第五条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本办法所称合作银行是指与乳山</w:t>
      </w:r>
      <w:r>
        <w:rPr>
          <w:rFonts w:hint="eastAsia" w:ascii="Times New Roman" w:hAnsi="Times New Roman" w:eastAsia="仿宋_GB2312" w:cs="Times New Roman"/>
          <w:snapToGrid w:val="0"/>
          <w:kern w:val="0"/>
          <w:sz w:val="32"/>
          <w:szCs w:val="32"/>
        </w:rPr>
        <w:t>市</w:t>
      </w:r>
      <w:r>
        <w:rPr>
          <w:rFonts w:hint="eastAsia" w:ascii="Times New Roman" w:hAnsi="Times New Roman" w:eastAsia="仿宋_GB2312" w:cs="Times New Roman"/>
          <w:snapToGrid w:val="0"/>
          <w:kern w:val="0"/>
          <w:sz w:val="32"/>
          <w:szCs w:val="32"/>
          <w:lang w:val="en-US" w:eastAsia="zh-CN"/>
        </w:rPr>
        <w:t>地方</w:t>
      </w:r>
      <w:r>
        <w:rPr>
          <w:rFonts w:hint="eastAsia" w:ascii="Times New Roman" w:hAnsi="Times New Roman" w:eastAsia="仿宋_GB2312" w:cs="Times New Roman"/>
          <w:snapToGrid w:val="0"/>
          <w:kern w:val="0"/>
          <w:sz w:val="32"/>
          <w:szCs w:val="32"/>
        </w:rPr>
        <w:t>金</w:t>
      </w:r>
      <w:r>
        <w:rPr>
          <w:rFonts w:hint="eastAsia" w:ascii="Times New Roman" w:hAnsi="Times New Roman" w:eastAsia="仿宋_GB2312" w:cs="Times New Roman"/>
          <w:color w:val="000000"/>
          <w:sz w:val="32"/>
          <w:szCs w:val="32"/>
        </w:rPr>
        <w:t>融服务中心签订</w:t>
      </w:r>
      <w:r>
        <w:rPr>
          <w:rFonts w:hint="eastAsia" w:ascii="Times New Roman" w:hAnsi="Times New Roman" w:eastAsia="仿宋_GB2312" w:cs="Times New Roman"/>
          <w:snapToGrid w:val="0"/>
          <w:kern w:val="0"/>
          <w:sz w:val="32"/>
          <w:szCs w:val="32"/>
        </w:rPr>
        <w:t>信用贷款业务</w:t>
      </w:r>
      <w:r>
        <w:rPr>
          <w:rFonts w:hint="eastAsia" w:ascii="Times New Roman" w:hAnsi="Times New Roman" w:eastAsia="仿宋_GB2312" w:cs="Times New Roman"/>
          <w:color w:val="000000"/>
          <w:sz w:val="32"/>
          <w:szCs w:val="32"/>
        </w:rPr>
        <w:t>合作协议的银行机构。</w:t>
      </w:r>
    </w:p>
    <w:p>
      <w:pPr>
        <w:spacing w:line="58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第六条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增信基金由市财政预算安排</w:t>
      </w:r>
      <w:r>
        <w:rPr>
          <w:rFonts w:hint="eastAsia" w:ascii="Times New Roman" w:hAnsi="Times New Roman" w:eastAsia="仿宋_GB2312" w:cs="Times New Roman"/>
          <w:color w:val="auto"/>
          <w:sz w:val="32"/>
          <w:szCs w:val="32"/>
        </w:rPr>
        <w:t>，并按运作流程及时拨入乳山市</w:t>
      </w:r>
      <w:r>
        <w:rPr>
          <w:rFonts w:hint="eastAsia" w:ascii="Times New Roman" w:hAnsi="Times New Roman" w:eastAsia="仿宋_GB2312" w:cs="Times New Roman"/>
          <w:color w:val="auto"/>
          <w:sz w:val="32"/>
          <w:szCs w:val="32"/>
          <w:lang w:val="en-US" w:eastAsia="zh-CN"/>
        </w:rPr>
        <w:t>地方</w:t>
      </w:r>
      <w:r>
        <w:rPr>
          <w:rFonts w:hint="eastAsia" w:ascii="Times New Roman" w:hAnsi="Times New Roman" w:eastAsia="仿宋_GB2312" w:cs="Times New Roman"/>
          <w:color w:val="auto"/>
          <w:sz w:val="32"/>
          <w:szCs w:val="32"/>
        </w:rPr>
        <w:t>金融服务中心在合作银行开设的专用账户，实行专</w:t>
      </w:r>
      <w:r>
        <w:rPr>
          <w:rFonts w:hint="eastAsia" w:ascii="Times New Roman" w:hAnsi="Times New Roman" w:eastAsia="仿宋_GB2312" w:cs="Times New Roman"/>
          <w:color w:val="000000"/>
          <w:sz w:val="32"/>
          <w:szCs w:val="32"/>
        </w:rPr>
        <w:t>款专用。</w:t>
      </w:r>
    </w:p>
    <w:p>
      <w:pPr>
        <w:spacing w:beforeLines="50" w:afterLines="50" w:line="580" w:lineRule="exact"/>
        <w:jc w:val="center"/>
        <w:rPr>
          <w:rFonts w:ascii="Times New Roman" w:hAnsi="Times New Roman" w:eastAsia="黑体" w:cs="Times New Roman"/>
          <w:color w:val="auto"/>
          <w:sz w:val="32"/>
          <w:szCs w:val="32"/>
        </w:rPr>
      </w:pPr>
      <w:r>
        <w:rPr>
          <w:rFonts w:hint="eastAsia" w:ascii="Times New Roman" w:hAnsi="Times New Roman" w:eastAsia="黑体" w:cs="Times New Roman"/>
          <w:color w:val="000000"/>
          <w:sz w:val="32"/>
          <w:szCs w:val="32"/>
        </w:rPr>
        <w:t>第二章</w:t>
      </w:r>
      <w:r>
        <w:rPr>
          <w:rFonts w:ascii="Times New Roman" w:hAnsi="Times New Roman" w:eastAsia="黑体" w:cs="Times New Roman"/>
          <w:color w:val="000000"/>
          <w:sz w:val="32"/>
          <w:szCs w:val="32"/>
        </w:rPr>
        <w:tab/>
      </w:r>
      <w:r>
        <w:rPr>
          <w:rFonts w:hint="eastAsia" w:ascii="Times New Roman" w:hAnsi="Times New Roman" w:eastAsia="黑体" w:cs="Times New Roman"/>
          <w:color w:val="000000"/>
          <w:sz w:val="32"/>
          <w:szCs w:val="32"/>
        </w:rPr>
        <w:t>管理机构及职责</w:t>
      </w:r>
    </w:p>
    <w:p>
      <w:pPr>
        <w:spacing w:line="580" w:lineRule="exact"/>
        <w:ind w:firstLine="643" w:firstLineChars="200"/>
        <w:rPr>
          <w:rFonts w:hint="eastAsia" w:ascii="Times New Roman" w:hAnsi="Times New Roman" w:eastAsia="仿宋_GB2312" w:cs="Times New Roman"/>
          <w:color w:val="FF0000"/>
          <w:sz w:val="32"/>
          <w:szCs w:val="32"/>
        </w:rPr>
      </w:pPr>
      <w:r>
        <w:rPr>
          <w:rFonts w:hint="eastAsia" w:ascii="Times New Roman" w:hAnsi="Times New Roman" w:eastAsia="仿宋_GB2312" w:cs="Times New Roman"/>
          <w:b/>
          <w:bCs/>
          <w:color w:val="000000"/>
          <w:sz w:val="32"/>
          <w:szCs w:val="32"/>
        </w:rPr>
        <w:t>第七条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建立乳山市增信基金管理联席会议制度，负责审查</w:t>
      </w:r>
      <w:r>
        <w:rPr>
          <w:rFonts w:hint="eastAsia" w:ascii="Times New Roman" w:hAnsi="Times New Roman" w:eastAsia="仿宋_GB2312" w:cs="Times New Roman"/>
          <w:color w:val="auto"/>
          <w:sz w:val="32"/>
          <w:szCs w:val="32"/>
          <w:highlight w:val="none"/>
        </w:rPr>
        <w:t>申请企业是否有违法、违规及失信等行为，协调解决与合作银行开展</w:t>
      </w:r>
      <w:r>
        <w:rPr>
          <w:rFonts w:hint="eastAsia" w:ascii="Times New Roman" w:hAnsi="Times New Roman" w:eastAsia="仿宋_GB2312" w:cs="Times New Roman"/>
          <w:color w:val="auto"/>
          <w:sz w:val="32"/>
          <w:szCs w:val="32"/>
          <w:highlight w:val="none"/>
          <w:lang w:eastAsia="zh-CN"/>
        </w:rPr>
        <w:t>中小微企业</w:t>
      </w:r>
      <w:r>
        <w:rPr>
          <w:rFonts w:hint="eastAsia" w:ascii="Times New Roman" w:hAnsi="Times New Roman" w:eastAsia="仿宋_GB2312" w:cs="Times New Roman"/>
          <w:color w:val="auto"/>
          <w:sz w:val="32"/>
          <w:szCs w:val="32"/>
          <w:highlight w:val="none"/>
        </w:rPr>
        <w:t>信用贷款业务发展遇到的重大问题。召集人由市</w:t>
      </w:r>
      <w:r>
        <w:rPr>
          <w:rFonts w:hint="eastAsia" w:ascii="Times New Roman" w:hAnsi="Times New Roman" w:eastAsia="仿宋_GB2312" w:cs="Times New Roman"/>
          <w:color w:val="auto"/>
          <w:sz w:val="32"/>
          <w:szCs w:val="32"/>
          <w:highlight w:val="none"/>
          <w:lang w:val="en-US" w:eastAsia="zh-CN"/>
        </w:rPr>
        <w:t>发改局局长</w:t>
      </w:r>
      <w:r>
        <w:rPr>
          <w:rFonts w:hint="eastAsia" w:ascii="Times New Roman" w:hAnsi="Times New Roman" w:eastAsia="仿宋_GB2312" w:cs="Times New Roman"/>
          <w:color w:val="auto"/>
          <w:sz w:val="32"/>
          <w:szCs w:val="32"/>
          <w:highlight w:val="none"/>
        </w:rPr>
        <w:t>担任，市财政局、</w:t>
      </w:r>
      <w:r>
        <w:rPr>
          <w:rFonts w:hint="eastAsia" w:ascii="Times New Roman" w:hAnsi="Times New Roman" w:eastAsia="仿宋_GB2312" w:cs="Times New Roman"/>
          <w:color w:val="auto"/>
          <w:sz w:val="32"/>
          <w:szCs w:val="32"/>
          <w:highlight w:val="none"/>
          <w:lang w:val="en-US" w:eastAsia="zh-CN"/>
        </w:rPr>
        <w:t>市税务局</w:t>
      </w:r>
      <w:r>
        <w:rPr>
          <w:rFonts w:hint="eastAsia" w:ascii="Times New Roman" w:hAnsi="Times New Roman" w:eastAsia="仿宋_GB2312" w:cs="Times New Roman"/>
          <w:color w:val="auto"/>
          <w:sz w:val="32"/>
          <w:szCs w:val="32"/>
          <w:highlight w:val="none"/>
        </w:rPr>
        <w:t>负责人为成员。其中，市</w:t>
      </w:r>
      <w:r>
        <w:rPr>
          <w:rFonts w:hint="eastAsia" w:ascii="Times New Roman" w:hAnsi="Times New Roman" w:eastAsia="仿宋_GB2312" w:cs="Times New Roman"/>
          <w:color w:val="auto"/>
          <w:sz w:val="32"/>
          <w:szCs w:val="32"/>
          <w:highlight w:val="none"/>
          <w:lang w:val="en-US" w:eastAsia="zh-CN"/>
        </w:rPr>
        <w:t>发改局</w:t>
      </w:r>
      <w:r>
        <w:rPr>
          <w:rFonts w:hint="eastAsia" w:ascii="Times New Roman" w:hAnsi="Times New Roman" w:eastAsia="仿宋_GB2312" w:cs="Times New Roman"/>
          <w:color w:val="auto"/>
          <w:sz w:val="32"/>
          <w:szCs w:val="32"/>
          <w:highlight w:val="none"/>
        </w:rPr>
        <w:t>负责通过市公共信用平台进行信用审核；市财政局负责审查企业是否存在政府债务等情况；市税务局负责审查是否有欠税</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rPr>
        <w:t>偷漏税</w:t>
      </w:r>
      <w:r>
        <w:rPr>
          <w:rFonts w:hint="eastAsia" w:ascii="Times New Roman" w:hAnsi="Times New Roman" w:eastAsia="仿宋_GB2312" w:cs="Times New Roman"/>
          <w:color w:val="auto"/>
          <w:sz w:val="32"/>
          <w:szCs w:val="32"/>
          <w:highlight w:val="none"/>
          <w:lang w:val="en-US" w:eastAsia="zh-CN"/>
        </w:rPr>
        <w:t>及欠交社保金</w:t>
      </w:r>
      <w:r>
        <w:rPr>
          <w:rFonts w:hint="eastAsia" w:ascii="Times New Roman" w:hAnsi="Times New Roman" w:eastAsia="仿宋_GB2312" w:cs="Times New Roman"/>
          <w:color w:val="auto"/>
          <w:sz w:val="32"/>
          <w:szCs w:val="32"/>
          <w:highlight w:val="none"/>
        </w:rPr>
        <w:t>行为。联席会议办公室设在市</w:t>
      </w:r>
      <w:r>
        <w:rPr>
          <w:rFonts w:hint="eastAsia" w:ascii="Times New Roman" w:hAnsi="Times New Roman" w:eastAsia="仿宋_GB2312" w:cs="Times New Roman"/>
          <w:color w:val="auto"/>
          <w:sz w:val="32"/>
          <w:szCs w:val="32"/>
          <w:highlight w:val="none"/>
          <w:lang w:val="en-US" w:eastAsia="zh-CN"/>
        </w:rPr>
        <w:t>发改局</w:t>
      </w:r>
      <w:r>
        <w:rPr>
          <w:rFonts w:hint="eastAsia" w:ascii="Times New Roman" w:hAnsi="Times New Roman" w:eastAsia="仿宋_GB2312" w:cs="Times New Roman"/>
          <w:color w:val="auto"/>
          <w:sz w:val="32"/>
          <w:szCs w:val="32"/>
          <w:highlight w:val="none"/>
        </w:rPr>
        <w:t>。</w:t>
      </w:r>
    </w:p>
    <w:p>
      <w:pPr>
        <w:spacing w:line="58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第八条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auto"/>
          <w:sz w:val="32"/>
          <w:szCs w:val="32"/>
        </w:rPr>
        <w:t>乳山市</w:t>
      </w:r>
      <w:r>
        <w:rPr>
          <w:rFonts w:hint="eastAsia" w:ascii="Times New Roman" w:hAnsi="Times New Roman" w:eastAsia="仿宋_GB2312" w:cs="Times New Roman"/>
          <w:color w:val="auto"/>
          <w:sz w:val="32"/>
          <w:szCs w:val="32"/>
          <w:lang w:val="en-US" w:eastAsia="zh-CN"/>
        </w:rPr>
        <w:t>发改局</w:t>
      </w:r>
      <w:r>
        <w:rPr>
          <w:rFonts w:hint="eastAsia" w:ascii="Times New Roman" w:hAnsi="Times New Roman" w:eastAsia="仿宋_GB2312" w:cs="Times New Roman"/>
          <w:color w:val="auto"/>
          <w:sz w:val="32"/>
          <w:szCs w:val="32"/>
        </w:rPr>
        <w:t>作为增信基金的管理机构，承担政府增信基金运作和风险补偿金管理职能，协调市政府与合作银行签订合作协议，开展绩效考核。</w:t>
      </w:r>
    </w:p>
    <w:p>
      <w:pPr>
        <w:spacing w:beforeLines="50" w:afterLines="50" w:line="580" w:lineRule="exact"/>
        <w:jc w:val="center"/>
        <w:rPr>
          <w:rFonts w:ascii="Times New Roman" w:hAnsi="Times New Roman" w:eastAsia="仿宋_GB2312" w:cs="Times New Roman"/>
          <w:color w:val="000000"/>
          <w:sz w:val="32"/>
          <w:szCs w:val="32"/>
        </w:rPr>
      </w:pPr>
      <w:r>
        <w:rPr>
          <w:rFonts w:hint="eastAsia" w:ascii="Times New Roman" w:hAnsi="Times New Roman" w:eastAsia="黑体" w:cs="Times New Roman"/>
          <w:color w:val="000000"/>
          <w:sz w:val="32"/>
          <w:szCs w:val="32"/>
        </w:rPr>
        <w:t>第三章</w:t>
      </w:r>
      <w:r>
        <w:rPr>
          <w:rFonts w:ascii="Times New Roman" w:hAnsi="Times New Roman" w:eastAsia="黑体" w:cs="Times New Roman"/>
          <w:color w:val="000000"/>
          <w:sz w:val="32"/>
          <w:szCs w:val="32"/>
        </w:rPr>
        <w:tab/>
      </w:r>
      <w:r>
        <w:rPr>
          <w:rFonts w:hint="eastAsia" w:ascii="Times New Roman" w:hAnsi="Times New Roman" w:eastAsia="黑体" w:cs="Times New Roman"/>
          <w:color w:val="000000"/>
          <w:sz w:val="32"/>
          <w:szCs w:val="32"/>
        </w:rPr>
        <w:t>运作程序</w:t>
      </w:r>
    </w:p>
    <w:p>
      <w:pPr>
        <w:spacing w:line="58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第九条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企业自主申请。在我市注册的</w:t>
      </w:r>
      <w:r>
        <w:rPr>
          <w:rFonts w:hint="eastAsia" w:ascii="Times New Roman" w:hAnsi="Times New Roman" w:eastAsia="仿宋_GB2312" w:cs="Times New Roman"/>
          <w:color w:val="000000"/>
          <w:sz w:val="32"/>
          <w:szCs w:val="32"/>
          <w:lang w:eastAsia="zh-CN"/>
        </w:rPr>
        <w:t>中小微企业</w:t>
      </w:r>
      <w:r>
        <w:rPr>
          <w:rFonts w:hint="eastAsia" w:ascii="Times New Roman" w:hAnsi="Times New Roman" w:eastAsia="仿宋_GB2312" w:cs="Times New Roman"/>
          <w:color w:val="000000"/>
          <w:sz w:val="32"/>
          <w:szCs w:val="32"/>
        </w:rPr>
        <w:t>，可在规定期限内向合作银行提出申请，并按要求提供相关材料。</w:t>
      </w:r>
    </w:p>
    <w:p>
      <w:pPr>
        <w:spacing w:line="58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第十条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合作银行审核。合作银行负责对拟贷款企业按纳税情况、银行业务结算量、出口订单、</w:t>
      </w:r>
      <w:r>
        <w:rPr>
          <w:rFonts w:ascii="Times New Roman" w:hAnsi="Times New Roman" w:eastAsia="仿宋_GB2312" w:cs="Times New Roman"/>
          <w:color w:val="000000"/>
          <w:sz w:val="32"/>
          <w:szCs w:val="32"/>
        </w:rPr>
        <w:t>POS</w:t>
      </w:r>
      <w:r>
        <w:rPr>
          <w:rFonts w:hint="eastAsia" w:ascii="Times New Roman" w:hAnsi="Times New Roman" w:eastAsia="仿宋_GB2312" w:cs="Times New Roman"/>
          <w:color w:val="000000"/>
          <w:sz w:val="32"/>
          <w:szCs w:val="32"/>
        </w:rPr>
        <w:t>机业务量等进行审核，筛选符合条件企业名单报增信基金联席会议办公室。</w:t>
      </w:r>
    </w:p>
    <w:p>
      <w:pPr>
        <w:spacing w:line="58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第十一条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联席审核。增信基金联席会议办公室负责将合作银行提报的企业名单及相关资料，提交联席会议或者以会签的方式进行审查。联席会议成员单位审查通过后，需将企业名单反馈给合作银行</w:t>
      </w:r>
      <w:r>
        <w:rPr>
          <w:rFonts w:hint="eastAsia" w:ascii="Times New Roman" w:hAnsi="Times New Roman" w:eastAsia="仿宋_GB2312" w:cs="Times New Roman"/>
          <w:snapToGrid w:val="0"/>
          <w:kern w:val="0"/>
          <w:sz w:val="32"/>
          <w:szCs w:val="32"/>
        </w:rPr>
        <w:t>。</w:t>
      </w:r>
    </w:p>
    <w:p>
      <w:pPr>
        <w:spacing w:line="58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第十二条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发放贷款。合作银行</w:t>
      </w:r>
      <w:r>
        <w:rPr>
          <w:rFonts w:hint="eastAsia" w:ascii="Times New Roman" w:hAnsi="Times New Roman" w:eastAsia="仿宋_GB2312" w:cs="Times New Roman"/>
          <w:snapToGrid w:val="0"/>
          <w:kern w:val="0"/>
          <w:sz w:val="32"/>
          <w:szCs w:val="32"/>
        </w:rPr>
        <w:t>按照授信业务审批规程及信贷审批授权权限进行业务审批并</w:t>
      </w:r>
      <w:r>
        <w:rPr>
          <w:rFonts w:hint="eastAsia" w:ascii="Times New Roman" w:hAnsi="Times New Roman" w:eastAsia="仿宋_GB2312" w:cs="Times New Roman"/>
          <w:color w:val="000000"/>
          <w:sz w:val="32"/>
          <w:szCs w:val="32"/>
        </w:rPr>
        <w:t>向企业发放贷款。合作银行向企业发放贷款后，及时将贷款合同及相关资料报送联席会议办公室备案。</w:t>
      </w:r>
    </w:p>
    <w:p>
      <w:pPr>
        <w:spacing w:line="58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第十三条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风险监控。合作银行建立信息通报机制，每月向联席会议办公室报送贷后管理情况；出现风险要及时报送贷款风险评估情况及处置建议。联席会议办公室定期向成员单位通报情况，对出现风险的</w:t>
      </w:r>
      <w:r>
        <w:rPr>
          <w:rFonts w:hint="eastAsia" w:ascii="Times New Roman" w:hAnsi="Times New Roman" w:eastAsia="仿宋_GB2312" w:cs="Times New Roman"/>
          <w:sz w:val="32"/>
          <w:szCs w:val="32"/>
        </w:rPr>
        <w:t>贷款企业</w:t>
      </w:r>
      <w:r>
        <w:rPr>
          <w:rFonts w:hint="eastAsia" w:ascii="Times New Roman" w:hAnsi="Times New Roman" w:eastAsia="仿宋_GB2312" w:cs="Times New Roman"/>
          <w:color w:val="000000"/>
          <w:sz w:val="32"/>
          <w:szCs w:val="32"/>
        </w:rPr>
        <w:t>提出处置方案集体研究决定。联席会议成员单位可根据自身掌握情况提出风险预警。</w:t>
      </w:r>
    </w:p>
    <w:p>
      <w:pPr>
        <w:spacing w:beforeLines="50" w:afterLines="50" w:line="580" w:lineRule="exact"/>
        <w:jc w:val="center"/>
        <w:rPr>
          <w:rFonts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第四章</w:t>
      </w:r>
      <w:r>
        <w:rPr>
          <w:rFonts w:ascii="Times New Roman" w:hAnsi="Times New Roman" w:eastAsia="黑体" w:cs="Times New Roman"/>
          <w:color w:val="000000"/>
          <w:sz w:val="32"/>
          <w:szCs w:val="32"/>
        </w:rPr>
        <w:t xml:space="preserve">  </w:t>
      </w:r>
      <w:r>
        <w:rPr>
          <w:rFonts w:hint="eastAsia" w:ascii="Times New Roman" w:hAnsi="Times New Roman" w:eastAsia="黑体" w:cs="Times New Roman"/>
          <w:color w:val="000000"/>
          <w:sz w:val="32"/>
          <w:szCs w:val="32"/>
        </w:rPr>
        <w:t>风险补偿</w:t>
      </w:r>
    </w:p>
    <w:p>
      <w:pPr>
        <w:spacing w:line="580" w:lineRule="exact"/>
        <w:ind w:firstLine="643" w:firstLineChars="200"/>
        <w:rPr>
          <w:rFonts w:ascii="Times New Roman" w:hAnsi="Times New Roman" w:eastAsia="仿宋_GB2312" w:cs="Times New Roman"/>
          <w:sz w:val="32"/>
          <w:szCs w:val="32"/>
        </w:rPr>
      </w:pPr>
      <w:r>
        <w:rPr>
          <w:rFonts w:hint="eastAsia" w:ascii="Times New Roman" w:hAnsi="Times New Roman" w:eastAsia="仿宋_GB2312" w:cs="Times New Roman"/>
          <w:b/>
          <w:bCs/>
          <w:color w:val="000000"/>
          <w:sz w:val="32"/>
          <w:szCs w:val="32"/>
        </w:rPr>
        <w:t>第十</w:t>
      </w:r>
      <w:r>
        <w:rPr>
          <w:rFonts w:hint="eastAsia" w:ascii="Times New Roman" w:hAnsi="Times New Roman" w:eastAsia="仿宋_GB2312" w:cs="Times New Roman"/>
          <w:b/>
          <w:bCs/>
          <w:color w:val="000000"/>
          <w:sz w:val="32"/>
          <w:szCs w:val="32"/>
          <w:lang w:val="en-US" w:eastAsia="zh-CN"/>
        </w:rPr>
        <w:t>四</w:t>
      </w:r>
      <w:r>
        <w:rPr>
          <w:rFonts w:hint="eastAsia" w:ascii="Times New Roman" w:hAnsi="Times New Roman" w:eastAsia="仿宋_GB2312" w:cs="Times New Roman"/>
          <w:b/>
          <w:bCs/>
          <w:color w:val="000000"/>
          <w:sz w:val="32"/>
          <w:szCs w:val="32"/>
        </w:rPr>
        <w:t>条</w:t>
      </w:r>
      <w:r>
        <w:rPr>
          <w:rFonts w:ascii="Times New Roman" w:hAnsi="Times New Roman" w:eastAsia="仿宋_GB2312" w:cs="Times New Roman"/>
          <w:b/>
          <w:bCs/>
          <w:color w:val="000000"/>
          <w:sz w:val="32"/>
          <w:szCs w:val="32"/>
        </w:rPr>
        <w:t xml:space="preserve">  </w:t>
      </w:r>
      <w:r>
        <w:rPr>
          <w:rFonts w:hint="eastAsia" w:ascii="Times New Roman" w:hAnsi="Times New Roman" w:eastAsia="仿宋_GB2312" w:cs="Times New Roman"/>
          <w:color w:val="auto"/>
          <w:sz w:val="32"/>
          <w:szCs w:val="32"/>
          <w:highlight w:val="none"/>
          <w:lang w:eastAsia="zh-CN"/>
        </w:rPr>
        <w:t>中小微企业</w:t>
      </w:r>
      <w:r>
        <w:rPr>
          <w:rFonts w:hint="eastAsia" w:ascii="Times New Roman" w:hAnsi="Times New Roman" w:eastAsia="仿宋_GB2312" w:cs="Times New Roman"/>
          <w:color w:val="auto"/>
          <w:sz w:val="32"/>
          <w:szCs w:val="32"/>
          <w:highlight w:val="none"/>
        </w:rPr>
        <w:t>信用贷款逾期</w:t>
      </w:r>
      <w:r>
        <w:rPr>
          <w:rFonts w:ascii="Times New Roman" w:hAnsi="Times New Roman" w:eastAsia="仿宋_GB2312" w:cs="Times New Roman"/>
          <w:color w:val="auto"/>
          <w:sz w:val="32"/>
          <w:szCs w:val="32"/>
          <w:highlight w:val="none"/>
        </w:rPr>
        <w:t>30</w:t>
      </w:r>
      <w:r>
        <w:rPr>
          <w:rFonts w:hint="eastAsia" w:ascii="Times New Roman" w:hAnsi="Times New Roman" w:eastAsia="仿宋_GB2312" w:cs="Times New Roman"/>
          <w:color w:val="auto"/>
          <w:sz w:val="32"/>
          <w:szCs w:val="32"/>
          <w:highlight w:val="none"/>
        </w:rPr>
        <w:t>天以上的，合</w:t>
      </w:r>
      <w:r>
        <w:rPr>
          <w:rFonts w:hint="eastAsia" w:ascii="Times New Roman" w:hAnsi="Times New Roman" w:eastAsia="仿宋_GB2312" w:cs="Times New Roman"/>
          <w:sz w:val="32"/>
          <w:szCs w:val="32"/>
        </w:rPr>
        <w:t>作银行需报告联席会议办公室，同时启动债务追索程序。联席会议办公室接到报告后，及时协调相关部门配合合作银行进行债务追索。</w:t>
      </w:r>
    </w:p>
    <w:p>
      <w:pPr>
        <w:spacing w:line="58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第十</w:t>
      </w:r>
      <w:r>
        <w:rPr>
          <w:rFonts w:hint="eastAsia" w:ascii="Times New Roman" w:hAnsi="Times New Roman" w:eastAsia="仿宋_GB2312" w:cs="Times New Roman"/>
          <w:b/>
          <w:bCs/>
          <w:color w:val="000000"/>
          <w:sz w:val="32"/>
          <w:szCs w:val="32"/>
          <w:lang w:val="en-US" w:eastAsia="zh-CN"/>
        </w:rPr>
        <w:t>五</w:t>
      </w:r>
      <w:r>
        <w:rPr>
          <w:rFonts w:hint="eastAsia" w:ascii="Times New Roman" w:hAnsi="Times New Roman" w:eastAsia="仿宋_GB2312" w:cs="Times New Roman"/>
          <w:b/>
          <w:bCs/>
          <w:color w:val="000000"/>
          <w:sz w:val="32"/>
          <w:szCs w:val="32"/>
        </w:rPr>
        <w:t>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合作银行债务追索司法程序结束后，仍不能弥补其本金损失的，向联席会提出补偿申请，联席会议成员单位审查通过后由增信基金与合作银行按各自</w:t>
      </w:r>
      <w:r>
        <w:rPr>
          <w:rFonts w:ascii="Times New Roman" w:hAnsi="Times New Roman" w:eastAsia="仿宋_GB2312" w:cs="Times New Roman"/>
          <w:color w:val="000000"/>
          <w:sz w:val="32"/>
          <w:szCs w:val="32"/>
        </w:rPr>
        <w:t>50%</w:t>
      </w:r>
      <w:r>
        <w:rPr>
          <w:rFonts w:hint="eastAsia" w:ascii="Times New Roman" w:hAnsi="Times New Roman" w:eastAsia="仿宋_GB2312" w:cs="Times New Roman"/>
          <w:color w:val="000000"/>
          <w:sz w:val="32"/>
          <w:szCs w:val="32"/>
        </w:rPr>
        <w:t>的比例分摊，</w:t>
      </w:r>
      <w:r>
        <w:rPr>
          <w:rFonts w:hint="eastAsia" w:ascii="Times New Roman" w:hAnsi="Times New Roman" w:eastAsia="仿宋_GB2312" w:cs="Times New Roman"/>
          <w:sz w:val="32"/>
          <w:szCs w:val="32"/>
        </w:rPr>
        <w:t>其中，政府风险补偿部分以存入合作银行的增信基金余额为限。</w:t>
      </w:r>
    </w:p>
    <w:p>
      <w:pPr>
        <w:spacing w:line="580" w:lineRule="exac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 xml:space="preserve">    </w:t>
      </w:r>
      <w:r>
        <w:rPr>
          <w:rFonts w:hint="eastAsia" w:ascii="Times New Roman" w:hAnsi="Times New Roman" w:eastAsia="仿宋_GB2312" w:cs="Times New Roman"/>
          <w:b/>
          <w:bCs/>
          <w:color w:val="000000"/>
          <w:sz w:val="32"/>
          <w:szCs w:val="32"/>
        </w:rPr>
        <w:t>第十</w:t>
      </w:r>
      <w:r>
        <w:rPr>
          <w:rFonts w:hint="eastAsia" w:ascii="Times New Roman" w:hAnsi="Times New Roman" w:eastAsia="仿宋_GB2312" w:cs="Times New Roman"/>
          <w:b/>
          <w:bCs/>
          <w:color w:val="000000"/>
          <w:sz w:val="32"/>
          <w:szCs w:val="32"/>
          <w:lang w:val="en-US" w:eastAsia="zh-CN"/>
        </w:rPr>
        <w:t>六</w:t>
      </w:r>
      <w:r>
        <w:rPr>
          <w:rFonts w:hint="eastAsia" w:ascii="Times New Roman" w:hAnsi="Times New Roman" w:eastAsia="仿宋_GB2312" w:cs="Times New Roman"/>
          <w:b/>
          <w:bCs/>
          <w:color w:val="000000"/>
          <w:sz w:val="32"/>
          <w:szCs w:val="32"/>
        </w:rPr>
        <w:t>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政府风险补偿的范围仅限于合作银行对联席会议审查通过的</w:t>
      </w:r>
      <w:r>
        <w:rPr>
          <w:rFonts w:hint="eastAsia" w:ascii="Times New Roman" w:hAnsi="Times New Roman" w:eastAsia="仿宋_GB2312" w:cs="Times New Roman"/>
          <w:color w:val="000000"/>
          <w:sz w:val="32"/>
          <w:szCs w:val="32"/>
          <w:lang w:eastAsia="zh-CN"/>
        </w:rPr>
        <w:t>中小微企业</w:t>
      </w:r>
      <w:r>
        <w:rPr>
          <w:rFonts w:hint="eastAsia" w:ascii="Times New Roman" w:hAnsi="Times New Roman" w:eastAsia="仿宋_GB2312" w:cs="Times New Roman"/>
          <w:color w:val="000000"/>
          <w:sz w:val="32"/>
          <w:szCs w:val="32"/>
        </w:rPr>
        <w:t>信用贷款。合作银行发放的其他贷款、票据融资及</w:t>
      </w:r>
      <w:r>
        <w:rPr>
          <w:rFonts w:hint="eastAsia" w:ascii="Times New Roman" w:hAnsi="Times New Roman" w:eastAsia="仿宋_GB2312" w:cs="Times New Roman"/>
          <w:sz w:val="32"/>
          <w:szCs w:val="32"/>
        </w:rPr>
        <w:t>逾期贷款利息、复利和</w:t>
      </w:r>
      <w:r>
        <w:rPr>
          <w:rFonts w:hint="eastAsia" w:ascii="Times New Roman" w:hAnsi="Times New Roman" w:eastAsia="仿宋_GB2312" w:cs="Times New Roman"/>
          <w:color w:val="000000"/>
          <w:sz w:val="32"/>
          <w:szCs w:val="32"/>
        </w:rPr>
        <w:t>罚息及</w:t>
      </w:r>
      <w:r>
        <w:rPr>
          <w:rFonts w:hint="eastAsia" w:ascii="Times New Roman" w:hAnsi="Times New Roman" w:eastAsia="仿宋_GB2312" w:cs="Times New Roman"/>
          <w:snapToGrid w:val="0"/>
          <w:kern w:val="0"/>
          <w:sz w:val="32"/>
          <w:szCs w:val="32"/>
        </w:rPr>
        <w:t>合作银行对联席会议未审核通过的企业进行放款，风险由合作银行自行承担，</w:t>
      </w:r>
      <w:r>
        <w:rPr>
          <w:rFonts w:hint="eastAsia" w:ascii="Times New Roman" w:hAnsi="Times New Roman" w:eastAsia="仿宋_GB2312" w:cs="Times New Roman"/>
          <w:sz w:val="32"/>
          <w:szCs w:val="32"/>
        </w:rPr>
        <w:t>不在政府风险补偿范围。</w:t>
      </w:r>
    </w:p>
    <w:p>
      <w:pPr>
        <w:spacing w:beforeLines="50" w:afterLines="50" w:line="580" w:lineRule="exact"/>
        <w:jc w:val="center"/>
        <w:rPr>
          <w:rFonts w:ascii="Times New Roman" w:hAnsi="Times New Roman" w:eastAsia="仿宋_GB2312" w:cs="Times New Roman"/>
          <w:color w:val="000000"/>
          <w:sz w:val="32"/>
          <w:szCs w:val="32"/>
        </w:rPr>
      </w:pPr>
      <w:r>
        <w:rPr>
          <w:rFonts w:hint="eastAsia" w:ascii="Times New Roman" w:hAnsi="Times New Roman" w:eastAsia="黑体" w:cs="Times New Roman"/>
          <w:color w:val="000000"/>
          <w:sz w:val="32"/>
          <w:szCs w:val="32"/>
        </w:rPr>
        <w:t>第五章</w:t>
      </w:r>
      <w:r>
        <w:rPr>
          <w:rFonts w:ascii="Times New Roman" w:hAnsi="Times New Roman" w:eastAsia="黑体" w:cs="Times New Roman"/>
          <w:color w:val="000000"/>
          <w:sz w:val="32"/>
          <w:szCs w:val="32"/>
        </w:rPr>
        <w:t xml:space="preserve">  </w:t>
      </w:r>
      <w:r>
        <w:rPr>
          <w:rFonts w:hint="eastAsia" w:ascii="Times New Roman" w:hAnsi="Times New Roman" w:eastAsia="黑体" w:cs="Times New Roman"/>
          <w:color w:val="000000"/>
          <w:sz w:val="32"/>
          <w:szCs w:val="32"/>
        </w:rPr>
        <w:t>附</w:t>
      </w:r>
      <w:r>
        <w:rPr>
          <w:rFonts w:ascii="Times New Roman" w:hAnsi="Times New Roman" w:eastAsia="黑体" w:cs="Times New Roman"/>
          <w:color w:val="000000"/>
          <w:sz w:val="32"/>
          <w:szCs w:val="32"/>
        </w:rPr>
        <w:t xml:space="preserve">  </w:t>
      </w:r>
      <w:r>
        <w:rPr>
          <w:rFonts w:hint="eastAsia" w:ascii="Times New Roman" w:hAnsi="Times New Roman" w:eastAsia="黑体" w:cs="Times New Roman"/>
          <w:color w:val="000000"/>
          <w:sz w:val="32"/>
          <w:szCs w:val="32"/>
        </w:rPr>
        <w:t>则</w:t>
      </w:r>
    </w:p>
    <w:p>
      <w:pPr>
        <w:spacing w:line="58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第十</w:t>
      </w:r>
      <w:r>
        <w:rPr>
          <w:rFonts w:hint="eastAsia" w:ascii="Times New Roman" w:hAnsi="Times New Roman" w:eastAsia="仿宋_GB2312" w:cs="Times New Roman"/>
          <w:b/>
          <w:bCs/>
          <w:color w:val="000000"/>
          <w:sz w:val="32"/>
          <w:szCs w:val="32"/>
          <w:lang w:val="en-US" w:eastAsia="zh-CN"/>
        </w:rPr>
        <w:t>七</w:t>
      </w:r>
      <w:r>
        <w:rPr>
          <w:rFonts w:hint="eastAsia" w:ascii="Times New Roman" w:hAnsi="Times New Roman" w:eastAsia="仿宋_GB2312" w:cs="Times New Roman"/>
          <w:b/>
          <w:bCs/>
          <w:color w:val="000000"/>
          <w:sz w:val="32"/>
          <w:szCs w:val="32"/>
        </w:rPr>
        <w:t>条</w:t>
      </w:r>
      <w:r>
        <w:rPr>
          <w:rFonts w:ascii="Times New Roman" w:hAnsi="Times New Roman" w:eastAsia="仿宋_GB2312" w:cs="Times New Roman"/>
          <w:b/>
          <w:bCs/>
          <w:color w:val="000000"/>
          <w:sz w:val="32"/>
          <w:szCs w:val="32"/>
        </w:rPr>
        <w:t xml:space="preserve">  </w:t>
      </w:r>
      <w:r>
        <w:rPr>
          <w:rFonts w:hint="eastAsia" w:ascii="Times New Roman" w:hAnsi="Times New Roman" w:eastAsia="仿宋_GB2312" w:cs="Times New Roman"/>
          <w:color w:val="000000"/>
          <w:sz w:val="32"/>
          <w:szCs w:val="32"/>
          <w:lang w:eastAsia="zh-CN"/>
        </w:rPr>
        <w:t>中小微企业</w:t>
      </w:r>
      <w:r>
        <w:rPr>
          <w:rFonts w:hint="eastAsia" w:ascii="Times New Roman" w:hAnsi="Times New Roman" w:eastAsia="仿宋_GB2312" w:cs="Times New Roman"/>
          <w:color w:val="000000"/>
          <w:sz w:val="32"/>
          <w:szCs w:val="32"/>
        </w:rPr>
        <w:t>信用贷款申报、审核以及增信基金的申请、审核、拨付程序等有关操作规程另行制定。</w:t>
      </w:r>
    </w:p>
    <w:p>
      <w:pPr>
        <w:spacing w:line="580" w:lineRule="exact"/>
        <w:ind w:firstLine="643" w:firstLineChars="200"/>
        <w:rPr>
          <w:rFonts w:hint="default"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b/>
          <w:bCs/>
          <w:color w:val="000000"/>
          <w:sz w:val="32"/>
          <w:szCs w:val="32"/>
        </w:rPr>
        <w:t>第十</w:t>
      </w:r>
      <w:r>
        <w:rPr>
          <w:rFonts w:hint="eastAsia" w:ascii="Times New Roman" w:hAnsi="Times New Roman" w:eastAsia="仿宋_GB2312" w:cs="Times New Roman"/>
          <w:b/>
          <w:bCs/>
          <w:color w:val="000000"/>
          <w:sz w:val="32"/>
          <w:szCs w:val="32"/>
          <w:lang w:val="en-US" w:eastAsia="zh-CN"/>
        </w:rPr>
        <w:t>八</w:t>
      </w:r>
      <w:r>
        <w:rPr>
          <w:rFonts w:hint="eastAsia" w:ascii="Times New Roman" w:hAnsi="Times New Roman" w:eastAsia="仿宋_GB2312" w:cs="Times New Roman"/>
          <w:b/>
          <w:bCs/>
          <w:color w:val="000000"/>
          <w:sz w:val="32"/>
          <w:szCs w:val="32"/>
        </w:rPr>
        <w:t>条</w:t>
      </w:r>
      <w:r>
        <w:rPr>
          <w:rFonts w:ascii="Times New Roman" w:hAnsi="Times New Roman" w:eastAsia="仿宋_GB2312" w:cs="Times New Roman"/>
          <w:color w:val="000000"/>
          <w:sz w:val="32"/>
          <w:szCs w:val="32"/>
        </w:rPr>
        <w:t xml:space="preserve">  </w:t>
      </w:r>
      <w:r>
        <w:rPr>
          <w:rFonts w:hint="eastAsia" w:ascii="Times New Roman" w:hAnsi="Times New Roman" w:eastAsia="仿宋_GB2312" w:cs="Times New Roman"/>
          <w:color w:val="000000"/>
          <w:sz w:val="32"/>
          <w:szCs w:val="32"/>
        </w:rPr>
        <w:t>本办法自发布之日起施行</w:t>
      </w:r>
      <w:r>
        <w:rPr>
          <w:rFonts w:hint="eastAsia" w:ascii="Times New Roman" w:hAnsi="Times New Roman" w:eastAsia="仿宋_GB2312" w:cs="Times New Roman"/>
          <w:color w:val="000000"/>
          <w:sz w:val="32"/>
          <w:szCs w:val="32"/>
          <w:lang w:eastAsia="zh-CN"/>
        </w:rPr>
        <w:t>，</w:t>
      </w:r>
      <w:r>
        <w:rPr>
          <w:rFonts w:hint="eastAsia" w:ascii="Times New Roman" w:hAnsi="Times New Roman" w:eastAsia="仿宋_GB2312" w:cs="Times New Roman"/>
          <w:color w:val="000000"/>
          <w:sz w:val="32"/>
          <w:szCs w:val="32"/>
          <w:lang w:val="en-US" w:eastAsia="zh-CN"/>
        </w:rPr>
        <w:t>必要时</w:t>
      </w:r>
      <w:r>
        <w:rPr>
          <w:rFonts w:hint="eastAsia" w:ascii="Times New Roman" w:hAnsi="Times New Roman" w:eastAsia="仿宋_GB2312" w:cs="Times New Roman"/>
          <w:color w:val="000000"/>
          <w:sz w:val="32"/>
          <w:szCs w:val="32"/>
        </w:rPr>
        <w:t>根据上级有关政策和经济发展需要进行调整</w:t>
      </w:r>
      <w:r>
        <w:rPr>
          <w:rFonts w:hint="eastAsia" w:ascii="Times New Roman" w:hAnsi="Times New Roman" w:eastAsia="仿宋_GB2312" w:cs="Times New Roman"/>
          <w:color w:val="000000"/>
          <w:sz w:val="32"/>
          <w:szCs w:val="32"/>
          <w:lang w:eastAsia="zh-CN"/>
        </w:rPr>
        <w:t>，《</w:t>
      </w:r>
      <w:r>
        <w:rPr>
          <w:rFonts w:hint="eastAsia" w:ascii="Times New Roman" w:hAnsi="Times New Roman" w:eastAsia="仿宋_GB2312" w:cs="Times New Roman"/>
          <w:color w:val="000000"/>
          <w:sz w:val="32"/>
          <w:szCs w:val="32"/>
          <w:lang w:val="en-US" w:eastAsia="zh-CN"/>
        </w:rPr>
        <w:t>乳山市资本市场缓释基金管理办法</w:t>
      </w:r>
      <w:r>
        <w:rPr>
          <w:rFonts w:hint="eastAsia" w:ascii="Times New Roman" w:hAnsi="Times New Roman" w:eastAsia="仿宋_GB2312" w:cs="Times New Roman"/>
          <w:color w:val="000000"/>
          <w:sz w:val="32"/>
          <w:szCs w:val="32"/>
          <w:lang w:eastAsia="zh-CN"/>
        </w:rPr>
        <w:t>》（乳政办发〔2019〕5号）</w:t>
      </w:r>
      <w:r>
        <w:rPr>
          <w:rFonts w:hint="eastAsia" w:ascii="Times New Roman" w:hAnsi="Times New Roman" w:eastAsia="仿宋_GB2312" w:cs="Times New Roman"/>
          <w:color w:val="000000"/>
          <w:sz w:val="32"/>
          <w:szCs w:val="32"/>
          <w:lang w:val="en-US" w:eastAsia="zh-CN"/>
        </w:rPr>
        <w:t>同时废止。</w:t>
      </w:r>
    </w:p>
    <w:p>
      <w:pPr>
        <w:spacing w:line="580" w:lineRule="exact"/>
        <w:ind w:firstLine="640" w:firstLineChars="200"/>
        <w:rPr>
          <w:rFonts w:ascii="Times New Roman" w:hAnsi="Times New Roman" w:eastAsia="仿宋_GB2312" w:cs="Times New Roman"/>
          <w:color w:val="000000"/>
          <w:sz w:val="32"/>
          <w:szCs w:val="32"/>
        </w:rPr>
      </w:pPr>
    </w:p>
    <w:p>
      <w:pPr>
        <w:spacing w:line="580" w:lineRule="exact"/>
        <w:ind w:firstLine="640"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rPr>
        <w:t>附件：</w:t>
      </w:r>
      <w:r>
        <w:rPr>
          <w:rFonts w:ascii="Times New Roman" w:hAnsi="Times New Roman" w:eastAsia="仿宋_GB2312" w:cs="Times New Roman"/>
          <w:color w:val="000000"/>
          <w:sz w:val="32"/>
          <w:szCs w:val="32"/>
        </w:rPr>
        <w:t>1.</w:t>
      </w:r>
      <w:r>
        <w:rPr>
          <w:rFonts w:hint="eastAsia" w:ascii="Times New Roman" w:hAnsi="Times New Roman" w:eastAsia="仿宋_GB2312" w:cs="Times New Roman"/>
          <w:color w:val="000000"/>
          <w:sz w:val="32"/>
          <w:szCs w:val="32"/>
        </w:rPr>
        <w:t>乳山市</w:t>
      </w:r>
      <w:r>
        <w:rPr>
          <w:rFonts w:hint="eastAsia" w:ascii="Times New Roman" w:hAnsi="Times New Roman" w:eastAsia="仿宋_GB2312" w:cs="Times New Roman"/>
          <w:color w:val="000000"/>
          <w:sz w:val="32"/>
          <w:szCs w:val="32"/>
          <w:lang w:eastAsia="zh-CN"/>
        </w:rPr>
        <w:t>中小微企业</w:t>
      </w:r>
      <w:r>
        <w:rPr>
          <w:rFonts w:hint="eastAsia" w:ascii="Times New Roman" w:hAnsi="Times New Roman" w:eastAsia="仿宋_GB2312" w:cs="Times New Roman"/>
          <w:color w:val="000000"/>
          <w:sz w:val="32"/>
          <w:szCs w:val="32"/>
        </w:rPr>
        <w:t>增信基金联席会议制度</w:t>
      </w:r>
    </w:p>
    <w:p>
      <w:pPr>
        <w:spacing w:line="580" w:lineRule="exact"/>
        <w:ind w:left="1916" w:leftChars="760" w:hanging="320" w:hangingChars="1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w:t>
      </w:r>
      <w:r>
        <w:rPr>
          <w:rFonts w:hint="eastAsia" w:ascii="Times New Roman" w:hAnsi="Times New Roman" w:eastAsia="仿宋_GB2312" w:cs="Times New Roman"/>
          <w:color w:val="000000"/>
          <w:sz w:val="32"/>
          <w:szCs w:val="32"/>
        </w:rPr>
        <w:t>乳山市</w:t>
      </w:r>
      <w:r>
        <w:rPr>
          <w:rFonts w:hint="eastAsia" w:ascii="Times New Roman" w:hAnsi="Times New Roman" w:eastAsia="仿宋_GB2312" w:cs="Times New Roman"/>
          <w:color w:val="000000"/>
          <w:sz w:val="32"/>
          <w:szCs w:val="32"/>
          <w:lang w:eastAsia="zh-CN"/>
        </w:rPr>
        <w:t>中小微企业</w:t>
      </w:r>
      <w:r>
        <w:rPr>
          <w:rFonts w:hint="eastAsia" w:ascii="Times New Roman" w:hAnsi="Times New Roman" w:eastAsia="仿宋_GB2312" w:cs="Times New Roman"/>
          <w:color w:val="000000"/>
          <w:sz w:val="32"/>
          <w:szCs w:val="32"/>
        </w:rPr>
        <w:t>增信基金联席会议组成人员名单</w:t>
      </w:r>
    </w:p>
    <w:p>
      <w:pPr>
        <w:spacing w:line="580" w:lineRule="exact"/>
        <w:jc w:val="center"/>
        <w:rPr>
          <w:rFonts w:ascii="Times New Roman" w:hAnsi="Times New Roman" w:eastAsia="仿宋_GB2312" w:cs="Times New Roman"/>
          <w:color w:val="000000"/>
          <w:sz w:val="32"/>
          <w:szCs w:val="32"/>
        </w:rPr>
      </w:pPr>
    </w:p>
    <w:p>
      <w:pPr>
        <w:spacing w:line="580" w:lineRule="exact"/>
        <w:jc w:val="center"/>
        <w:rPr>
          <w:rFonts w:ascii="Times New Roman" w:hAnsi="Times New Roman" w:eastAsia="仿宋_GB2312" w:cs="Times New Roman"/>
          <w:color w:val="000000"/>
          <w:sz w:val="32"/>
          <w:szCs w:val="32"/>
        </w:rPr>
      </w:pPr>
    </w:p>
    <w:p>
      <w:pPr>
        <w:spacing w:line="580" w:lineRule="exact"/>
        <w:jc w:val="both"/>
        <w:rPr>
          <w:rFonts w:hint="eastAsia" w:ascii="黑体" w:hAnsi="Times New Roman" w:eastAsia="黑体" w:cs="仿宋_GB2312"/>
          <w:sz w:val="32"/>
          <w:szCs w:val="32"/>
        </w:rPr>
      </w:pPr>
      <w:r>
        <w:rPr>
          <w:rFonts w:ascii="Times New Roman" w:hAnsi="Times New Roman" w:eastAsia="仿宋_GB2312" w:cs="Times New Roman"/>
          <w:color w:val="000000"/>
          <w:sz w:val="32"/>
          <w:szCs w:val="32"/>
        </w:rPr>
        <w:t xml:space="preserve">  </w:t>
      </w:r>
    </w:p>
    <w:p>
      <w:pPr>
        <w:spacing w:line="580" w:lineRule="exact"/>
        <w:rPr>
          <w:rFonts w:ascii="Times New Roman" w:hAnsi="Times New Roman" w:eastAsia="仿宋_GB2312" w:cs="仿宋_GB2312"/>
          <w:sz w:val="32"/>
          <w:szCs w:val="32"/>
        </w:rPr>
      </w:pPr>
      <w:r>
        <w:rPr>
          <w:rFonts w:hint="eastAsia" w:ascii="黑体" w:hAnsi="Times New Roman" w:eastAsia="黑体" w:cs="仿宋_GB2312"/>
          <w:sz w:val="32"/>
          <w:szCs w:val="32"/>
        </w:rPr>
        <w:t>附件</w:t>
      </w:r>
      <w:r>
        <w:rPr>
          <w:rFonts w:ascii="Times New Roman" w:hAnsi="Times New Roman" w:eastAsia="仿宋_GB2312" w:cs="仿宋_GB2312"/>
          <w:sz w:val="32"/>
          <w:szCs w:val="32"/>
        </w:rPr>
        <w:t>1</w:t>
      </w:r>
    </w:p>
    <w:p>
      <w:pPr>
        <w:spacing w:line="580" w:lineRule="exact"/>
        <w:rPr>
          <w:rFonts w:ascii="Times New Roman" w:hAnsi="Times New Roman" w:cs="Times New Roman"/>
        </w:rPr>
      </w:pPr>
    </w:p>
    <w:p>
      <w:pPr>
        <w:spacing w:line="580" w:lineRule="exact"/>
        <w:jc w:val="center"/>
        <w:rPr>
          <w:rFonts w:ascii="Times New Roman" w:hAnsi="Times New Roman" w:eastAsia="方正小标宋简体" w:cs="Times New Roman"/>
          <w:kern w:val="0"/>
          <w:sz w:val="44"/>
          <w:szCs w:val="44"/>
        </w:rPr>
      </w:pPr>
      <w:r>
        <w:rPr>
          <w:rFonts w:hint="eastAsia" w:ascii="Times New Roman" w:hAnsi="Times New Roman" w:eastAsia="方正小标宋简体" w:cs="Times New Roman"/>
          <w:sz w:val="44"/>
          <w:szCs w:val="44"/>
        </w:rPr>
        <w:t>乳山市</w:t>
      </w:r>
      <w:r>
        <w:rPr>
          <w:rFonts w:hint="eastAsia" w:ascii="Times New Roman" w:hAnsi="Times New Roman" w:eastAsia="方正小标宋简体" w:cs="Times New Roman"/>
          <w:sz w:val="44"/>
          <w:szCs w:val="44"/>
          <w:lang w:eastAsia="zh-CN"/>
        </w:rPr>
        <w:t>中小微企业</w:t>
      </w:r>
      <w:r>
        <w:rPr>
          <w:rFonts w:hint="eastAsia" w:ascii="Times New Roman" w:hAnsi="Times New Roman" w:eastAsia="方正小标宋简体" w:cs="Times New Roman"/>
          <w:sz w:val="44"/>
          <w:szCs w:val="44"/>
        </w:rPr>
        <w:t>增信基金联席</w:t>
      </w:r>
      <w:r>
        <w:rPr>
          <w:rFonts w:hint="eastAsia" w:ascii="Times New Roman" w:hAnsi="Times New Roman" w:eastAsia="方正小标宋简体" w:cs="Times New Roman"/>
          <w:kern w:val="0"/>
          <w:sz w:val="44"/>
          <w:szCs w:val="44"/>
        </w:rPr>
        <w:t>会议制度</w:t>
      </w:r>
    </w:p>
    <w:p>
      <w:pPr>
        <w:autoSpaceDE w:val="0"/>
        <w:autoSpaceDN w:val="0"/>
        <w:adjustRightInd w:val="0"/>
        <w:spacing w:line="580" w:lineRule="exact"/>
        <w:rPr>
          <w:rFonts w:ascii="Times New Roman" w:hAnsi="Times New Roman" w:eastAsia="楷体_GB2312" w:cs="Times New Roman"/>
          <w:kern w:val="0"/>
          <w:sz w:val="32"/>
          <w:szCs w:val="32"/>
        </w:rPr>
      </w:pPr>
    </w:p>
    <w:p>
      <w:pPr>
        <w:autoSpaceDE w:val="0"/>
        <w:autoSpaceDN w:val="0"/>
        <w:adjustRightInd w:val="0"/>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黑体" w:cs="Times New Roman"/>
          <w:kern w:val="0"/>
          <w:sz w:val="32"/>
          <w:szCs w:val="32"/>
        </w:rPr>
        <w:t>第一条</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为规避</w:t>
      </w:r>
      <w:r>
        <w:rPr>
          <w:rFonts w:hint="eastAsia" w:ascii="Times New Roman" w:hAnsi="Times New Roman" w:eastAsia="仿宋_GB2312" w:cs="Times New Roman"/>
          <w:kern w:val="0"/>
          <w:sz w:val="32"/>
          <w:szCs w:val="32"/>
          <w:lang w:eastAsia="zh-CN"/>
        </w:rPr>
        <w:t>中小微企业</w:t>
      </w:r>
      <w:r>
        <w:rPr>
          <w:rFonts w:hint="eastAsia" w:ascii="Times New Roman" w:hAnsi="Times New Roman" w:eastAsia="仿宋_GB2312" w:cs="Times New Roman"/>
          <w:kern w:val="0"/>
          <w:sz w:val="32"/>
          <w:szCs w:val="32"/>
        </w:rPr>
        <w:t>增信基金信用贷款业务风险，掌握</w:t>
      </w:r>
      <w:r>
        <w:rPr>
          <w:rFonts w:hint="eastAsia" w:ascii="Times New Roman" w:hAnsi="Times New Roman" w:eastAsia="仿宋_GB2312" w:cs="Times New Roman"/>
          <w:color w:val="000000"/>
          <w:kern w:val="0"/>
          <w:sz w:val="32"/>
          <w:szCs w:val="32"/>
        </w:rPr>
        <w:t>拟贷款企业行政信息，根据</w:t>
      </w:r>
      <w:r>
        <w:rPr>
          <w:rFonts w:hint="eastAsia" w:ascii="Times New Roman" w:hAnsi="Times New Roman" w:eastAsia="仿宋_GB2312" w:cs="Times New Roman"/>
          <w:kern w:val="0"/>
          <w:sz w:val="32"/>
          <w:szCs w:val="32"/>
        </w:rPr>
        <w:t>《乳山市</w:t>
      </w:r>
      <w:r>
        <w:rPr>
          <w:rFonts w:hint="eastAsia" w:ascii="Times New Roman" w:hAnsi="Times New Roman" w:eastAsia="仿宋_GB2312" w:cs="Times New Roman"/>
          <w:kern w:val="0"/>
          <w:sz w:val="32"/>
          <w:szCs w:val="32"/>
          <w:lang w:eastAsia="zh-CN"/>
        </w:rPr>
        <w:t>中小微企业</w:t>
      </w:r>
      <w:r>
        <w:rPr>
          <w:rFonts w:hint="eastAsia" w:ascii="Times New Roman" w:hAnsi="Times New Roman" w:eastAsia="仿宋_GB2312" w:cs="Times New Roman"/>
          <w:kern w:val="0"/>
          <w:sz w:val="32"/>
          <w:szCs w:val="32"/>
        </w:rPr>
        <w:t>增信基金管理暂行办法》规定，制定</w:t>
      </w:r>
      <w:r>
        <w:rPr>
          <w:rFonts w:hint="eastAsia" w:ascii="Times New Roman" w:hAnsi="Times New Roman" w:eastAsia="仿宋_GB2312" w:cs="Times New Roman"/>
          <w:sz w:val="32"/>
          <w:szCs w:val="32"/>
        </w:rPr>
        <w:t>乳山市</w:t>
      </w:r>
      <w:r>
        <w:rPr>
          <w:rFonts w:hint="eastAsia" w:ascii="Times New Roman" w:hAnsi="Times New Roman" w:eastAsia="仿宋_GB2312" w:cs="Times New Roman"/>
          <w:sz w:val="32"/>
          <w:szCs w:val="32"/>
          <w:lang w:eastAsia="zh-CN"/>
        </w:rPr>
        <w:t>中小微企业</w:t>
      </w:r>
      <w:r>
        <w:rPr>
          <w:rFonts w:hint="eastAsia" w:ascii="Times New Roman" w:hAnsi="Times New Roman" w:eastAsia="仿宋_GB2312" w:cs="Times New Roman"/>
          <w:sz w:val="32"/>
          <w:szCs w:val="32"/>
        </w:rPr>
        <w:t>增信基金联席会议</w:t>
      </w:r>
      <w:r>
        <w:rPr>
          <w:rFonts w:hint="eastAsia" w:ascii="Times New Roman" w:hAnsi="Times New Roman" w:eastAsia="仿宋_GB2312" w:cs="Times New Roman"/>
          <w:kern w:val="0"/>
          <w:sz w:val="32"/>
          <w:szCs w:val="32"/>
        </w:rPr>
        <w:t>制度。</w:t>
      </w:r>
      <w:r>
        <w:rPr>
          <w:rFonts w:hint="eastAsia" w:ascii="Times New Roman" w:hAnsi="Times New Roman" w:eastAsia="仿宋_GB2312" w:cs="Times New Roman"/>
          <w:sz w:val="32"/>
          <w:szCs w:val="32"/>
        </w:rPr>
        <w:t>乳山市</w:t>
      </w:r>
      <w:r>
        <w:rPr>
          <w:rFonts w:hint="eastAsia" w:ascii="Times New Roman" w:hAnsi="Times New Roman" w:eastAsia="仿宋_GB2312" w:cs="Times New Roman"/>
          <w:sz w:val="32"/>
          <w:szCs w:val="32"/>
          <w:lang w:eastAsia="zh-CN"/>
        </w:rPr>
        <w:t>中小微企业</w:t>
      </w:r>
      <w:r>
        <w:rPr>
          <w:rFonts w:hint="eastAsia" w:ascii="Times New Roman" w:hAnsi="Times New Roman" w:eastAsia="仿宋_GB2312" w:cs="Times New Roman"/>
          <w:sz w:val="32"/>
          <w:szCs w:val="32"/>
        </w:rPr>
        <w:t>增信基金联席会议</w:t>
      </w:r>
      <w:r>
        <w:rPr>
          <w:rFonts w:hint="eastAsia" w:ascii="Times New Roman" w:hAnsi="Times New Roman" w:eastAsia="仿宋_GB2312" w:cs="Times New Roman"/>
          <w:kern w:val="0"/>
          <w:sz w:val="32"/>
          <w:szCs w:val="32"/>
        </w:rPr>
        <w:t>（下称</w:t>
      </w:r>
      <w:r>
        <w:rPr>
          <w:rFonts w:ascii="Times New Roman" w:hAnsi="Times New Roman" w:eastAsia="仿宋_GB2312" w:cs="Times New Roman"/>
          <w:kern w:val="0"/>
          <w:sz w:val="32"/>
          <w:szCs w:val="32"/>
        </w:rPr>
        <w:t>“</w:t>
      </w:r>
      <w:r>
        <w:rPr>
          <w:rFonts w:hint="eastAsia" w:ascii="Times New Roman" w:hAnsi="Times New Roman" w:eastAsia="仿宋_GB2312" w:cs="Times New Roman"/>
          <w:kern w:val="0"/>
          <w:sz w:val="32"/>
          <w:szCs w:val="32"/>
        </w:rPr>
        <w:t>联席会议</w:t>
      </w:r>
      <w:r>
        <w:rPr>
          <w:rFonts w:ascii="Times New Roman" w:hAnsi="Times New Roman" w:eastAsia="仿宋_GB2312" w:cs="Times New Roman"/>
          <w:kern w:val="0"/>
          <w:sz w:val="32"/>
          <w:szCs w:val="32"/>
        </w:rPr>
        <w:t>”</w:t>
      </w:r>
      <w:r>
        <w:rPr>
          <w:rFonts w:hint="eastAsia" w:ascii="Times New Roman" w:hAnsi="Times New Roman" w:eastAsia="仿宋_GB2312" w:cs="Times New Roman"/>
          <w:kern w:val="0"/>
          <w:sz w:val="32"/>
          <w:szCs w:val="32"/>
        </w:rPr>
        <w:t>）</w:t>
      </w:r>
      <w:r>
        <w:rPr>
          <w:rFonts w:hint="eastAsia" w:ascii="Times New Roman" w:hAnsi="Times New Roman" w:eastAsia="仿宋_GB2312" w:cs="Times New Roman"/>
          <w:color w:val="000000"/>
          <w:sz w:val="32"/>
          <w:szCs w:val="32"/>
        </w:rPr>
        <w:t>负责对申请贷款企业是否有违法、违规及行业失信等行为进行审查，对</w:t>
      </w:r>
      <w:r>
        <w:rPr>
          <w:rFonts w:hint="eastAsia" w:ascii="Times New Roman" w:hAnsi="Times New Roman" w:eastAsia="仿宋_GB2312" w:cs="Times New Roman"/>
          <w:color w:val="000000"/>
          <w:sz w:val="32"/>
          <w:szCs w:val="32"/>
          <w:lang w:eastAsia="zh-CN"/>
        </w:rPr>
        <w:t>中小微企业</w:t>
      </w:r>
      <w:r>
        <w:rPr>
          <w:rFonts w:hint="eastAsia" w:ascii="Times New Roman" w:hAnsi="Times New Roman" w:eastAsia="仿宋_GB2312" w:cs="Times New Roman"/>
          <w:color w:val="000000"/>
          <w:sz w:val="32"/>
          <w:szCs w:val="32"/>
        </w:rPr>
        <w:t>增信基金运行情况进行监督，确保增信基金规范运行。</w:t>
      </w:r>
    </w:p>
    <w:p>
      <w:pPr>
        <w:autoSpaceDE w:val="0"/>
        <w:autoSpaceDN w:val="0"/>
        <w:adjustRightInd w:val="0"/>
        <w:spacing w:line="580" w:lineRule="exact"/>
        <w:ind w:firstLine="800" w:firstLineChars="250"/>
        <w:rPr>
          <w:rFonts w:ascii="Times New Roman" w:hAnsi="Times New Roman" w:eastAsia="仿宋_GB2312" w:cs="Times New Roman"/>
          <w:kern w:val="0"/>
          <w:sz w:val="32"/>
          <w:szCs w:val="32"/>
        </w:rPr>
      </w:pPr>
      <w:r>
        <w:rPr>
          <w:rFonts w:hint="eastAsia" w:ascii="Times New Roman" w:hAnsi="Times New Roman" w:eastAsia="黑体" w:cs="Times New Roman"/>
          <w:kern w:val="0"/>
          <w:sz w:val="32"/>
          <w:szCs w:val="32"/>
        </w:rPr>
        <w:t>第二条</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联席会议主要职责</w:t>
      </w:r>
    </w:p>
    <w:p>
      <w:pPr>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（一）加强各成员单位之间的协调配合，审查在合作银行拟申请信用贷款的</w:t>
      </w:r>
      <w:r>
        <w:rPr>
          <w:rFonts w:hint="eastAsia" w:ascii="Times New Roman" w:hAnsi="Times New Roman" w:eastAsia="仿宋_GB2312" w:cs="Times New Roman"/>
          <w:kern w:val="0"/>
          <w:sz w:val="32"/>
          <w:szCs w:val="32"/>
          <w:lang w:eastAsia="zh-CN"/>
        </w:rPr>
        <w:t>中小微企业</w:t>
      </w:r>
      <w:r>
        <w:rPr>
          <w:rFonts w:hint="eastAsia" w:ascii="Times New Roman" w:hAnsi="Times New Roman" w:eastAsia="仿宋_GB2312" w:cs="Times New Roman"/>
          <w:kern w:val="0"/>
          <w:sz w:val="32"/>
          <w:szCs w:val="32"/>
        </w:rPr>
        <w:t>是否有违法、违规及失信行为，并</w:t>
      </w:r>
      <w:r>
        <w:rPr>
          <w:rFonts w:hint="eastAsia" w:ascii="Times New Roman" w:hAnsi="Times New Roman" w:eastAsia="仿宋_GB2312" w:cs="Times New Roman"/>
          <w:sz w:val="32"/>
          <w:szCs w:val="32"/>
        </w:rPr>
        <w:t>根据各自职责分工，制定具体政策措施和工作方案，为合作银行开展信用贷款提供重要参考依据。</w:t>
      </w:r>
    </w:p>
    <w:p>
      <w:pPr>
        <w:autoSpaceDE w:val="0"/>
        <w:autoSpaceDN w:val="0"/>
        <w:adjustRightInd w:val="0"/>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（二）持续跟进各类贷款企业的风险预判工作，对于贷后出现违法、行业违规及失信的企业要第一时间告知联席会议办公室和合作银行，做到风险早发现、早处置，将贷后风险控制在最小范围内。</w:t>
      </w:r>
    </w:p>
    <w:p>
      <w:pPr>
        <w:autoSpaceDE w:val="0"/>
        <w:autoSpaceDN w:val="0"/>
        <w:adjustRightInd w:val="0"/>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（三）</w:t>
      </w:r>
      <w:r>
        <w:rPr>
          <w:rFonts w:hint="eastAsia" w:ascii="Times New Roman" w:hAnsi="Times New Roman" w:eastAsia="仿宋_GB2312" w:cs="Times New Roman"/>
          <w:sz w:val="32"/>
          <w:szCs w:val="32"/>
        </w:rPr>
        <w:t>为加快信用贷款的顺利推进，支持合作银行对我市</w:t>
      </w:r>
      <w:r>
        <w:rPr>
          <w:rFonts w:hint="eastAsia" w:ascii="Times New Roman" w:hAnsi="Times New Roman" w:eastAsia="仿宋_GB2312" w:cs="Times New Roman"/>
          <w:sz w:val="32"/>
          <w:szCs w:val="32"/>
          <w:lang w:eastAsia="zh-CN"/>
        </w:rPr>
        <w:t>中小微企业</w:t>
      </w:r>
      <w:r>
        <w:rPr>
          <w:rFonts w:hint="eastAsia" w:ascii="Times New Roman" w:hAnsi="Times New Roman" w:eastAsia="仿宋_GB2312" w:cs="Times New Roman"/>
          <w:sz w:val="32"/>
          <w:szCs w:val="32"/>
        </w:rPr>
        <w:t>信用贷款的投放，各成员单位要依托各自系统内的数据，为合作银行对拟贷款企业的查询工作开通</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绿色通道</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p>
    <w:p>
      <w:pPr>
        <w:autoSpaceDE w:val="0"/>
        <w:autoSpaceDN w:val="0"/>
        <w:adjustRightInd w:val="0"/>
        <w:spacing w:line="580" w:lineRule="exact"/>
        <w:ind w:firstLine="800" w:firstLineChars="250"/>
        <w:rPr>
          <w:rFonts w:ascii="Times New Roman" w:hAnsi="Times New Roman" w:eastAsia="仿宋_GB2312" w:cs="Times New Roman"/>
          <w:kern w:val="0"/>
          <w:sz w:val="32"/>
          <w:szCs w:val="32"/>
        </w:rPr>
      </w:pPr>
      <w:r>
        <w:rPr>
          <w:rFonts w:hint="eastAsia" w:ascii="Times New Roman" w:hAnsi="Times New Roman" w:eastAsia="黑体" w:cs="Times New Roman"/>
          <w:kern w:val="0"/>
          <w:sz w:val="32"/>
          <w:szCs w:val="32"/>
        </w:rPr>
        <w:t>第三条</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联席会议成员单位职责</w:t>
      </w:r>
    </w:p>
    <w:p>
      <w:pPr>
        <w:autoSpaceDE w:val="0"/>
        <w:autoSpaceDN w:val="0"/>
        <w:adjustRightInd w:val="0"/>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楷体_GB2312" w:cs="Times New Roman"/>
          <w:sz w:val="32"/>
          <w:szCs w:val="32"/>
        </w:rPr>
        <w:t>（一）市</w:t>
      </w:r>
      <w:r>
        <w:rPr>
          <w:rFonts w:hint="eastAsia" w:ascii="Times New Roman" w:hAnsi="Times New Roman" w:eastAsia="楷体_GB2312" w:cs="Times New Roman"/>
          <w:sz w:val="32"/>
          <w:szCs w:val="32"/>
          <w:lang w:val="en-US" w:eastAsia="zh-CN"/>
        </w:rPr>
        <w:t>发改局</w:t>
      </w:r>
      <w:r>
        <w:rPr>
          <w:rFonts w:hint="eastAsia" w:ascii="Times New Roman" w:hAnsi="Times New Roman" w:eastAsia="仿宋_GB2312" w:cs="仿宋_GB2312"/>
          <w:sz w:val="32"/>
          <w:szCs w:val="32"/>
        </w:rPr>
        <w:t>：</w:t>
      </w:r>
      <w:r>
        <w:rPr>
          <w:rFonts w:hint="eastAsia" w:ascii="Times New Roman" w:hAnsi="Times New Roman" w:eastAsia="仿宋_GB2312" w:cs="Times New Roman"/>
          <w:sz w:val="32"/>
          <w:szCs w:val="32"/>
        </w:rPr>
        <w:t>加强与全市银行机构的对接，筛选有开展业务能力的合作银行，推进信用贷款工作的组织、指导、协调、督查、评价；负责受理和初审合作银行提供的拟贷款企业名单和资料，</w:t>
      </w:r>
      <w:r>
        <w:rPr>
          <w:rFonts w:hint="eastAsia" w:ascii="Times New Roman" w:hAnsi="Times New Roman" w:eastAsia="仿宋_GB2312" w:cs="Times New Roman"/>
          <w:color w:val="000000"/>
          <w:sz w:val="32"/>
          <w:szCs w:val="32"/>
        </w:rPr>
        <w:t>通过市公共信用平台进行信用审核</w:t>
      </w:r>
      <w:r>
        <w:rPr>
          <w:rFonts w:hint="eastAsia" w:ascii="Times New Roman" w:hAnsi="Times New Roman" w:eastAsia="仿宋_GB2312" w:cs="Times New Roman"/>
          <w:sz w:val="32"/>
          <w:szCs w:val="32"/>
        </w:rPr>
        <w:t>；召集其他成员单位对企业进行违法、违规及失信的审查和会签；定期对信用贷款情况进行通报。</w:t>
      </w:r>
    </w:p>
    <w:p>
      <w:pPr>
        <w:autoSpaceDE w:val="0"/>
        <w:autoSpaceDN w:val="0"/>
        <w:adjustRightInd w:val="0"/>
        <w:spacing w:line="580" w:lineRule="exact"/>
        <w:ind w:firstLine="640" w:firstLineChars="200"/>
        <w:rPr>
          <w:rFonts w:ascii="Times New Roman" w:hAnsi="Times New Roman" w:eastAsia="仿宋_GB2312" w:cs="Times New Roman"/>
          <w:color w:val="000000"/>
          <w:sz w:val="32"/>
          <w:szCs w:val="32"/>
        </w:rPr>
      </w:pPr>
      <w:r>
        <w:rPr>
          <w:rFonts w:hint="eastAsia" w:ascii="Times New Roman" w:hAnsi="Times New Roman" w:eastAsia="楷体_GB2312" w:cs="Times New Roman"/>
          <w:sz w:val="32"/>
          <w:szCs w:val="32"/>
        </w:rPr>
        <w:t>（二）市财政局</w:t>
      </w:r>
      <w:r>
        <w:rPr>
          <w:rFonts w:hint="eastAsia" w:ascii="Times New Roman" w:hAnsi="Times New Roman" w:eastAsia="仿宋_GB2312" w:cs="仿宋_GB2312"/>
          <w:sz w:val="32"/>
          <w:szCs w:val="32"/>
        </w:rPr>
        <w:t>：</w:t>
      </w:r>
      <w:r>
        <w:rPr>
          <w:rFonts w:hint="eastAsia" w:ascii="Times New Roman" w:hAnsi="Times New Roman" w:eastAsia="仿宋_GB2312" w:cs="Times New Roman"/>
          <w:color w:val="000000"/>
          <w:sz w:val="32"/>
          <w:szCs w:val="32"/>
        </w:rPr>
        <w:t>负责审查企业是否存在政府债务等情况。</w:t>
      </w:r>
    </w:p>
    <w:p>
      <w:pPr>
        <w:autoSpaceDE w:val="0"/>
        <w:autoSpaceDN w:val="0"/>
        <w:adjustRightInd w:val="0"/>
        <w:spacing w:line="580" w:lineRule="exact"/>
        <w:ind w:firstLine="640" w:firstLineChars="200"/>
        <w:rPr>
          <w:rFonts w:ascii="Times New Roman" w:hAnsi="Times New Roman" w:eastAsia="仿宋_GB2312" w:cs="Times New Roman"/>
          <w:color w:val="000000"/>
          <w:sz w:val="32"/>
          <w:szCs w:val="32"/>
        </w:rPr>
      </w:pPr>
      <w:r>
        <w:rPr>
          <w:rFonts w:hint="eastAsia" w:ascii="Times New Roman" w:hAnsi="Times New Roman" w:eastAsia="楷体_GB2312" w:cs="Times New Roman"/>
          <w:sz w:val="32"/>
          <w:szCs w:val="32"/>
        </w:rPr>
        <w:t>（</w:t>
      </w:r>
      <w:r>
        <w:rPr>
          <w:rFonts w:hint="eastAsia" w:ascii="Times New Roman" w:hAnsi="Times New Roman" w:eastAsia="楷体_GB2312" w:cs="Times New Roman"/>
          <w:sz w:val="32"/>
          <w:szCs w:val="32"/>
          <w:lang w:val="en-US" w:eastAsia="zh-CN"/>
        </w:rPr>
        <w:t>三</w:t>
      </w:r>
      <w:r>
        <w:rPr>
          <w:rFonts w:hint="eastAsia" w:ascii="Times New Roman" w:hAnsi="Times New Roman" w:eastAsia="楷体_GB2312" w:cs="Times New Roman"/>
          <w:sz w:val="32"/>
          <w:szCs w:val="32"/>
        </w:rPr>
        <w:t>）</w:t>
      </w:r>
      <w:r>
        <w:rPr>
          <w:rFonts w:hint="eastAsia" w:ascii="Times New Roman" w:hAnsi="Times New Roman" w:eastAsia="楷体_GB2312" w:cs="Times New Roman"/>
          <w:sz w:val="32"/>
          <w:szCs w:val="32"/>
          <w:lang w:val="en-US" w:eastAsia="zh-CN"/>
        </w:rPr>
        <w:t>市税务局</w:t>
      </w:r>
      <w:r>
        <w:rPr>
          <w:rFonts w:hint="eastAsia" w:ascii="Times New Roman" w:hAnsi="Times New Roman" w:eastAsia="楷体_GB2312" w:cs="Times New Roman"/>
          <w:sz w:val="32"/>
          <w:szCs w:val="32"/>
        </w:rPr>
        <w:t>：</w:t>
      </w:r>
      <w:r>
        <w:rPr>
          <w:rFonts w:hint="eastAsia" w:ascii="Times New Roman" w:hAnsi="Times New Roman" w:eastAsia="仿宋_GB2312" w:cs="Times New Roman"/>
          <w:color w:val="000000"/>
          <w:sz w:val="32"/>
          <w:szCs w:val="32"/>
        </w:rPr>
        <w:t>负责审查是否有欠税</w:t>
      </w:r>
      <w:r>
        <w:rPr>
          <w:rFonts w:hint="eastAsia" w:ascii="Times New Roman" w:hAnsi="Times New Roman" w:eastAsia="仿宋_GB2312" w:cs="Times New Roman"/>
          <w:color w:val="000000"/>
          <w:sz w:val="32"/>
          <w:szCs w:val="32"/>
          <w:lang w:eastAsia="zh-CN"/>
        </w:rPr>
        <w:t>、</w:t>
      </w:r>
      <w:r>
        <w:rPr>
          <w:rFonts w:hint="eastAsia" w:ascii="Times New Roman" w:hAnsi="Times New Roman" w:eastAsia="仿宋_GB2312" w:cs="Times New Roman"/>
          <w:color w:val="000000"/>
          <w:sz w:val="32"/>
          <w:szCs w:val="32"/>
        </w:rPr>
        <w:t>偷漏税</w:t>
      </w:r>
      <w:r>
        <w:rPr>
          <w:rFonts w:hint="eastAsia" w:ascii="Times New Roman" w:hAnsi="Times New Roman" w:eastAsia="仿宋_GB2312" w:cs="Times New Roman"/>
          <w:color w:val="000000"/>
          <w:sz w:val="32"/>
          <w:szCs w:val="32"/>
          <w:lang w:val="en-US" w:eastAsia="zh-CN"/>
        </w:rPr>
        <w:t>及欠交社保金</w:t>
      </w:r>
      <w:r>
        <w:rPr>
          <w:rFonts w:hint="eastAsia" w:ascii="Times New Roman" w:hAnsi="Times New Roman" w:eastAsia="仿宋_GB2312" w:cs="Times New Roman"/>
          <w:color w:val="000000"/>
          <w:sz w:val="32"/>
          <w:szCs w:val="32"/>
        </w:rPr>
        <w:t>行为。</w:t>
      </w:r>
    </w:p>
    <w:p>
      <w:pPr>
        <w:autoSpaceDE w:val="0"/>
        <w:autoSpaceDN w:val="0"/>
        <w:adjustRightInd w:val="0"/>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黑体" w:cs="Times New Roman"/>
          <w:kern w:val="0"/>
          <w:sz w:val="32"/>
          <w:szCs w:val="32"/>
        </w:rPr>
        <w:t>第四条</w:t>
      </w:r>
      <w:r>
        <w:rPr>
          <w:rFonts w:ascii="Times New Roman" w:hAnsi="Times New Roman" w:eastAsia="黑体" w:cs="Times New Roman"/>
          <w:kern w:val="0"/>
          <w:sz w:val="32"/>
          <w:szCs w:val="32"/>
        </w:rPr>
        <w:t xml:space="preserve"> </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联席会议由市</w:t>
      </w:r>
      <w:r>
        <w:rPr>
          <w:rFonts w:hint="eastAsia" w:ascii="Times New Roman" w:hAnsi="Times New Roman" w:eastAsia="仿宋_GB2312" w:cs="Times New Roman"/>
          <w:kern w:val="0"/>
          <w:sz w:val="32"/>
          <w:szCs w:val="32"/>
          <w:lang w:val="en-US" w:eastAsia="zh-CN"/>
        </w:rPr>
        <w:t>发改局局长</w:t>
      </w:r>
      <w:r>
        <w:rPr>
          <w:rFonts w:hint="eastAsia" w:ascii="Times New Roman" w:hAnsi="Times New Roman" w:eastAsia="仿宋_GB2312" w:cs="Times New Roman"/>
          <w:kern w:val="0"/>
          <w:sz w:val="32"/>
          <w:szCs w:val="32"/>
        </w:rPr>
        <w:t>召集人，召集人因事不能召集时，可委托其他人员召集。</w:t>
      </w:r>
    </w:p>
    <w:p>
      <w:pPr>
        <w:autoSpaceDE w:val="0"/>
        <w:autoSpaceDN w:val="0"/>
        <w:adjustRightInd w:val="0"/>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黑体" w:cs="Times New Roman"/>
          <w:kern w:val="0"/>
          <w:sz w:val="32"/>
          <w:szCs w:val="32"/>
        </w:rPr>
        <w:t>第五条</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联席会议原则上每季度召开一次，主要是通报前一季度的工作进展情况，协调解决工作推进中遇到的困难，如有重大事项变动等特殊情况时，可随时召开。</w:t>
      </w:r>
    </w:p>
    <w:p>
      <w:pPr>
        <w:autoSpaceDE w:val="0"/>
        <w:autoSpaceDN w:val="0"/>
        <w:adjustRightInd w:val="0"/>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黑体" w:cs="Times New Roman"/>
          <w:kern w:val="0"/>
          <w:sz w:val="32"/>
          <w:szCs w:val="32"/>
        </w:rPr>
        <w:t>第六条</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联席会议组成人员因事不能到会时，可委托本单位其他负责人参加，需提前通知联席会议办公室。</w:t>
      </w:r>
    </w:p>
    <w:p>
      <w:pPr>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黑体" w:cs="Times New Roman"/>
          <w:kern w:val="0"/>
          <w:sz w:val="32"/>
          <w:szCs w:val="32"/>
        </w:rPr>
        <w:t>第七条</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联席会议各成员单位应在本单位指定一个内设科室作为联席会议联络部门，并指定一位科室负责人担任联席会议联络员。</w:t>
      </w:r>
    </w:p>
    <w:p>
      <w:pPr>
        <w:autoSpaceDE w:val="0"/>
        <w:autoSpaceDN w:val="0"/>
        <w:adjustRightInd w:val="0"/>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黑体" w:cs="Times New Roman"/>
          <w:kern w:val="0"/>
          <w:sz w:val="32"/>
          <w:szCs w:val="32"/>
        </w:rPr>
        <w:t>第八条</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联席会议下设办公室，办公室设在市</w:t>
      </w:r>
      <w:r>
        <w:rPr>
          <w:rFonts w:hint="eastAsia" w:ascii="Times New Roman" w:hAnsi="Times New Roman" w:eastAsia="仿宋_GB2312" w:cs="Times New Roman"/>
          <w:kern w:val="0"/>
          <w:sz w:val="32"/>
          <w:szCs w:val="32"/>
          <w:lang w:val="en-US" w:eastAsia="zh-CN"/>
        </w:rPr>
        <w:t>发改局</w:t>
      </w:r>
      <w:r>
        <w:rPr>
          <w:rFonts w:hint="eastAsia" w:ascii="Times New Roman" w:hAnsi="Times New Roman" w:eastAsia="仿宋_GB2312" w:cs="Times New Roman"/>
          <w:kern w:val="0"/>
          <w:sz w:val="32"/>
          <w:szCs w:val="32"/>
        </w:rPr>
        <w:t>，由市</w:t>
      </w:r>
      <w:r>
        <w:rPr>
          <w:rFonts w:hint="eastAsia" w:ascii="Times New Roman" w:hAnsi="Times New Roman" w:eastAsia="仿宋_GB2312" w:cs="Times New Roman"/>
          <w:kern w:val="0"/>
          <w:sz w:val="32"/>
          <w:szCs w:val="32"/>
          <w:lang w:val="en-US" w:eastAsia="zh-CN"/>
        </w:rPr>
        <w:t>发改局</w:t>
      </w:r>
      <w:r>
        <w:rPr>
          <w:rFonts w:hint="eastAsia" w:ascii="Times New Roman" w:hAnsi="Times New Roman" w:eastAsia="仿宋_GB2312" w:cs="Times New Roman"/>
          <w:kern w:val="0"/>
          <w:sz w:val="32"/>
          <w:szCs w:val="32"/>
        </w:rPr>
        <w:t>分管负责人担任办公室主任。联席会议办公室负责提出联席会议主要议题、会议议程，组织会务，编写会议纪要，督办落实会议议定事项，协调解决有关问题；负责与联席会议成员单位做好联络工作；完成联席会议交办的其他事项。</w:t>
      </w:r>
    </w:p>
    <w:p>
      <w:pPr>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黑体" w:cs="Times New Roman"/>
          <w:kern w:val="0"/>
          <w:sz w:val="32"/>
          <w:szCs w:val="32"/>
        </w:rPr>
        <w:t>第九条</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联席会议结束后，对会议议定事项以会议纪要形式印发有关方面贯彻落实，同时报市政府。各成员单位要按照职责分工，认真落实议定事项，有关情况要及时报联席会议办公室。</w:t>
      </w:r>
    </w:p>
    <w:p>
      <w:pPr>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黑体" w:cs="Times New Roman"/>
          <w:kern w:val="0"/>
          <w:sz w:val="32"/>
          <w:szCs w:val="32"/>
        </w:rPr>
        <w:t>第十条</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根据会议研究事项的需要，联席会议可邀请各镇、滨海新区、经济开发区、城区街道、市直有关部门和单位、各驻乳机构负责人及有关人员列席。</w:t>
      </w:r>
    </w:p>
    <w:p>
      <w:pPr>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黑体" w:cs="Times New Roman"/>
          <w:kern w:val="0"/>
          <w:sz w:val="32"/>
          <w:szCs w:val="32"/>
        </w:rPr>
        <w:t>第十一条</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联席会议联络员在联席会议办公室统一协调下开展工作，负责承办联席会议议定的由本部门承担的工作，强化联席会议成员单位间的日常沟通，及时收集通报金融重要信息。</w:t>
      </w:r>
    </w:p>
    <w:p>
      <w:pPr>
        <w:tabs>
          <w:tab w:val="left" w:pos="6930"/>
        </w:tabs>
        <w:spacing w:line="580" w:lineRule="exact"/>
        <w:ind w:firstLine="640" w:firstLineChars="200"/>
        <w:rPr>
          <w:rFonts w:hint="eastAsia" w:ascii="黑体" w:hAnsi="Times New Roman" w:eastAsia="黑体" w:cs="仿宋_GB2312"/>
          <w:sz w:val="32"/>
        </w:rPr>
      </w:pPr>
      <w:r>
        <w:rPr>
          <w:rFonts w:hint="eastAsia" w:ascii="Times New Roman" w:hAnsi="Times New Roman" w:eastAsia="黑体" w:cs="Times New Roman"/>
          <w:kern w:val="0"/>
          <w:sz w:val="32"/>
          <w:szCs w:val="32"/>
        </w:rPr>
        <w:t>第十二条</w:t>
      </w:r>
      <w:r>
        <w:rPr>
          <w:rFonts w:ascii="Times New Roman" w:hAnsi="Times New Roman" w:eastAsia="黑体" w:cs="Times New Roman"/>
          <w:kern w:val="0"/>
          <w:sz w:val="32"/>
          <w:szCs w:val="32"/>
        </w:rPr>
        <w:t xml:space="preserve"> </w:t>
      </w:r>
      <w:r>
        <w:rPr>
          <w:rFonts w:ascii="Times New Roman" w:hAnsi="Times New Roman" w:eastAsia="仿宋_GB2312" w:cs="Times New Roman"/>
          <w:kern w:val="0"/>
          <w:sz w:val="32"/>
          <w:szCs w:val="32"/>
        </w:rPr>
        <w:t xml:space="preserve"> </w:t>
      </w:r>
      <w:r>
        <w:rPr>
          <w:rFonts w:hint="eastAsia" w:ascii="Times New Roman" w:hAnsi="Times New Roman" w:eastAsia="仿宋_GB2312" w:cs="Times New Roman"/>
          <w:kern w:val="0"/>
          <w:sz w:val="32"/>
          <w:szCs w:val="32"/>
        </w:rPr>
        <w:t>联席会议实行</w:t>
      </w:r>
      <w:r>
        <w:rPr>
          <w:rFonts w:hint="eastAsia" w:ascii="Times New Roman" w:hAnsi="Times New Roman" w:eastAsia="仿宋_GB2312" w:cs="Times New Roman"/>
          <w:kern w:val="0"/>
          <w:sz w:val="32"/>
          <w:szCs w:val="32"/>
          <w:lang w:val="en-US" w:eastAsia="zh-CN"/>
        </w:rPr>
        <w:t>重大</w:t>
      </w:r>
      <w:r>
        <w:rPr>
          <w:rFonts w:hint="eastAsia" w:ascii="Times New Roman" w:hAnsi="Times New Roman" w:eastAsia="仿宋_GB2312" w:cs="Times New Roman"/>
          <w:kern w:val="0"/>
          <w:sz w:val="32"/>
          <w:szCs w:val="32"/>
        </w:rPr>
        <w:t>信息报送制度，各成员单位要</w:t>
      </w:r>
      <w:r>
        <w:rPr>
          <w:rFonts w:hint="eastAsia" w:ascii="Times New Roman" w:hAnsi="Times New Roman" w:eastAsia="仿宋_GB2312" w:cs="Times New Roman"/>
          <w:kern w:val="0"/>
          <w:sz w:val="32"/>
          <w:szCs w:val="32"/>
          <w:lang w:val="en-US" w:eastAsia="zh-CN"/>
        </w:rPr>
        <w:t>在影响基金正常运作的</w:t>
      </w:r>
      <w:r>
        <w:rPr>
          <w:rFonts w:hint="eastAsia" w:ascii="Times New Roman" w:hAnsi="Times New Roman" w:eastAsia="仿宋_GB2312" w:cs="Times New Roman"/>
          <w:color w:val="000000"/>
          <w:kern w:val="0"/>
          <w:sz w:val="32"/>
          <w:szCs w:val="32"/>
          <w:lang w:val="en-US" w:eastAsia="zh-CN"/>
        </w:rPr>
        <w:t>重大事件发生后3</w:t>
      </w:r>
      <w:r>
        <w:rPr>
          <w:rFonts w:hint="eastAsia" w:ascii="Times New Roman" w:hAnsi="Times New Roman" w:eastAsia="仿宋_GB2312" w:cs="Times New Roman"/>
          <w:color w:val="000000"/>
          <w:kern w:val="0"/>
          <w:sz w:val="32"/>
          <w:szCs w:val="32"/>
        </w:rPr>
        <w:t>日</w:t>
      </w:r>
      <w:r>
        <w:rPr>
          <w:rFonts w:hint="eastAsia" w:ascii="Times New Roman" w:hAnsi="Times New Roman" w:eastAsia="仿宋_GB2312" w:cs="Times New Roman"/>
          <w:color w:val="000000"/>
          <w:kern w:val="0"/>
          <w:sz w:val="32"/>
          <w:szCs w:val="32"/>
          <w:lang w:val="en-US" w:eastAsia="zh-CN"/>
        </w:rPr>
        <w:t>内</w:t>
      </w:r>
      <w:r>
        <w:rPr>
          <w:rFonts w:hint="eastAsia" w:ascii="Times New Roman" w:hAnsi="Times New Roman" w:eastAsia="仿宋_GB2312" w:cs="Times New Roman"/>
          <w:color w:val="000000"/>
          <w:kern w:val="0"/>
          <w:sz w:val="32"/>
          <w:szCs w:val="32"/>
        </w:rPr>
        <w:t>向联席会</w:t>
      </w:r>
      <w:r>
        <w:rPr>
          <w:rFonts w:hint="eastAsia" w:ascii="Times New Roman" w:hAnsi="Times New Roman" w:eastAsia="仿宋_GB2312" w:cs="Times New Roman"/>
          <w:kern w:val="0"/>
          <w:sz w:val="32"/>
          <w:szCs w:val="32"/>
        </w:rPr>
        <w:t>议办公室报送</w:t>
      </w:r>
      <w:r>
        <w:rPr>
          <w:rFonts w:hint="eastAsia" w:ascii="Times New Roman" w:hAnsi="Times New Roman" w:eastAsia="仿宋_GB2312" w:cs="Times New Roman"/>
          <w:kern w:val="0"/>
          <w:sz w:val="32"/>
          <w:szCs w:val="32"/>
          <w:lang w:val="en-US" w:eastAsia="zh-CN"/>
        </w:rPr>
        <w:t>情况</w:t>
      </w:r>
      <w:r>
        <w:rPr>
          <w:rFonts w:hint="eastAsia" w:ascii="Times New Roman" w:hAnsi="Times New Roman" w:eastAsia="仿宋_GB2312" w:cs="Times New Roman"/>
          <w:kern w:val="0"/>
          <w:sz w:val="32"/>
          <w:szCs w:val="32"/>
        </w:rPr>
        <w:t>，由联席会议办公室</w:t>
      </w:r>
      <w:r>
        <w:rPr>
          <w:rFonts w:hint="eastAsia" w:ascii="Times New Roman" w:hAnsi="Times New Roman" w:eastAsia="仿宋_GB2312" w:cs="Times New Roman"/>
          <w:kern w:val="0"/>
          <w:sz w:val="32"/>
          <w:szCs w:val="32"/>
          <w:lang w:val="en-US" w:eastAsia="zh-CN"/>
        </w:rPr>
        <w:t>负责组织分析研判</w:t>
      </w:r>
      <w:r>
        <w:rPr>
          <w:rFonts w:hint="eastAsia" w:ascii="Times New Roman" w:hAnsi="Times New Roman" w:eastAsia="仿宋_GB2312" w:cs="Times New Roman"/>
          <w:kern w:val="0"/>
          <w:sz w:val="32"/>
          <w:szCs w:val="32"/>
        </w:rPr>
        <w:t>。</w:t>
      </w:r>
    </w:p>
    <w:p>
      <w:pPr>
        <w:tabs>
          <w:tab w:val="left" w:pos="0"/>
        </w:tabs>
        <w:spacing w:line="580" w:lineRule="exact"/>
        <w:ind w:right="25" w:rightChars="12"/>
        <w:rPr>
          <w:rFonts w:hint="eastAsia" w:ascii="黑体" w:hAnsi="Times New Roman" w:eastAsia="黑体" w:cs="仿宋_GB2312"/>
          <w:sz w:val="32"/>
        </w:rPr>
      </w:pPr>
    </w:p>
    <w:p>
      <w:pPr>
        <w:tabs>
          <w:tab w:val="left" w:pos="0"/>
        </w:tabs>
        <w:spacing w:line="580" w:lineRule="exact"/>
        <w:ind w:right="25" w:rightChars="12"/>
        <w:rPr>
          <w:rFonts w:hint="eastAsia" w:ascii="黑体" w:hAnsi="Times New Roman" w:eastAsia="黑体" w:cs="仿宋_GB2312"/>
          <w:sz w:val="32"/>
        </w:rPr>
      </w:pPr>
      <w:bookmarkStart w:id="0" w:name="_GoBack"/>
      <w:bookmarkEnd w:id="0"/>
    </w:p>
    <w:p>
      <w:pPr>
        <w:tabs>
          <w:tab w:val="left" w:pos="0"/>
        </w:tabs>
        <w:spacing w:line="580" w:lineRule="exact"/>
        <w:ind w:right="25" w:rightChars="12"/>
        <w:rPr>
          <w:rFonts w:hint="eastAsia" w:ascii="黑体" w:hAnsi="Times New Roman" w:eastAsia="黑体" w:cs="仿宋_GB2312"/>
          <w:sz w:val="32"/>
        </w:rPr>
      </w:pPr>
    </w:p>
    <w:p>
      <w:pPr>
        <w:tabs>
          <w:tab w:val="left" w:pos="0"/>
        </w:tabs>
        <w:spacing w:line="580" w:lineRule="exact"/>
        <w:ind w:right="25" w:rightChars="12"/>
        <w:rPr>
          <w:rFonts w:ascii="Times New Roman" w:hAnsi="Times New Roman" w:eastAsia="仿宋_GB2312" w:cs="仿宋_GB2312"/>
          <w:sz w:val="32"/>
        </w:rPr>
      </w:pPr>
      <w:r>
        <w:rPr>
          <w:rFonts w:hint="eastAsia" w:ascii="黑体" w:hAnsi="Times New Roman" w:eastAsia="黑体" w:cs="仿宋_GB2312"/>
          <w:sz w:val="32"/>
        </w:rPr>
        <w:t>附件</w:t>
      </w:r>
      <w:r>
        <w:rPr>
          <w:rFonts w:ascii="Times New Roman" w:hAnsi="Times New Roman" w:eastAsia="仿宋_GB2312" w:cs="仿宋_GB2312"/>
          <w:sz w:val="32"/>
        </w:rPr>
        <w:t>2</w:t>
      </w:r>
    </w:p>
    <w:p>
      <w:pPr>
        <w:tabs>
          <w:tab w:val="left" w:pos="0"/>
        </w:tabs>
        <w:spacing w:line="580" w:lineRule="exact"/>
        <w:ind w:right="25" w:rightChars="12"/>
        <w:rPr>
          <w:rFonts w:ascii="Times New Roman" w:hAnsi="Times New Roman" w:eastAsia="黑体" w:cs="Times New Roman"/>
          <w:sz w:val="32"/>
        </w:rPr>
      </w:pPr>
    </w:p>
    <w:p>
      <w:pPr>
        <w:spacing w:line="580" w:lineRule="exact"/>
        <w:rPr>
          <w:rFonts w:ascii="Times New Roman" w:hAnsi="Times New Roman" w:eastAsia="方正小标宋简体" w:cs="Times New Roman"/>
          <w:spacing w:val="-11"/>
          <w:w w:val="95"/>
          <w:sz w:val="44"/>
          <w:szCs w:val="44"/>
        </w:rPr>
      </w:pPr>
      <w:r>
        <w:rPr>
          <w:rFonts w:hint="eastAsia" w:ascii="Times New Roman" w:hAnsi="Times New Roman" w:eastAsia="方正小标宋简体" w:cs="Times New Roman"/>
          <w:spacing w:val="-11"/>
          <w:w w:val="95"/>
          <w:sz w:val="44"/>
          <w:szCs w:val="44"/>
        </w:rPr>
        <w:t>乳山市</w:t>
      </w:r>
      <w:r>
        <w:rPr>
          <w:rFonts w:hint="eastAsia" w:ascii="Times New Roman" w:hAnsi="Times New Roman" w:eastAsia="方正小标宋简体" w:cs="Times New Roman"/>
          <w:spacing w:val="-11"/>
          <w:w w:val="95"/>
          <w:sz w:val="44"/>
          <w:szCs w:val="44"/>
          <w:lang w:eastAsia="zh-CN"/>
        </w:rPr>
        <w:t>中小微企业</w:t>
      </w:r>
      <w:r>
        <w:rPr>
          <w:rFonts w:hint="eastAsia" w:ascii="Times New Roman" w:hAnsi="Times New Roman" w:eastAsia="方正小标宋简体" w:cs="Times New Roman"/>
          <w:spacing w:val="-11"/>
          <w:w w:val="95"/>
          <w:sz w:val="44"/>
          <w:szCs w:val="44"/>
        </w:rPr>
        <w:t>增信基金联席会议组成人员名单</w:t>
      </w:r>
    </w:p>
    <w:p>
      <w:pPr>
        <w:spacing w:line="580" w:lineRule="exact"/>
        <w:rPr>
          <w:rFonts w:ascii="Times New Roman" w:hAnsi="Times New Roman" w:eastAsia="仿宋_GB2312" w:cs="Times New Roman"/>
          <w:sz w:val="32"/>
          <w:szCs w:val="32"/>
        </w:rPr>
      </w:pPr>
    </w:p>
    <w:p>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黑体" w:cs="黑体"/>
          <w:sz w:val="32"/>
          <w:szCs w:val="32"/>
        </w:rPr>
        <w:t>召</w:t>
      </w:r>
      <w:r>
        <w:rPr>
          <w:rFonts w:ascii="Times New Roman" w:hAnsi="Times New Roman" w:eastAsia="黑体" w:cs="黑体"/>
          <w:sz w:val="32"/>
          <w:szCs w:val="32"/>
        </w:rPr>
        <w:t xml:space="preserve"> </w:t>
      </w:r>
      <w:r>
        <w:rPr>
          <w:rFonts w:hint="eastAsia" w:ascii="Times New Roman" w:hAnsi="Times New Roman" w:eastAsia="黑体" w:cs="黑体"/>
          <w:sz w:val="32"/>
          <w:szCs w:val="32"/>
        </w:rPr>
        <w:t>集</w:t>
      </w:r>
      <w:r>
        <w:rPr>
          <w:rFonts w:ascii="Times New Roman" w:hAnsi="Times New Roman" w:eastAsia="黑体" w:cs="黑体"/>
          <w:sz w:val="32"/>
          <w:szCs w:val="32"/>
        </w:rPr>
        <w:t xml:space="preserve"> </w:t>
      </w:r>
      <w:r>
        <w:rPr>
          <w:rFonts w:hint="eastAsia" w:ascii="Times New Roman" w:hAnsi="Times New Roman" w:eastAsia="黑体" w:cs="黑体"/>
          <w:sz w:val="32"/>
          <w:szCs w:val="32"/>
        </w:rPr>
        <w:t>人</w:t>
      </w:r>
      <w:r>
        <w:rPr>
          <w:rFonts w:hint="eastAsia"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徐忠波</w:t>
      </w:r>
      <w:r>
        <w:rPr>
          <w:rFonts w:hint="eastAsia" w:ascii="Times New Roman" w:hAnsi="Times New Roman" w:eastAsia="仿宋_GB2312" w:cs="Times New Roman"/>
          <w:sz w:val="32"/>
          <w:szCs w:val="32"/>
        </w:rPr>
        <w:t>（市</w:t>
      </w:r>
      <w:r>
        <w:rPr>
          <w:rFonts w:hint="eastAsia" w:ascii="Times New Roman" w:hAnsi="Times New Roman" w:eastAsia="仿宋_GB2312" w:cs="Times New Roman"/>
          <w:sz w:val="32"/>
          <w:szCs w:val="32"/>
          <w:lang w:val="en-US" w:eastAsia="zh-CN"/>
        </w:rPr>
        <w:t>发改局局长</w:t>
      </w:r>
      <w:r>
        <w:rPr>
          <w:rFonts w:hint="eastAsia" w:ascii="Times New Roman" w:hAnsi="Times New Roman" w:eastAsia="仿宋_GB2312" w:cs="Times New Roman"/>
          <w:sz w:val="32"/>
          <w:szCs w:val="32"/>
        </w:rPr>
        <w:t>）</w:t>
      </w:r>
    </w:p>
    <w:p>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黑体" w:cs="黑体"/>
          <w:sz w:val="32"/>
          <w:szCs w:val="32"/>
        </w:rPr>
        <w:t>成</w:t>
      </w:r>
      <w:r>
        <w:rPr>
          <w:rFonts w:ascii="Times New Roman" w:hAnsi="Times New Roman" w:eastAsia="黑体" w:cs="黑体"/>
          <w:sz w:val="32"/>
          <w:szCs w:val="32"/>
        </w:rPr>
        <w:t xml:space="preserve">    </w:t>
      </w:r>
      <w:r>
        <w:rPr>
          <w:rFonts w:hint="eastAsia" w:ascii="Times New Roman" w:hAnsi="Times New Roman" w:eastAsia="黑体" w:cs="黑体"/>
          <w:sz w:val="32"/>
          <w:szCs w:val="32"/>
        </w:rPr>
        <w:t>员</w:t>
      </w:r>
      <w:r>
        <w:rPr>
          <w:rFonts w:hint="eastAsia"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王龙峰</w:t>
      </w:r>
      <w:r>
        <w:rPr>
          <w:rFonts w:hint="eastAsia" w:ascii="Times New Roman" w:hAnsi="Times New Roman" w:eastAsia="仿宋_GB2312" w:cs="Times New Roman"/>
          <w:sz w:val="32"/>
          <w:szCs w:val="32"/>
        </w:rPr>
        <w:t>（市财政局局长）</w:t>
      </w:r>
      <w:r>
        <w:rPr>
          <w:rFonts w:ascii="Times New Roman" w:hAnsi="Times New Roman" w:eastAsia="仿宋_GB2312" w:cs="Times New Roman"/>
          <w:sz w:val="32"/>
          <w:szCs w:val="32"/>
        </w:rPr>
        <w:t xml:space="preserve">        </w:t>
      </w:r>
    </w:p>
    <w:p>
      <w:pPr>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赵永谦（市税务局局长）</w:t>
      </w:r>
      <w:r>
        <w:rPr>
          <w:rFonts w:ascii="Times New Roman" w:hAnsi="Times New Roman" w:eastAsia="仿宋_GB2312" w:cs="Times New Roman"/>
          <w:sz w:val="32"/>
          <w:szCs w:val="32"/>
        </w:rPr>
        <w:t xml:space="preserve">      </w:t>
      </w:r>
    </w:p>
    <w:p>
      <w:pPr>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宋</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晓（市</w:t>
      </w:r>
      <w:r>
        <w:rPr>
          <w:rFonts w:hint="eastAsia" w:ascii="Times New Roman" w:hAnsi="Times New Roman" w:eastAsia="仿宋_GB2312" w:cs="Times New Roman"/>
          <w:sz w:val="32"/>
          <w:szCs w:val="32"/>
          <w:lang w:val="en-US" w:eastAsia="zh-CN"/>
        </w:rPr>
        <w:t>地方金融服务中心</w:t>
      </w:r>
      <w:r>
        <w:rPr>
          <w:rFonts w:hint="eastAsia" w:ascii="Times New Roman" w:hAnsi="Times New Roman" w:eastAsia="仿宋_GB2312" w:cs="Times New Roman"/>
          <w:sz w:val="32"/>
          <w:szCs w:val="32"/>
        </w:rPr>
        <w:t>副主任）</w:t>
      </w:r>
      <w:r>
        <w:rPr>
          <w:rFonts w:ascii="Times New Roman" w:hAnsi="Times New Roman" w:eastAsia="仿宋_GB2312" w:cs="Times New Roman"/>
          <w:sz w:val="32"/>
          <w:szCs w:val="32"/>
        </w:rPr>
        <w:t xml:space="preserve">      </w:t>
      </w:r>
    </w:p>
    <w:p>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kern w:val="0"/>
          <w:sz w:val="32"/>
          <w:szCs w:val="32"/>
        </w:rPr>
        <w:t>联席会议办公室设在市</w:t>
      </w:r>
      <w:r>
        <w:rPr>
          <w:rFonts w:hint="eastAsia" w:ascii="Times New Roman" w:hAnsi="Times New Roman" w:eastAsia="仿宋_GB2312" w:cs="Times New Roman"/>
          <w:kern w:val="0"/>
          <w:sz w:val="32"/>
          <w:szCs w:val="32"/>
          <w:lang w:val="en-US" w:eastAsia="zh-CN"/>
        </w:rPr>
        <w:t>发改局</w:t>
      </w:r>
      <w:r>
        <w:rPr>
          <w:rFonts w:hint="eastAsia" w:ascii="Times New Roman" w:hAnsi="Times New Roman" w:eastAsia="仿宋_GB2312" w:cs="Times New Roman"/>
          <w:kern w:val="0"/>
          <w:sz w:val="32"/>
          <w:szCs w:val="32"/>
        </w:rPr>
        <w:t>，宋晓同志担任办公室主任。</w:t>
      </w:r>
    </w:p>
    <w:p>
      <w:pPr>
        <w:spacing w:line="580" w:lineRule="exact"/>
        <w:rPr>
          <w:rFonts w:ascii="Times New Roman" w:hAnsi="Times New Roman" w:eastAsia="仿宋_GB2312" w:cs="Times New Roman"/>
          <w:sz w:val="32"/>
          <w:szCs w:val="32"/>
        </w:rPr>
      </w:pPr>
    </w:p>
    <w:p>
      <w:pPr>
        <w:spacing w:line="580" w:lineRule="exact"/>
        <w:rPr>
          <w:rFonts w:ascii="Times New Roman" w:hAnsi="Times New Roman" w:cs="Times New Roman"/>
        </w:rPr>
      </w:pPr>
    </w:p>
    <w:p>
      <w:pPr>
        <w:spacing w:line="580" w:lineRule="exact"/>
        <w:rPr>
          <w:rFonts w:ascii="Times New Roman" w:hAnsi="Times New Roman" w:cs="Times New Roman"/>
        </w:rPr>
      </w:pPr>
    </w:p>
    <w:p>
      <w:pPr>
        <w:spacing w:line="580" w:lineRule="exact"/>
        <w:rPr>
          <w:rFonts w:ascii="Times New Roman" w:hAnsi="Times New Roman" w:cs="Times New Roman"/>
        </w:rPr>
      </w:pPr>
    </w:p>
    <w:p>
      <w:pPr>
        <w:spacing w:line="580" w:lineRule="exact"/>
        <w:rPr>
          <w:rFonts w:ascii="Times New Roman" w:hAnsi="Times New Roman" w:cs="Times New Roman"/>
        </w:rPr>
      </w:pPr>
    </w:p>
    <w:sectPr>
      <w:headerReference r:id="rId5" w:type="first"/>
      <w:headerReference r:id="rId3" w:type="default"/>
      <w:footerReference r:id="rId6" w:type="default"/>
      <w:headerReference r:id="rId4" w:type="even"/>
      <w:footerReference r:id="rId7" w:type="even"/>
      <w:pgSz w:w="11906" w:h="16838"/>
      <w:pgMar w:top="2268" w:right="1531" w:bottom="1701" w:left="1531" w:header="851" w:footer="1701" w:gutter="0"/>
      <w:pgNumType w:fmt="numberInDash"/>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ourier">
    <w:altName w:val="Courier New"/>
    <w:panose1 w:val="02070409020205020404"/>
    <w:charset w:val="00"/>
    <w:family w:val="modern"/>
    <w:pitch w:val="default"/>
    <w:sig w:usb0="00000000" w:usb1="00000000" w:usb2="00000000" w:usb3="00000000" w:csb0="00000001" w:csb1="00000000"/>
  </w:font>
  <w:font w:name="Verdana">
    <w:panose1 w:val="020B0604030504040204"/>
    <w:charset w:val="00"/>
    <w:family w:val="swiss"/>
    <w:pitch w:val="default"/>
    <w:sig w:usb0="A00006FF" w:usb1="4000205B" w:usb2="00000010"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r>
      <mc:AlternateContent>
        <mc:Choice Requires="wps">
          <w:drawing>
            <wp:anchor distT="0" distB="0" distL="114300" distR="114300" simplePos="0" relativeHeight="251660288" behindDoc="0" locked="0" layoutInCell="1" allowOverlap="1">
              <wp:simplePos x="0" y="0"/>
              <wp:positionH relativeFrom="margin">
                <wp:posOffset>2590165</wp:posOffset>
              </wp:positionH>
              <wp:positionV relativeFrom="paragraph">
                <wp:posOffset>-9525</wp:posOffset>
              </wp:positionV>
              <wp:extent cx="1828800" cy="1828800"/>
              <wp:effectExtent l="0" t="0" r="0" b="0"/>
              <wp:wrapNone/>
              <wp:docPr id="5"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rPr>
                              <w:rStyle w:val="8"/>
                              <w:rFonts w:hint="default" w:ascii="Times New Roman" w:hAnsi="Times New Roman" w:cs="Times New Roman"/>
                              <w:sz w:val="24"/>
                              <w:szCs w:val="24"/>
                            </w:rPr>
                          </w:pPr>
                          <w:r>
                            <w:rPr>
                              <w:rStyle w:val="8"/>
                              <w:rFonts w:hint="default" w:ascii="Times New Roman" w:hAnsi="Times New Roman" w:cs="Times New Roman"/>
                              <w:sz w:val="24"/>
                              <w:szCs w:val="24"/>
                            </w:rPr>
                            <w:fldChar w:fldCharType="begin"/>
                          </w:r>
                          <w:r>
                            <w:rPr>
                              <w:rStyle w:val="8"/>
                              <w:rFonts w:hint="default" w:ascii="Times New Roman" w:hAnsi="Times New Roman" w:cs="Times New Roman"/>
                              <w:sz w:val="24"/>
                              <w:szCs w:val="24"/>
                            </w:rPr>
                            <w:instrText xml:space="preserve">PAGE  </w:instrText>
                          </w:r>
                          <w:r>
                            <w:rPr>
                              <w:rStyle w:val="8"/>
                              <w:rFonts w:hint="default" w:ascii="Times New Roman" w:hAnsi="Times New Roman" w:cs="Times New Roman"/>
                              <w:sz w:val="24"/>
                              <w:szCs w:val="24"/>
                            </w:rPr>
                            <w:fldChar w:fldCharType="separate"/>
                          </w:r>
                          <w:r>
                            <w:rPr>
                              <w:rStyle w:val="8"/>
                              <w:rFonts w:hint="default" w:ascii="Times New Roman" w:hAnsi="Times New Roman" w:cs="Times New Roman"/>
                              <w:sz w:val="24"/>
                              <w:szCs w:val="24"/>
                            </w:rPr>
                            <w:t>- 2 -</w:t>
                          </w:r>
                          <w:r>
                            <w:rPr>
                              <w:rStyle w:val="8"/>
                              <w:rFonts w:hint="default" w:ascii="Times New Roman" w:hAnsi="Times New Roman" w:cs="Times New Roman"/>
                              <w:sz w:val="24"/>
                              <w:szCs w:val="24"/>
                            </w:rPr>
                            <w:fldChar w:fldCharType="end"/>
                          </w:r>
                        </w:p>
                      </w:txbxContent>
                    </wps:txbx>
                    <wps:bodyPr wrap="none" lIns="0" tIns="0" rIns="0" bIns="0" upright="1">
                      <a:spAutoFit/>
                    </wps:bodyPr>
                  </wps:wsp>
                </a:graphicData>
              </a:graphic>
            </wp:anchor>
          </w:drawing>
        </mc:Choice>
        <mc:Fallback>
          <w:pict>
            <v:shape id="文本框 1" o:spid="_x0000_s1026" o:spt="202" type="#_x0000_t202" style="position:absolute;left:0pt;margin-left:203.95pt;margin-top:-0.75pt;height:144pt;width:144pt;mso-position-horizontal-relative:margin;mso-wrap-style:none;z-index:251660288;mso-width-relative:page;mso-height-relative:page;" filled="f" stroked="f" coordsize="21600,21600" o:gfxdata="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9T6dy9cAAAAKAQAADwAAAAAAAAABACAAAAAiAAAAZHJzL2Rvd25yZXYueG1sUEsBAhQAFAAA&#10;AAgAh07iQPfVHSS3AQAAVAMAAA4AAAAAAAAAAQAgAAAAJgEAAGRycy9lMm9Eb2MueG1sUEsFBgAA&#10;AAAGAAYAWQEAAE8FAAAAAA==&#10;">
              <v:fill on="f" focussize="0,0"/>
              <v:stroke on="f"/>
              <v:imagedata o:title=""/>
              <o:lock v:ext="edit" aspectratio="f"/>
              <v:textbox inset="0mm,0mm,0mm,0mm" style="mso-fit-shape-to-text:t;">
                <w:txbxContent>
                  <w:p>
                    <w:pPr>
                      <w:pStyle w:val="3"/>
                      <w:rPr>
                        <w:rStyle w:val="8"/>
                        <w:rFonts w:hint="default" w:ascii="Times New Roman" w:hAnsi="Times New Roman" w:cs="Times New Roman"/>
                        <w:sz w:val="24"/>
                        <w:szCs w:val="24"/>
                      </w:rPr>
                    </w:pPr>
                    <w:r>
                      <w:rPr>
                        <w:rStyle w:val="8"/>
                        <w:rFonts w:hint="default" w:ascii="Times New Roman" w:hAnsi="Times New Roman" w:cs="Times New Roman"/>
                        <w:sz w:val="24"/>
                        <w:szCs w:val="24"/>
                      </w:rPr>
                      <w:fldChar w:fldCharType="begin"/>
                    </w:r>
                    <w:r>
                      <w:rPr>
                        <w:rStyle w:val="8"/>
                        <w:rFonts w:hint="default" w:ascii="Times New Roman" w:hAnsi="Times New Roman" w:cs="Times New Roman"/>
                        <w:sz w:val="24"/>
                        <w:szCs w:val="24"/>
                      </w:rPr>
                      <w:instrText xml:space="preserve">PAGE  </w:instrText>
                    </w:r>
                    <w:r>
                      <w:rPr>
                        <w:rStyle w:val="8"/>
                        <w:rFonts w:hint="default" w:ascii="Times New Roman" w:hAnsi="Times New Roman" w:cs="Times New Roman"/>
                        <w:sz w:val="24"/>
                        <w:szCs w:val="24"/>
                      </w:rPr>
                      <w:fldChar w:fldCharType="separate"/>
                    </w:r>
                    <w:r>
                      <w:rPr>
                        <w:rStyle w:val="8"/>
                        <w:rFonts w:hint="default" w:ascii="Times New Roman" w:hAnsi="Times New Roman" w:cs="Times New Roman"/>
                        <w:sz w:val="24"/>
                        <w:szCs w:val="24"/>
                      </w:rPr>
                      <w:t>- 2 -</w:t>
                    </w:r>
                    <w:r>
                      <w:rPr>
                        <w:rStyle w:val="8"/>
                        <w:rFonts w:hint="default"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5102AE"/>
    <w:rsid w:val="00032079"/>
    <w:rsid w:val="00046C97"/>
    <w:rsid w:val="0007443A"/>
    <w:rsid w:val="000B6860"/>
    <w:rsid w:val="000D3DE0"/>
    <w:rsid w:val="00130E73"/>
    <w:rsid w:val="001555A2"/>
    <w:rsid w:val="0027442E"/>
    <w:rsid w:val="00286658"/>
    <w:rsid w:val="0032282A"/>
    <w:rsid w:val="003407BC"/>
    <w:rsid w:val="00384CEE"/>
    <w:rsid w:val="00393DDD"/>
    <w:rsid w:val="00394785"/>
    <w:rsid w:val="003E07E4"/>
    <w:rsid w:val="00432432"/>
    <w:rsid w:val="00456862"/>
    <w:rsid w:val="004A178C"/>
    <w:rsid w:val="004A64E7"/>
    <w:rsid w:val="00551D7C"/>
    <w:rsid w:val="00580DE6"/>
    <w:rsid w:val="005A7DBF"/>
    <w:rsid w:val="005D3C6B"/>
    <w:rsid w:val="005E5165"/>
    <w:rsid w:val="00633FDD"/>
    <w:rsid w:val="007349B4"/>
    <w:rsid w:val="007565D3"/>
    <w:rsid w:val="00797148"/>
    <w:rsid w:val="007E1B73"/>
    <w:rsid w:val="007E5613"/>
    <w:rsid w:val="008236DA"/>
    <w:rsid w:val="00887E09"/>
    <w:rsid w:val="00932FE4"/>
    <w:rsid w:val="009C38B3"/>
    <w:rsid w:val="009D104A"/>
    <w:rsid w:val="009D6180"/>
    <w:rsid w:val="00A0752E"/>
    <w:rsid w:val="00A51FD5"/>
    <w:rsid w:val="00AC4C5F"/>
    <w:rsid w:val="00AD4C37"/>
    <w:rsid w:val="00B461F1"/>
    <w:rsid w:val="00B70DE5"/>
    <w:rsid w:val="00B86921"/>
    <w:rsid w:val="00C0305F"/>
    <w:rsid w:val="00C03CF4"/>
    <w:rsid w:val="00C63208"/>
    <w:rsid w:val="00CC2AEE"/>
    <w:rsid w:val="00D76436"/>
    <w:rsid w:val="00DD683A"/>
    <w:rsid w:val="00E34DD3"/>
    <w:rsid w:val="00E86634"/>
    <w:rsid w:val="00ED3901"/>
    <w:rsid w:val="00F83BAE"/>
    <w:rsid w:val="00FB59FF"/>
    <w:rsid w:val="00FD2A71"/>
    <w:rsid w:val="00FF1EF4"/>
    <w:rsid w:val="00FF579F"/>
    <w:rsid w:val="026B5499"/>
    <w:rsid w:val="03232577"/>
    <w:rsid w:val="03782EF4"/>
    <w:rsid w:val="03AB4AE1"/>
    <w:rsid w:val="04E539A0"/>
    <w:rsid w:val="04FA2F58"/>
    <w:rsid w:val="051E3A3C"/>
    <w:rsid w:val="061A15E0"/>
    <w:rsid w:val="079B78FF"/>
    <w:rsid w:val="0A161D6B"/>
    <w:rsid w:val="0AB073BE"/>
    <w:rsid w:val="0C632FE7"/>
    <w:rsid w:val="0D14685B"/>
    <w:rsid w:val="0D154634"/>
    <w:rsid w:val="0DBD2383"/>
    <w:rsid w:val="0E927BCD"/>
    <w:rsid w:val="0EF02776"/>
    <w:rsid w:val="0F147868"/>
    <w:rsid w:val="11583DA4"/>
    <w:rsid w:val="11CB6B19"/>
    <w:rsid w:val="12962192"/>
    <w:rsid w:val="13C721BB"/>
    <w:rsid w:val="13CF4090"/>
    <w:rsid w:val="145102AE"/>
    <w:rsid w:val="146B45FA"/>
    <w:rsid w:val="16480FB7"/>
    <w:rsid w:val="17B507F9"/>
    <w:rsid w:val="1826753C"/>
    <w:rsid w:val="1BF91FDF"/>
    <w:rsid w:val="1EC3494D"/>
    <w:rsid w:val="1F4B21D5"/>
    <w:rsid w:val="22B15E6B"/>
    <w:rsid w:val="245A7F37"/>
    <w:rsid w:val="25540588"/>
    <w:rsid w:val="276C66A4"/>
    <w:rsid w:val="286A4712"/>
    <w:rsid w:val="296326F7"/>
    <w:rsid w:val="2C9D3E2F"/>
    <w:rsid w:val="2CDF4A3C"/>
    <w:rsid w:val="2D48610C"/>
    <w:rsid w:val="2E6577B7"/>
    <w:rsid w:val="2F055B86"/>
    <w:rsid w:val="2F766CF8"/>
    <w:rsid w:val="31710688"/>
    <w:rsid w:val="31BC4E23"/>
    <w:rsid w:val="31DB292B"/>
    <w:rsid w:val="32B00222"/>
    <w:rsid w:val="34311A2B"/>
    <w:rsid w:val="343C7FEB"/>
    <w:rsid w:val="34935E86"/>
    <w:rsid w:val="35D37350"/>
    <w:rsid w:val="35F72B10"/>
    <w:rsid w:val="365B3795"/>
    <w:rsid w:val="36635643"/>
    <w:rsid w:val="38DA1D70"/>
    <w:rsid w:val="38DE5E2D"/>
    <w:rsid w:val="394E7B8D"/>
    <w:rsid w:val="39903B87"/>
    <w:rsid w:val="39B6668E"/>
    <w:rsid w:val="3D517F40"/>
    <w:rsid w:val="3DDD07E6"/>
    <w:rsid w:val="3E824677"/>
    <w:rsid w:val="40993864"/>
    <w:rsid w:val="40E859E8"/>
    <w:rsid w:val="415C17E9"/>
    <w:rsid w:val="4253339B"/>
    <w:rsid w:val="44BA1452"/>
    <w:rsid w:val="44C64FF5"/>
    <w:rsid w:val="452E15D5"/>
    <w:rsid w:val="46B277CE"/>
    <w:rsid w:val="47BF595D"/>
    <w:rsid w:val="47BF5BEE"/>
    <w:rsid w:val="4AB11AB4"/>
    <w:rsid w:val="4C7823A0"/>
    <w:rsid w:val="4CBA0519"/>
    <w:rsid w:val="4CC63CA0"/>
    <w:rsid w:val="4D0C6767"/>
    <w:rsid w:val="4E37535E"/>
    <w:rsid w:val="4F333A3B"/>
    <w:rsid w:val="4FBA6B9A"/>
    <w:rsid w:val="503D41F5"/>
    <w:rsid w:val="50ED013A"/>
    <w:rsid w:val="518B0C47"/>
    <w:rsid w:val="53201BD8"/>
    <w:rsid w:val="54C92AB2"/>
    <w:rsid w:val="550E4AFA"/>
    <w:rsid w:val="578454A7"/>
    <w:rsid w:val="58700C56"/>
    <w:rsid w:val="58F81E99"/>
    <w:rsid w:val="59526504"/>
    <w:rsid w:val="59F20E24"/>
    <w:rsid w:val="5A491469"/>
    <w:rsid w:val="5A72066F"/>
    <w:rsid w:val="5BB22EBE"/>
    <w:rsid w:val="5BB663A0"/>
    <w:rsid w:val="5C766C3B"/>
    <w:rsid w:val="5F504F12"/>
    <w:rsid w:val="5FD546E2"/>
    <w:rsid w:val="604F0504"/>
    <w:rsid w:val="610D7BC2"/>
    <w:rsid w:val="62887B93"/>
    <w:rsid w:val="6302054B"/>
    <w:rsid w:val="63B62E0A"/>
    <w:rsid w:val="63CD1391"/>
    <w:rsid w:val="65C761C8"/>
    <w:rsid w:val="65EC172C"/>
    <w:rsid w:val="66B939B3"/>
    <w:rsid w:val="68776701"/>
    <w:rsid w:val="69710600"/>
    <w:rsid w:val="6BBD2991"/>
    <w:rsid w:val="6BCF0096"/>
    <w:rsid w:val="6D18110D"/>
    <w:rsid w:val="6DB05FB3"/>
    <w:rsid w:val="6FDE1C55"/>
    <w:rsid w:val="71B44B4F"/>
    <w:rsid w:val="72421EED"/>
    <w:rsid w:val="72DC0297"/>
    <w:rsid w:val="746B0AFA"/>
    <w:rsid w:val="748E13B6"/>
    <w:rsid w:val="74D15B2C"/>
    <w:rsid w:val="75CE2E79"/>
    <w:rsid w:val="75D919E5"/>
    <w:rsid w:val="77B03A8A"/>
    <w:rsid w:val="77C91E3B"/>
    <w:rsid w:val="789D0CB5"/>
    <w:rsid w:val="78A3523B"/>
    <w:rsid w:val="7A0D4DD6"/>
    <w:rsid w:val="7A141175"/>
    <w:rsid w:val="7B1C36FE"/>
    <w:rsid w:val="7B40293D"/>
    <w:rsid w:val="7BAA7C74"/>
    <w:rsid w:val="7BC0654C"/>
    <w:rsid w:val="7C5C4460"/>
    <w:rsid w:val="7C8A30AB"/>
    <w:rsid w:val="7EF863C5"/>
    <w:rsid w:val="7FF80F3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99" w:semiHidden="0"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semiHidden/>
    <w:qFormat/>
    <w:uiPriority w:val="99"/>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lock Text"/>
    <w:basedOn w:val="1"/>
    <w:qFormat/>
    <w:uiPriority w:val="99"/>
    <w:pPr>
      <w:ind w:left="1289" w:leftChars="101" w:right="320" w:rightChars="100" w:hanging="966" w:hangingChars="483"/>
    </w:pPr>
    <w:rPr>
      <w:rFonts w:ascii="Times New Roman" w:hAnsi="Times New Roman" w:eastAsia="仿宋_GB2312" w:cs="Courier"/>
      <w:sz w:val="32"/>
      <w:szCs w:val="24"/>
    </w:r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semiHidden/>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Strong"/>
    <w:basedOn w:val="6"/>
    <w:qFormat/>
    <w:locked/>
    <w:uiPriority w:val="0"/>
    <w:rPr>
      <w:b/>
    </w:rPr>
  </w:style>
  <w:style w:type="character" w:styleId="8">
    <w:name w:val="page number"/>
    <w:basedOn w:val="6"/>
    <w:qFormat/>
    <w:uiPriority w:val="99"/>
    <w:rPr>
      <w:rFonts w:cs="Times New Roman"/>
    </w:rPr>
  </w:style>
  <w:style w:type="character" w:customStyle="1" w:styleId="9">
    <w:name w:val="Footer Char"/>
    <w:basedOn w:val="6"/>
    <w:link w:val="3"/>
    <w:semiHidden/>
    <w:qFormat/>
    <w:locked/>
    <w:uiPriority w:val="99"/>
    <w:rPr>
      <w:rFonts w:cs="Calibri"/>
      <w:sz w:val="18"/>
      <w:szCs w:val="18"/>
    </w:rPr>
  </w:style>
  <w:style w:type="character" w:customStyle="1" w:styleId="10">
    <w:name w:val="Header Char"/>
    <w:basedOn w:val="6"/>
    <w:link w:val="4"/>
    <w:semiHidden/>
    <w:qFormat/>
    <w:uiPriority w:val="99"/>
    <w:rPr>
      <w:rFonts w:ascii="Calibri" w:hAnsi="Calibri" w:cs="Calibri"/>
      <w:sz w:val="18"/>
      <w:szCs w:val="18"/>
    </w:rPr>
  </w:style>
  <w:style w:type="paragraph" w:customStyle="1" w:styleId="11">
    <w:name w:val="Char Char Char Char"/>
    <w:basedOn w:val="1"/>
    <w:uiPriority w:val="99"/>
    <w:pPr>
      <w:widowControl/>
      <w:spacing w:after="160" w:line="240" w:lineRule="exact"/>
      <w:jc w:val="left"/>
    </w:pPr>
    <w:rPr>
      <w:rFonts w:ascii="Verdana" w:hAnsi="Verdana" w:cs="Times New Roman"/>
      <w:kern w:val="0"/>
      <w:sz w:val="24"/>
      <w:szCs w:val="20"/>
      <w:lang w:eastAsia="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MC SYSTEM</Company>
  <Pages>10</Pages>
  <Words>579</Words>
  <Characters>3303</Characters>
  <Lines>0</Lines>
  <Paragraphs>0</Paragraphs>
  <TotalTime>6</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2018-05-25T02:24:00Z</dcterms:created>
  <dc:creator>苍茫的天涯</dc:creator>
  <cp:lastModifiedBy>陌上花，相思扣</cp:lastModifiedBy>
  <cp:lastPrinted>2021-03-16T06:30:00Z</cp:lastPrinted>
  <dcterms:modified xsi:type="dcterms:W3CDTF">2021-03-30T02:35:39Z</dcterms:modified>
  <dc:title>乳山市人民政府办公室文件</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