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8B344C">
      <w:pPr>
        <w:pStyle w:val="8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7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lang w:eastAsia="zh-CN"/>
        </w:rPr>
        <w:t>乳山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eastAsia="zh-CN"/>
        </w:rPr>
        <w:t>市人民政府</w:t>
      </w:r>
    </w:p>
    <w:p w14:paraId="1030C99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</w:rPr>
        <w:t>关于公布乳山市人民政府202</w:t>
      </w:r>
      <w:r>
        <w:rPr>
          <w:rFonts w:hint="default" w:ascii="Times New Roman" w:hAnsi="Times New Roman" w:eastAsia="方正小标宋简体" w:cs="Times New Roman"/>
          <w:color w:val="000000"/>
          <w:sz w:val="44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color w:val="000000"/>
          <w:sz w:val="44"/>
        </w:rPr>
        <w:t>年度重大行政</w:t>
      </w:r>
    </w:p>
    <w:p w14:paraId="766E886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</w:rPr>
        <w:t>决策事项目录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的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val="en-US" w:eastAsia="zh-CN"/>
        </w:rPr>
        <w:t>通知</w:t>
      </w:r>
    </w:p>
    <w:p w14:paraId="21552BDF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乳政发〔2025〕</w:t>
      </w:r>
      <w:r>
        <w:rPr>
          <w:rFonts w:hint="eastAsia" w:eastAsia="仿宋_GB2312" w:cs="Times New Roman"/>
          <w:color w:val="000000"/>
          <w:kern w:val="2"/>
          <w:sz w:val="32"/>
          <w:szCs w:val="24"/>
          <w:lang w:val="en-US" w:eastAsia="zh-CN" w:bidi="ar"/>
        </w:rPr>
        <w:t>4</w:t>
      </w:r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号</w:t>
      </w:r>
    </w:p>
    <w:bookmarkEnd w:id="0"/>
    <w:p w14:paraId="6A4D3376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</w:pPr>
    </w:p>
    <w:p w14:paraId="24FEA64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 xml:space="preserve">各镇人民政府，市政府各部门、单位，滨海新区（银滩旅游度假 </w:t>
      </w:r>
    </w:p>
    <w:p w14:paraId="4E0A7B8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区）、经济开发区、城区街道办事处，各市属国有企业：</w:t>
      </w:r>
    </w:p>
    <w:p w14:paraId="797B42A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608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为促进科学决策、民主决策、依法决策，根据《重大行政决策程序暂行条例》《山东省重大行政决策程序规定》和《威海市重大行政决策程序规定》等相关规定，市政府编制了《乳山市人民政府202</w:t>
      </w:r>
      <w:r>
        <w:rPr>
          <w:rFonts w:hint="eastAsia" w:eastAsia="仿宋_GB2312" w:cs="Times New Roman"/>
          <w:color w:val="000000"/>
          <w:kern w:val="0"/>
          <w:sz w:val="31"/>
          <w:szCs w:val="31"/>
          <w:lang w:val="en-US" w:eastAsia="zh-CN" w:bidi="ar"/>
        </w:rPr>
        <w:t>5</w:t>
      </w: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年度重大行政决策事项目录》，现予公布。各有关部门和单位要严格按照重大行政决策法定程序，认真做好决策事项办理工作，及时提报市政府常务会议审议决定。</w:t>
      </w:r>
    </w:p>
    <w:p w14:paraId="2E2462D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608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重大行政决策事项目录实行动态管理。未列入目录的项目，如确有必要、条件成熟并经市政府领导同意，有关部门可以适时提出。</w:t>
      </w:r>
    </w:p>
    <w:p w14:paraId="17E7F62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912" w:firstLineChars="3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</w:p>
    <w:p w14:paraId="44F56C6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608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附件：乳山市人民政府2025年度重大行政决策事项目录</w:t>
      </w:r>
    </w:p>
    <w:p w14:paraId="2774D7A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912" w:firstLineChars="3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</w:p>
    <w:p w14:paraId="31BF149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912" w:firstLineChars="3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</w:p>
    <w:p w14:paraId="72C5E61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63A1071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2025年4月18日        </w:t>
      </w:r>
    </w:p>
    <w:p w14:paraId="4C136C07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/>
          <w:lang w:val="en-US" w:eastAsia="zh-CN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38558BD7">
      <w:pPr>
        <w:widowControl/>
        <w:jc w:val="left"/>
        <w:rPr>
          <w:rFonts w:eastAsia="仿宋_GB2312"/>
          <w:bCs/>
          <w:color w:val="000000"/>
          <w:sz w:val="32"/>
        </w:rPr>
      </w:pPr>
      <w:r>
        <w:rPr>
          <w:rFonts w:eastAsia="仿宋_GB2312"/>
          <w:bCs/>
          <w:color w:val="000000"/>
          <w:sz w:val="32"/>
        </w:rPr>
        <w:br w:type="page"/>
      </w:r>
    </w:p>
    <w:p w14:paraId="552812EE">
      <w:pPr>
        <w:spacing w:line="580" w:lineRule="exact"/>
        <w:ind w:right="22" w:rightChars="11"/>
        <w:jc w:val="both"/>
        <w:rPr>
          <w:rFonts w:hint="eastAsia" w:ascii="黑体" w:hAnsi="黑体" w:eastAsia="黑体" w:cs="黑体"/>
          <w:bCs/>
          <w:color w:val="000000"/>
          <w:sz w:val="32"/>
          <w:szCs w:val="24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24"/>
          <w:lang w:val="en-US" w:eastAsia="zh-CN"/>
        </w:rPr>
        <w:t>附件</w:t>
      </w:r>
    </w:p>
    <w:p w14:paraId="15E00EF9">
      <w:pPr>
        <w:spacing w:line="580" w:lineRule="exact"/>
        <w:ind w:right="22" w:rightChars="11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</w:p>
    <w:p w14:paraId="536A79CE">
      <w:pPr>
        <w:spacing w:line="580" w:lineRule="exact"/>
        <w:ind w:right="22" w:rightChars="11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  <w:t>乳山市人民政府</w:t>
      </w: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</w:rPr>
        <w:t>202</w:t>
      </w: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  <w:t>年度</w:t>
      </w:r>
    </w:p>
    <w:p w14:paraId="1B27F6CB">
      <w:pPr>
        <w:spacing w:line="580" w:lineRule="exact"/>
        <w:ind w:right="22" w:rightChars="11"/>
        <w:jc w:val="center"/>
        <w:rPr>
          <w:rFonts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  <w:t>重大行政决策事项目录</w:t>
      </w:r>
    </w:p>
    <w:p w14:paraId="599E3CB2">
      <w:pPr>
        <w:spacing w:line="580" w:lineRule="exact"/>
        <w:ind w:right="22" w:rightChars="11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</w:p>
    <w:p w14:paraId="2085AB67">
      <w:pPr>
        <w:spacing w:line="580" w:lineRule="exact"/>
        <w:ind w:right="22" w:rightChars="11"/>
        <w:jc w:val="center"/>
        <w:rPr>
          <w:rFonts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</w:p>
    <w:tbl>
      <w:tblPr>
        <w:tblStyle w:val="10"/>
        <w:tblpPr w:leftFromText="180" w:rightFromText="180" w:vertAnchor="page" w:horzAnchor="page" w:tblpX="1338" w:tblpY="4697"/>
        <w:tblOverlap w:val="never"/>
        <w:tblW w:w="95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980"/>
        <w:gridCol w:w="4549"/>
        <w:gridCol w:w="2171"/>
      </w:tblGrid>
      <w:tr w14:paraId="3609E2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861" w:type="dxa"/>
            <w:vAlign w:val="center"/>
          </w:tcPr>
          <w:p w14:paraId="67BE27AA">
            <w:pPr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序号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236199F1">
            <w:pPr>
              <w:jc w:val="center"/>
              <w:rPr>
                <w:rFonts w:hint="default" w:ascii="Times New Roman" w:hAnsi="Times New Roman" w:eastAsia="黑体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  <w:lang w:val="en-US" w:eastAsia="zh-CN"/>
              </w:rPr>
              <w:t>决策</w:t>
            </w: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承办单位</w:t>
            </w:r>
          </w:p>
        </w:tc>
        <w:tc>
          <w:tcPr>
            <w:tcW w:w="4549" w:type="dxa"/>
            <w:vAlign w:val="center"/>
          </w:tcPr>
          <w:p w14:paraId="3DD10036">
            <w:pPr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决策事项名称</w:t>
            </w:r>
          </w:p>
        </w:tc>
        <w:tc>
          <w:tcPr>
            <w:tcW w:w="2171" w:type="dxa"/>
            <w:vAlign w:val="center"/>
          </w:tcPr>
          <w:p w14:paraId="0819692E">
            <w:pPr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拟</w:t>
            </w:r>
            <w:r>
              <w:rPr>
                <w:rFonts w:hint="eastAsia" w:ascii="Times New Roman" w:hAnsi="Times New Roman" w:eastAsia="黑体" w:cs="Times New Roman"/>
                <w:sz w:val="28"/>
                <w:szCs w:val="28"/>
                <w:lang w:val="en-US" w:eastAsia="zh-CN"/>
              </w:rPr>
              <w:t>提报研究</w:t>
            </w: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时间</w:t>
            </w:r>
          </w:p>
        </w:tc>
      </w:tr>
      <w:tr w14:paraId="7015A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" w:hRule="atLeast"/>
        </w:trPr>
        <w:tc>
          <w:tcPr>
            <w:tcW w:w="861" w:type="dxa"/>
            <w:vAlign w:val="center"/>
          </w:tcPr>
          <w:p w14:paraId="6DB28713"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1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3BF3DF5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海洋发展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局</w:t>
            </w:r>
          </w:p>
        </w:tc>
        <w:tc>
          <w:tcPr>
            <w:tcW w:w="4549" w:type="dxa"/>
            <w:vAlign w:val="center"/>
          </w:tcPr>
          <w:p w14:paraId="0D87007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乳山市养殖水域滩涂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规划</w:t>
            </w:r>
          </w:p>
        </w:tc>
        <w:tc>
          <w:tcPr>
            <w:tcW w:w="2171" w:type="dxa"/>
            <w:vAlign w:val="center"/>
          </w:tcPr>
          <w:p w14:paraId="0C5F8EE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月</w:t>
            </w:r>
          </w:p>
        </w:tc>
      </w:tr>
      <w:tr w14:paraId="7653B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" w:hRule="atLeast"/>
        </w:trPr>
        <w:tc>
          <w:tcPr>
            <w:tcW w:w="861" w:type="dxa"/>
            <w:vAlign w:val="center"/>
          </w:tcPr>
          <w:p w14:paraId="76D4C91D"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2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04E69F7B">
            <w:pPr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水利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局</w:t>
            </w:r>
          </w:p>
        </w:tc>
        <w:tc>
          <w:tcPr>
            <w:tcW w:w="4549" w:type="dxa"/>
            <w:vAlign w:val="center"/>
          </w:tcPr>
          <w:p w14:paraId="28E76F74">
            <w:pPr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乳山市河道采砂规划（2025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2029年）</w:t>
            </w:r>
          </w:p>
        </w:tc>
        <w:tc>
          <w:tcPr>
            <w:tcW w:w="2171" w:type="dxa"/>
            <w:vAlign w:val="center"/>
          </w:tcPr>
          <w:p w14:paraId="479D1DD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月</w:t>
            </w:r>
          </w:p>
        </w:tc>
      </w:tr>
      <w:tr w14:paraId="738C69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</w:trPr>
        <w:tc>
          <w:tcPr>
            <w:tcW w:w="861" w:type="dxa"/>
            <w:vAlign w:val="center"/>
          </w:tcPr>
          <w:p w14:paraId="4FAE667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5CFBD9E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水利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局</w:t>
            </w:r>
          </w:p>
        </w:tc>
        <w:tc>
          <w:tcPr>
            <w:tcW w:w="4549" w:type="dxa"/>
            <w:vAlign w:val="center"/>
          </w:tcPr>
          <w:p w14:paraId="6DF5F334">
            <w:pPr>
              <w:spacing w:line="5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乳山市禁止开垦陡坡地范围划定</w:t>
            </w:r>
          </w:p>
        </w:tc>
        <w:tc>
          <w:tcPr>
            <w:tcW w:w="2171" w:type="dxa"/>
            <w:vAlign w:val="center"/>
          </w:tcPr>
          <w:p w14:paraId="1CDC817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月</w:t>
            </w:r>
          </w:p>
        </w:tc>
      </w:tr>
    </w:tbl>
    <w:p w14:paraId="2C63CC58">
      <w:pPr>
        <w:rPr>
          <w:rFonts w:eastAsia="仿宋_GB2312"/>
          <w:sz w:val="32"/>
          <w:szCs w:val="32"/>
        </w:rPr>
      </w:pPr>
    </w:p>
    <w:p w14:paraId="75522E61">
      <w:pPr>
        <w:rPr>
          <w:rFonts w:eastAsia="仿宋_GB2312"/>
          <w:sz w:val="32"/>
          <w:szCs w:val="32"/>
        </w:rPr>
      </w:pPr>
    </w:p>
    <w:p w14:paraId="75984616">
      <w:pPr>
        <w:rPr>
          <w:rFonts w:eastAsia="仿宋_GB2312"/>
          <w:sz w:val="32"/>
          <w:szCs w:val="32"/>
        </w:rPr>
      </w:pPr>
    </w:p>
    <w:p w14:paraId="74D51DC0">
      <w:pPr>
        <w:keepNext w:val="0"/>
        <w:keepLines w:val="0"/>
        <w:pageBreakBefore w:val="0"/>
        <w:widowControl w:val="0"/>
        <w:tabs>
          <w:tab w:val="left" w:pos="1050"/>
          <w:tab w:val="left" w:pos="357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64" w:firstLineChars="200"/>
        <w:jc w:val="both"/>
        <w:textAlignment w:val="auto"/>
        <w:rPr>
          <w:rFonts w:hint="default" w:ascii="Times New Roman" w:hAnsi="Times New Roman" w:eastAsia="仿宋_GB2312" w:cs="Times New Roman"/>
          <w:spacing w:val="9"/>
          <w:sz w:val="32"/>
          <w:szCs w:val="32"/>
        </w:rPr>
      </w:pPr>
    </w:p>
    <w:p w14:paraId="036CA060">
      <w:pPr>
        <w:keepNext w:val="0"/>
        <w:keepLines w:val="0"/>
        <w:pageBreakBefore w:val="0"/>
        <w:widowControl w:val="0"/>
        <w:tabs>
          <w:tab w:val="left" w:pos="1050"/>
          <w:tab w:val="left" w:pos="357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64" w:firstLineChars="200"/>
        <w:jc w:val="both"/>
        <w:textAlignment w:val="auto"/>
        <w:rPr>
          <w:rFonts w:hint="default" w:ascii="Times New Roman" w:hAnsi="Times New Roman" w:eastAsia="仿宋_GB2312" w:cs="Times New Roman"/>
          <w:spacing w:val="9"/>
          <w:sz w:val="32"/>
          <w:szCs w:val="32"/>
        </w:rPr>
      </w:pPr>
    </w:p>
    <w:p w14:paraId="168EA3A0">
      <w:pPr>
        <w:keepNext w:val="0"/>
        <w:keepLines w:val="0"/>
        <w:pageBreakBefore w:val="0"/>
        <w:widowControl w:val="0"/>
        <w:tabs>
          <w:tab w:val="left" w:pos="1050"/>
          <w:tab w:val="left" w:pos="357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64" w:firstLineChars="200"/>
        <w:jc w:val="both"/>
        <w:textAlignment w:val="auto"/>
        <w:rPr>
          <w:rFonts w:hint="default" w:ascii="Times New Roman" w:hAnsi="Times New Roman" w:eastAsia="仿宋_GB2312" w:cs="Times New Roman"/>
          <w:spacing w:val="9"/>
          <w:sz w:val="32"/>
          <w:szCs w:val="32"/>
        </w:rPr>
      </w:pPr>
    </w:p>
    <w:p w14:paraId="07CDE07C">
      <w:pPr>
        <w:keepNext w:val="0"/>
        <w:keepLines w:val="0"/>
        <w:pageBreakBefore w:val="0"/>
        <w:widowControl w:val="0"/>
        <w:tabs>
          <w:tab w:val="left" w:pos="1050"/>
          <w:tab w:val="left" w:pos="357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64" w:firstLineChars="200"/>
        <w:jc w:val="both"/>
        <w:textAlignment w:val="auto"/>
        <w:rPr>
          <w:rFonts w:hint="default" w:ascii="Times New Roman" w:hAnsi="Times New Roman" w:eastAsia="仿宋_GB2312" w:cs="Times New Roman"/>
          <w:spacing w:val="9"/>
          <w:sz w:val="32"/>
          <w:szCs w:val="32"/>
        </w:rPr>
      </w:pPr>
    </w:p>
    <w:p w14:paraId="3950EDA4"/>
    <w:sectPr>
      <w:headerReference r:id="rId5" w:type="first"/>
      <w:headerReference r:id="rId3" w:type="default"/>
      <w:footerReference r:id="rId6" w:type="default"/>
      <w:headerReference r:id="rId4" w:type="even"/>
      <w:pgSz w:w="11906" w:h="16838"/>
      <w:pgMar w:top="2098" w:right="1531" w:bottom="1984" w:left="1531" w:header="851" w:footer="1531" w:gutter="0"/>
      <w:cols w:space="0" w:num="1"/>
      <w:rtlGutter w:val="0"/>
      <w:docGrid w:type="linesAndChars" w:linePitch="592" w:charSpace="-142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50D554">
    <w:pPr>
      <w:pStyle w:val="6"/>
      <w:snapToGrid/>
      <w:jc w:val="center"/>
      <w:rPr>
        <w:rFonts w:ascii="宋体" w:hAnsi="宋体"/>
        <w:sz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772282"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ind w:left="315" w:leftChars="150" w:right="315" w:rightChars="150"/>
                            <w:jc w:val="center"/>
                            <w:textAlignment w:val="auto"/>
                          </w:pP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instrText xml:space="preserve"> PAGE Page \* MERGEFORMAT </w:instrTex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>3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772282"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/>
                      <w:ind w:left="315" w:leftChars="150" w:right="315" w:rightChars="150"/>
                      <w:jc w:val="center"/>
                      <w:textAlignment w:val="auto"/>
                    </w:pPr>
                    <w:r>
                      <w:rPr>
                        <w:rFonts w:ascii="宋体" w:hAnsi="宋体"/>
                        <w:sz w:val="28"/>
                      </w:rPr>
                      <w:t xml:space="preserve">— 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</w:rPr>
                      <w:instrText xml:space="preserve"> PAGE Page \* MERGEFORMAT </w:instrText>
                    </w:r>
                    <w:r>
                      <w:rPr>
                        <w:rFonts w:ascii="宋体" w:hAnsi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</w:rPr>
                      <w:t>3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B2E9A0"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10EFC0">
    <w:pPr>
      <w:pStyle w:val="7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646F87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B157D8"/>
    <w:rsid w:val="05B15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Body Text Indent"/>
    <w:basedOn w:val="1"/>
    <w:next w:val="2"/>
    <w:qFormat/>
    <w:uiPriority w:val="99"/>
    <w:pPr>
      <w:spacing w:after="120"/>
      <w:ind w:left="420" w:leftChars="200"/>
    </w:pPr>
  </w:style>
  <w:style w:type="paragraph" w:styleId="5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ascii="Calibri" w:hAnsi="Calibri"/>
      <w:szCs w:val="24"/>
    </w:rPr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Body Text First Indent 2"/>
    <w:basedOn w:val="4"/>
    <w:next w:val="1"/>
    <w:qFormat/>
    <w:uiPriority w:val="99"/>
    <w:pPr>
      <w:ind w:firstLine="420"/>
    </w:p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2025-05-06T02:14:00Z</dcterms:created>
  <dc:creator>Administrator</dc:creator>
  <cp:lastModifiedBy>Administrator</cp:lastModifiedBy>
  <dcterms:modified xsi:type="dcterms:W3CDTF">2025-05-06T02:14:45Z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392FDE9D0EFB4A54B876EB99D0AF01EF_11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