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49DA40">
      <w:pPr>
        <w:tabs>
          <w:tab w:val="left" w:pos="7350"/>
        </w:tabs>
        <w:adjustRightInd w:val="0"/>
        <w:snapToGrid w:val="0"/>
        <w:spacing w:line="580" w:lineRule="exact"/>
        <w:jc w:val="center"/>
        <w:rPr>
          <w:rFonts w:eastAsia="方正小标宋简体"/>
          <w:sz w:val="44"/>
          <w:szCs w:val="44"/>
        </w:rPr>
      </w:pPr>
      <w:r>
        <w:rPr>
          <w:rFonts w:eastAsia="方正小标宋简体"/>
          <w:sz w:val="44"/>
          <w:szCs w:val="44"/>
        </w:rPr>
        <w:t>乳山市人民政府办公室</w:t>
      </w:r>
    </w:p>
    <w:p w14:paraId="19460131">
      <w:pPr>
        <w:widowControl/>
        <w:adjustRightInd w:val="0"/>
        <w:snapToGrid w:val="0"/>
        <w:spacing w:line="580" w:lineRule="exact"/>
        <w:jc w:val="center"/>
        <w:rPr>
          <w:rFonts w:eastAsia="方正小标宋简体"/>
          <w:kern w:val="0"/>
          <w:sz w:val="44"/>
          <w:szCs w:val="44"/>
        </w:rPr>
      </w:pPr>
      <w:r>
        <w:rPr>
          <w:rFonts w:eastAsia="方正小标宋简体"/>
          <w:sz w:val="44"/>
          <w:szCs w:val="44"/>
        </w:rPr>
        <w:t>关于印发</w:t>
      </w:r>
      <w:r>
        <w:rPr>
          <w:rFonts w:eastAsia="方正小标宋简体"/>
          <w:kern w:val="0"/>
          <w:sz w:val="44"/>
          <w:szCs w:val="44"/>
        </w:rPr>
        <w:t>乳山市农村改厕长效管护机制</w:t>
      </w:r>
    </w:p>
    <w:p w14:paraId="5492A4C0">
      <w:pPr>
        <w:widowControl/>
        <w:adjustRightInd w:val="0"/>
        <w:snapToGrid w:val="0"/>
        <w:spacing w:line="580" w:lineRule="exact"/>
        <w:jc w:val="center"/>
        <w:rPr>
          <w:rFonts w:eastAsia="方正小标宋简体"/>
          <w:sz w:val="44"/>
          <w:szCs w:val="44"/>
        </w:rPr>
      </w:pPr>
      <w:r>
        <w:rPr>
          <w:rFonts w:eastAsia="方正小标宋简体"/>
          <w:kern w:val="0"/>
          <w:sz w:val="44"/>
          <w:szCs w:val="44"/>
        </w:rPr>
        <w:t>实施方案</w:t>
      </w:r>
      <w:r>
        <w:rPr>
          <w:rFonts w:eastAsia="方正小标宋简体"/>
          <w:sz w:val="44"/>
          <w:szCs w:val="44"/>
        </w:rPr>
        <w:t>的通知</w:t>
      </w:r>
    </w:p>
    <w:p w14:paraId="029A740E">
      <w:pPr>
        <w:adjustRightInd w:val="0"/>
        <w:snapToGrid w:val="0"/>
        <w:spacing w:line="560" w:lineRule="exact"/>
        <w:jc w:val="center"/>
        <w:rPr>
          <w:rFonts w:eastAsia="仿宋_GB2312"/>
          <w:color w:val="000000"/>
          <w:kern w:val="0"/>
          <w:sz w:val="32"/>
          <w:szCs w:val="32"/>
        </w:rPr>
      </w:pPr>
      <w:bookmarkStart w:id="0" w:name="_GoBack"/>
      <w:r>
        <w:rPr>
          <w:rFonts w:eastAsia="仿宋_GB2312"/>
          <w:color w:val="000000"/>
          <w:kern w:val="0"/>
          <w:sz w:val="32"/>
          <w:szCs w:val="32"/>
        </w:rPr>
        <w:t>乳政办发〔2018〕39号</w:t>
      </w:r>
      <w:bookmarkEnd w:id="0"/>
    </w:p>
    <w:p w14:paraId="2B71817A">
      <w:pPr>
        <w:adjustRightInd w:val="0"/>
        <w:snapToGrid w:val="0"/>
        <w:spacing w:line="580" w:lineRule="exact"/>
        <w:rPr>
          <w:rFonts w:eastAsia="仿宋_GB2312"/>
          <w:sz w:val="32"/>
          <w:szCs w:val="32"/>
        </w:rPr>
      </w:pPr>
    </w:p>
    <w:p w14:paraId="76D000B1">
      <w:pPr>
        <w:tabs>
          <w:tab w:val="left" w:pos="7140"/>
          <w:tab w:val="left" w:pos="7560"/>
        </w:tabs>
        <w:adjustRightInd w:val="0"/>
        <w:snapToGrid w:val="0"/>
        <w:spacing w:line="580" w:lineRule="exact"/>
        <w:rPr>
          <w:rFonts w:eastAsia="仿宋_GB2312"/>
          <w:color w:val="000000"/>
          <w:sz w:val="32"/>
          <w:szCs w:val="32"/>
        </w:rPr>
      </w:pPr>
      <w:r>
        <w:rPr>
          <w:rFonts w:eastAsia="仿宋_GB2312"/>
          <w:color w:val="000000"/>
          <w:sz w:val="32"/>
          <w:szCs w:val="32"/>
        </w:rPr>
        <w:t>各镇人民政府，市政府各部门、单位，滨海新区、经济开发区、城区街道办事处，各市属国有企业：</w:t>
      </w:r>
    </w:p>
    <w:p w14:paraId="6272436A">
      <w:pPr>
        <w:tabs>
          <w:tab w:val="left" w:pos="7560"/>
        </w:tabs>
        <w:adjustRightInd w:val="0"/>
        <w:snapToGrid w:val="0"/>
        <w:spacing w:line="580" w:lineRule="exact"/>
        <w:ind w:firstLine="640"/>
        <w:rPr>
          <w:rFonts w:eastAsia="仿宋_GB2312"/>
          <w:sz w:val="32"/>
          <w:szCs w:val="32"/>
        </w:rPr>
      </w:pPr>
      <w:r>
        <w:rPr>
          <w:rFonts w:eastAsia="仿宋_GB2312"/>
          <w:sz w:val="32"/>
          <w:szCs w:val="32"/>
        </w:rPr>
        <w:t>《乳山市农村改厕长效管护机制实施方案》已经市政府同意，现印发给你们，请认真组织实施。</w:t>
      </w:r>
    </w:p>
    <w:p w14:paraId="1E7A9DA8">
      <w:pPr>
        <w:adjustRightInd w:val="0"/>
        <w:snapToGrid w:val="0"/>
        <w:spacing w:line="580" w:lineRule="exact"/>
        <w:ind w:firstLine="640"/>
        <w:rPr>
          <w:rFonts w:eastAsia="仿宋_GB2312"/>
          <w:sz w:val="32"/>
          <w:szCs w:val="32"/>
        </w:rPr>
      </w:pPr>
    </w:p>
    <w:p w14:paraId="20C5E0BC">
      <w:pPr>
        <w:adjustRightInd w:val="0"/>
        <w:snapToGrid w:val="0"/>
        <w:spacing w:line="580" w:lineRule="exact"/>
        <w:ind w:firstLine="640"/>
        <w:rPr>
          <w:rFonts w:eastAsia="仿宋_GB2312"/>
          <w:sz w:val="32"/>
          <w:szCs w:val="32"/>
        </w:rPr>
      </w:pPr>
    </w:p>
    <w:p w14:paraId="63D6EF0D">
      <w:pPr>
        <w:wordWrap w:val="0"/>
        <w:adjustRightInd w:val="0"/>
        <w:snapToGrid w:val="0"/>
        <w:spacing w:line="580" w:lineRule="exact"/>
        <w:ind w:firstLine="640"/>
        <w:jc w:val="center"/>
        <w:rPr>
          <w:rFonts w:eastAsia="仿宋_GB2312"/>
          <w:sz w:val="32"/>
          <w:szCs w:val="32"/>
        </w:rPr>
      </w:pPr>
      <w:r>
        <w:rPr>
          <w:rFonts w:eastAsia="仿宋_GB2312"/>
          <w:sz w:val="32"/>
          <w:szCs w:val="32"/>
        </w:rPr>
        <w:t xml:space="preserve">                   乳山市人民政府办公室</w:t>
      </w:r>
    </w:p>
    <w:p w14:paraId="40D70C59">
      <w:pPr>
        <w:tabs>
          <w:tab w:val="left" w:pos="7560"/>
        </w:tabs>
        <w:adjustRightInd w:val="0"/>
        <w:snapToGrid w:val="0"/>
        <w:spacing w:line="580" w:lineRule="exact"/>
        <w:jc w:val="center"/>
        <w:rPr>
          <w:rFonts w:eastAsia="仿宋_GB2312"/>
          <w:sz w:val="32"/>
          <w:szCs w:val="32"/>
        </w:rPr>
      </w:pPr>
      <w:r>
        <w:rPr>
          <w:rFonts w:eastAsia="仿宋_GB2312"/>
          <w:sz w:val="32"/>
          <w:szCs w:val="32"/>
        </w:rPr>
        <w:t xml:space="preserve">                       2018年11月19日 </w:t>
      </w:r>
    </w:p>
    <w:p w14:paraId="758361E4">
      <w:pPr>
        <w:adjustRightInd w:val="0"/>
        <w:snapToGrid w:val="0"/>
        <w:spacing w:line="580" w:lineRule="exact"/>
        <w:rPr>
          <w:rFonts w:eastAsia="仿宋_GB2312"/>
          <w:sz w:val="32"/>
          <w:szCs w:val="32"/>
        </w:rPr>
      </w:pPr>
      <w:r>
        <w:rPr>
          <w:rFonts w:eastAsia="仿宋_GB2312"/>
          <w:sz w:val="32"/>
          <w:szCs w:val="32"/>
        </w:rPr>
        <w:t xml:space="preserve">    （此件公开发布）</w:t>
      </w:r>
    </w:p>
    <w:p w14:paraId="2F541984">
      <w:pPr>
        <w:widowControl/>
        <w:adjustRightInd w:val="0"/>
        <w:snapToGrid w:val="0"/>
        <w:spacing w:line="600" w:lineRule="exact"/>
        <w:jc w:val="center"/>
        <w:rPr>
          <w:rFonts w:eastAsia="方正小标宋简体"/>
          <w:kern w:val="0"/>
          <w:sz w:val="44"/>
          <w:szCs w:val="44"/>
        </w:rPr>
      </w:pPr>
    </w:p>
    <w:p w14:paraId="04964DA0">
      <w:pPr>
        <w:widowControl/>
        <w:adjustRightInd w:val="0"/>
        <w:snapToGrid w:val="0"/>
        <w:spacing w:line="600" w:lineRule="exact"/>
        <w:jc w:val="center"/>
        <w:rPr>
          <w:rFonts w:eastAsia="方正小标宋简体"/>
          <w:kern w:val="0"/>
          <w:sz w:val="44"/>
          <w:szCs w:val="44"/>
        </w:rPr>
      </w:pPr>
    </w:p>
    <w:p w14:paraId="6BCADC27">
      <w:pPr>
        <w:widowControl/>
        <w:adjustRightInd w:val="0"/>
        <w:snapToGrid w:val="0"/>
        <w:spacing w:line="600" w:lineRule="exact"/>
        <w:jc w:val="center"/>
        <w:rPr>
          <w:rFonts w:eastAsia="方正小标宋简体"/>
          <w:kern w:val="0"/>
          <w:sz w:val="44"/>
          <w:szCs w:val="44"/>
        </w:rPr>
      </w:pPr>
    </w:p>
    <w:p w14:paraId="5585A65E">
      <w:pPr>
        <w:widowControl/>
        <w:adjustRightInd w:val="0"/>
        <w:snapToGrid w:val="0"/>
        <w:spacing w:line="600" w:lineRule="exact"/>
        <w:jc w:val="center"/>
        <w:rPr>
          <w:rFonts w:eastAsia="方正小标宋简体"/>
          <w:kern w:val="0"/>
          <w:sz w:val="44"/>
          <w:szCs w:val="44"/>
        </w:rPr>
      </w:pPr>
    </w:p>
    <w:p w14:paraId="46D6712F">
      <w:pPr>
        <w:widowControl/>
        <w:adjustRightInd w:val="0"/>
        <w:snapToGrid w:val="0"/>
        <w:spacing w:line="600" w:lineRule="exact"/>
        <w:jc w:val="center"/>
        <w:rPr>
          <w:rFonts w:eastAsia="方正小标宋简体"/>
          <w:kern w:val="0"/>
          <w:sz w:val="44"/>
          <w:szCs w:val="44"/>
        </w:rPr>
      </w:pPr>
    </w:p>
    <w:p w14:paraId="082F6EF6">
      <w:pPr>
        <w:widowControl/>
        <w:adjustRightInd w:val="0"/>
        <w:snapToGrid w:val="0"/>
        <w:spacing w:line="600" w:lineRule="exact"/>
        <w:jc w:val="center"/>
        <w:rPr>
          <w:rFonts w:eastAsia="方正小标宋简体"/>
          <w:kern w:val="0"/>
          <w:sz w:val="44"/>
          <w:szCs w:val="44"/>
        </w:rPr>
      </w:pPr>
    </w:p>
    <w:p w14:paraId="01310285">
      <w:pPr>
        <w:widowControl/>
        <w:adjustRightInd w:val="0"/>
        <w:snapToGrid w:val="0"/>
        <w:spacing w:line="600" w:lineRule="exact"/>
        <w:jc w:val="center"/>
        <w:rPr>
          <w:rFonts w:eastAsia="方正小标宋简体"/>
          <w:kern w:val="0"/>
          <w:sz w:val="44"/>
          <w:szCs w:val="44"/>
        </w:rPr>
      </w:pPr>
    </w:p>
    <w:p w14:paraId="5E0CEED9">
      <w:pPr>
        <w:widowControl/>
        <w:adjustRightInd w:val="0"/>
        <w:snapToGrid w:val="0"/>
        <w:spacing w:line="600" w:lineRule="exact"/>
        <w:jc w:val="center"/>
        <w:rPr>
          <w:rFonts w:eastAsia="方正小标宋简体"/>
          <w:kern w:val="0"/>
          <w:sz w:val="44"/>
          <w:szCs w:val="44"/>
        </w:rPr>
      </w:pPr>
      <w:r>
        <w:rPr>
          <w:rFonts w:eastAsia="方正小标宋简体"/>
          <w:kern w:val="0"/>
          <w:sz w:val="44"/>
          <w:szCs w:val="44"/>
        </w:rPr>
        <w:t>乳山市农村改厕长效管护机制实施方案</w:t>
      </w:r>
    </w:p>
    <w:p w14:paraId="1FEFB7C6">
      <w:pPr>
        <w:adjustRightInd w:val="0"/>
        <w:snapToGrid w:val="0"/>
        <w:spacing w:line="600" w:lineRule="exact"/>
        <w:ind w:firstLine="640" w:firstLineChars="200"/>
        <w:rPr>
          <w:rFonts w:eastAsia="仿宋_GB2312"/>
          <w:sz w:val="32"/>
          <w:szCs w:val="32"/>
        </w:rPr>
      </w:pPr>
    </w:p>
    <w:p w14:paraId="6946F566">
      <w:pPr>
        <w:adjustRightInd w:val="0"/>
        <w:snapToGrid w:val="0"/>
        <w:spacing w:line="600" w:lineRule="exact"/>
        <w:ind w:firstLine="640" w:firstLineChars="200"/>
        <w:rPr>
          <w:rFonts w:eastAsia="仿宋_GB2312"/>
          <w:sz w:val="32"/>
          <w:szCs w:val="32"/>
        </w:rPr>
      </w:pPr>
      <w:r>
        <w:rPr>
          <w:rFonts w:eastAsia="仿宋_GB2312"/>
          <w:sz w:val="32"/>
          <w:szCs w:val="32"/>
        </w:rPr>
        <w:t>为进一步改善提升我市农村人居环境，巩固农村改厕工作成果，加强对农村无害化卫生厕所的使用管理和维护，妥善解决改厕后续管护问题，加快形成管用并重，责权一致的长效管护机制。按照山东省委办公厅《关于深入推进农村改厕工作的实施意见》（鲁办发〔2015〕50号）和山东省政府办公厅《关于加快建立长效管护机制深入推进农村“厕所革命”的通知》（鲁政办字〔2018〕151号）规定，结合我市实际制定本方案。</w:t>
      </w:r>
    </w:p>
    <w:p w14:paraId="328C2376">
      <w:pPr>
        <w:adjustRightInd w:val="0"/>
        <w:snapToGrid w:val="0"/>
        <w:spacing w:line="600" w:lineRule="exact"/>
        <w:ind w:firstLine="640" w:firstLineChars="200"/>
        <w:rPr>
          <w:rFonts w:eastAsia="黑体"/>
          <w:kern w:val="0"/>
          <w:sz w:val="32"/>
          <w:szCs w:val="32"/>
        </w:rPr>
      </w:pPr>
      <w:r>
        <w:rPr>
          <w:rFonts w:eastAsia="黑体"/>
          <w:kern w:val="0"/>
          <w:sz w:val="32"/>
          <w:szCs w:val="32"/>
        </w:rPr>
        <w:t>一、指导思想</w:t>
      </w:r>
    </w:p>
    <w:p w14:paraId="5E88D1D7">
      <w:pPr>
        <w:adjustRightInd w:val="0"/>
        <w:snapToGrid w:val="0"/>
        <w:spacing w:line="600" w:lineRule="exact"/>
        <w:ind w:firstLine="640" w:firstLineChars="200"/>
        <w:rPr>
          <w:rFonts w:eastAsia="仿宋_GB2312"/>
          <w:sz w:val="32"/>
          <w:szCs w:val="32"/>
        </w:rPr>
      </w:pPr>
      <w:r>
        <w:rPr>
          <w:rFonts w:eastAsia="仿宋_GB2312"/>
          <w:sz w:val="32"/>
          <w:szCs w:val="32"/>
        </w:rPr>
        <w:t>将建立无害化卫生厕所长效管护机制作为推进城乡基本公共服务均等化的重要任务，着眼于农村改厕工作的规范化、制度化、长效化，健全工作制度，加强队伍建设，建立符合我市农村实际的无害化卫生厕所长效管护机制，解决维修、清运、利用难的问题，推进农村改厕工作由建设规范化向处理无害化、利用资源化和管理精细化转变。</w:t>
      </w:r>
    </w:p>
    <w:p w14:paraId="47001429">
      <w:pPr>
        <w:pStyle w:val="5"/>
        <w:widowControl/>
        <w:numPr>
          <w:ilvl w:val="0"/>
          <w:numId w:val="1"/>
        </w:numPr>
        <w:adjustRightInd w:val="0"/>
        <w:snapToGrid w:val="0"/>
        <w:spacing w:before="0" w:after="0" w:line="600" w:lineRule="exact"/>
        <w:ind w:firstLine="640" w:firstLineChars="200"/>
        <w:jc w:val="both"/>
        <w:rPr>
          <w:rFonts w:hint="default" w:ascii="Times New Roman" w:hAnsi="Times New Roman" w:eastAsia="黑体"/>
          <w:sz w:val="32"/>
          <w:szCs w:val="32"/>
        </w:rPr>
      </w:pPr>
      <w:r>
        <w:rPr>
          <w:rFonts w:hint="default" w:ascii="Times New Roman" w:hAnsi="Times New Roman" w:eastAsia="黑体"/>
          <w:sz w:val="32"/>
          <w:szCs w:val="32"/>
        </w:rPr>
        <w:t>总体要求</w:t>
      </w:r>
    </w:p>
    <w:p w14:paraId="0E68D811">
      <w:pPr>
        <w:pStyle w:val="5"/>
        <w:widowControl/>
        <w:adjustRightInd w:val="0"/>
        <w:snapToGrid w:val="0"/>
        <w:spacing w:before="0" w:after="0" w:line="600" w:lineRule="exact"/>
        <w:ind w:firstLine="640" w:firstLineChars="200"/>
        <w:jc w:val="both"/>
        <w:rPr>
          <w:rFonts w:hint="default" w:ascii="Times New Roman" w:hAnsi="Times New Roman" w:eastAsia="楷体_GB2312"/>
          <w:sz w:val="32"/>
          <w:szCs w:val="32"/>
        </w:rPr>
      </w:pPr>
      <w:r>
        <w:rPr>
          <w:rFonts w:hint="default" w:ascii="Times New Roman" w:hAnsi="Times New Roman" w:eastAsia="楷体_GB2312"/>
          <w:sz w:val="32"/>
          <w:szCs w:val="32"/>
        </w:rPr>
        <w:t>（一）工作目标</w:t>
      </w:r>
    </w:p>
    <w:p w14:paraId="541E61BF">
      <w:pPr>
        <w:autoSpaceDE w:val="0"/>
        <w:autoSpaceDN w:val="0"/>
        <w:adjustRightInd w:val="0"/>
        <w:snapToGrid w:val="0"/>
        <w:spacing w:line="600" w:lineRule="exact"/>
        <w:ind w:firstLine="640" w:firstLineChars="200"/>
        <w:jc w:val="left"/>
        <w:rPr>
          <w:rFonts w:eastAsia="仿宋_GB2312"/>
          <w:sz w:val="32"/>
          <w:szCs w:val="32"/>
        </w:rPr>
      </w:pPr>
      <w:r>
        <w:rPr>
          <w:rFonts w:eastAsia="仿宋_GB2312"/>
          <w:sz w:val="32"/>
          <w:szCs w:val="32"/>
        </w:rPr>
        <w:t>按照“有人管，反应快；重考核，卫生好”的工作目标，完善管理网络，成立维修队伍，明确部门职责，确保农村改厕长效管理机制的建立。建立起“五有”长效管护机制：有制度，明确具体实施办法和责任人；有标准，明确维修、抽取、转运、处理的具体要求；有队伍，配备专职或兼职管护人员；有经费，保障日常管护工作的开展；有督查，通过多种途径推动管护机制的落实。确保后期管护工作规范化、制度化、长效化。</w:t>
      </w:r>
    </w:p>
    <w:p w14:paraId="575A9483">
      <w:pPr>
        <w:pStyle w:val="5"/>
        <w:widowControl/>
        <w:adjustRightInd w:val="0"/>
        <w:snapToGrid w:val="0"/>
        <w:spacing w:before="0" w:after="0" w:line="600" w:lineRule="exact"/>
        <w:ind w:firstLine="640" w:firstLineChars="200"/>
        <w:jc w:val="both"/>
        <w:rPr>
          <w:rFonts w:hint="default" w:ascii="Times New Roman" w:hAnsi="Times New Roman" w:eastAsia="楷体_GB2312"/>
          <w:sz w:val="32"/>
          <w:szCs w:val="32"/>
        </w:rPr>
      </w:pPr>
      <w:r>
        <w:rPr>
          <w:rFonts w:hint="default" w:ascii="Times New Roman" w:hAnsi="Times New Roman" w:eastAsia="楷体_GB2312"/>
          <w:sz w:val="32"/>
          <w:szCs w:val="32"/>
        </w:rPr>
        <w:t>（二）基本原则</w:t>
      </w:r>
    </w:p>
    <w:p w14:paraId="1CEEB783">
      <w:pPr>
        <w:adjustRightInd w:val="0"/>
        <w:snapToGrid w:val="0"/>
        <w:spacing w:line="600" w:lineRule="exact"/>
        <w:ind w:firstLine="640" w:firstLineChars="200"/>
        <w:rPr>
          <w:rFonts w:eastAsia="仿宋_GB2312"/>
          <w:sz w:val="32"/>
          <w:szCs w:val="32"/>
        </w:rPr>
      </w:pPr>
      <w:r>
        <w:rPr>
          <w:sz w:val="32"/>
          <w:szCs w:val="32"/>
        </w:rPr>
        <w:t>1.建管并重</w:t>
      </w:r>
      <w:r>
        <w:rPr>
          <w:rFonts w:eastAsia="仿宋_GB2312"/>
          <w:sz w:val="32"/>
          <w:szCs w:val="32"/>
        </w:rPr>
        <w:t>。各镇均要把建立长效管护机制摆在突出位置、贯穿整治全过程，确保农村改厕日常管理落实到位、设施维修养护及时到位，避免重复改造和出现环境污染问题。</w:t>
      </w:r>
    </w:p>
    <w:p w14:paraId="4BED9BAB">
      <w:pPr>
        <w:adjustRightInd w:val="0"/>
        <w:snapToGrid w:val="0"/>
        <w:spacing w:line="600" w:lineRule="exact"/>
        <w:ind w:firstLine="640" w:firstLineChars="200"/>
        <w:rPr>
          <w:rFonts w:eastAsia="仿宋_GB2312"/>
          <w:sz w:val="32"/>
          <w:szCs w:val="32"/>
        </w:rPr>
      </w:pPr>
      <w:r>
        <w:rPr>
          <w:sz w:val="32"/>
          <w:szCs w:val="32"/>
        </w:rPr>
        <w:t>2.多方协同</w:t>
      </w:r>
      <w:r>
        <w:rPr>
          <w:rFonts w:eastAsia="仿宋_GB2312"/>
          <w:sz w:val="32"/>
          <w:szCs w:val="32"/>
        </w:rPr>
        <w:t>。坚持政府引导、社会参与、市场运作、有偿服务的原则，由市政府统一指导，按照镇为主体、部门监督、企业参与的方式推进，建立健全农村无害化卫生厕所配件供应、检查维护、渣液清运处理、资源化利用体系。</w:t>
      </w:r>
    </w:p>
    <w:p w14:paraId="11C1029D">
      <w:pPr>
        <w:adjustRightInd w:val="0"/>
        <w:snapToGrid w:val="0"/>
        <w:spacing w:line="600" w:lineRule="exact"/>
        <w:ind w:firstLine="640" w:firstLineChars="200"/>
        <w:rPr>
          <w:rFonts w:eastAsia="仿宋_GB2312"/>
          <w:sz w:val="32"/>
          <w:szCs w:val="32"/>
        </w:rPr>
      </w:pPr>
      <w:r>
        <w:rPr>
          <w:sz w:val="32"/>
          <w:szCs w:val="32"/>
        </w:rPr>
        <w:t>3.依靠群众</w:t>
      </w:r>
      <w:r>
        <w:rPr>
          <w:rFonts w:eastAsia="仿宋_GB2312"/>
          <w:sz w:val="32"/>
          <w:szCs w:val="32"/>
        </w:rPr>
        <w:t>。突出群众主体地位，尊重群众意愿要求，培养良好生活习惯，引导群众广泛参与厕所管护，共同珍惜和维护自己的美好家园。</w:t>
      </w:r>
    </w:p>
    <w:p w14:paraId="07DBEC27">
      <w:pPr>
        <w:adjustRightInd w:val="0"/>
        <w:snapToGrid w:val="0"/>
        <w:spacing w:line="600" w:lineRule="exact"/>
        <w:ind w:firstLine="640" w:firstLineChars="200"/>
        <w:rPr>
          <w:rFonts w:eastAsia="仿宋_GB2312"/>
          <w:sz w:val="32"/>
          <w:szCs w:val="32"/>
        </w:rPr>
      </w:pPr>
      <w:r>
        <w:rPr>
          <w:sz w:val="32"/>
          <w:szCs w:val="32"/>
        </w:rPr>
        <w:t>4.有机结合</w:t>
      </w:r>
      <w:r>
        <w:rPr>
          <w:rFonts w:eastAsia="仿宋_GB2312"/>
          <w:sz w:val="32"/>
          <w:szCs w:val="32"/>
        </w:rPr>
        <w:t>。将农村改厕和污水处理、城乡环卫一体化等工作统筹考虑，充分利用现有人员和设备，实现绿色、环保、低碳可持续发展。</w:t>
      </w:r>
    </w:p>
    <w:p w14:paraId="2D635C84">
      <w:pPr>
        <w:autoSpaceDE w:val="0"/>
        <w:autoSpaceDN w:val="0"/>
        <w:adjustRightInd w:val="0"/>
        <w:snapToGrid w:val="0"/>
        <w:spacing w:line="600" w:lineRule="exact"/>
        <w:ind w:firstLine="640" w:firstLineChars="200"/>
        <w:jc w:val="left"/>
        <w:rPr>
          <w:rFonts w:eastAsia="黑体"/>
          <w:sz w:val="32"/>
          <w:szCs w:val="32"/>
        </w:rPr>
      </w:pPr>
      <w:r>
        <w:rPr>
          <w:rFonts w:eastAsia="黑体"/>
          <w:sz w:val="32"/>
          <w:szCs w:val="32"/>
        </w:rPr>
        <w:t>三、重点工作</w:t>
      </w:r>
    </w:p>
    <w:p w14:paraId="2DA993FD">
      <w:pPr>
        <w:autoSpaceDE w:val="0"/>
        <w:autoSpaceDN w:val="0"/>
        <w:adjustRightInd w:val="0"/>
        <w:snapToGrid w:val="0"/>
        <w:spacing w:line="600" w:lineRule="exact"/>
        <w:ind w:firstLine="640" w:firstLineChars="200"/>
        <w:jc w:val="left"/>
        <w:rPr>
          <w:rFonts w:eastAsia="仿宋_GB2312"/>
          <w:sz w:val="32"/>
          <w:szCs w:val="32"/>
        </w:rPr>
      </w:pPr>
      <w:r>
        <w:rPr>
          <w:rFonts w:eastAsia="楷体_GB2312"/>
          <w:color w:val="000000"/>
          <w:kern w:val="0"/>
          <w:sz w:val="32"/>
          <w:szCs w:val="32"/>
          <w:lang w:bidi="ar"/>
        </w:rPr>
        <w:t>（一）宣传使用卫生洁具的正确方式</w:t>
      </w:r>
      <w:r>
        <w:rPr>
          <w:rFonts w:eastAsia="仿宋_GB2312"/>
          <w:sz w:val="32"/>
          <w:szCs w:val="32"/>
        </w:rPr>
        <w:t>。各镇要制定并组织农户在明显位置张贴简单易懂的厕所使用“明白纸”，同步告知农户使用方法、注意事项、维修清运等内容。通过举办妇女培训班、进门入户讲解等方式，引导群众正确使用和维护改后厕所。要控制冲厕水量，在有效冲净便器的前提下，应尽量减少冲水次数。严禁生活废水排入化粪池。要避免杂物入厕，卫生纸、报纸及不可分解的杂物和菜叶、食物残渣等固体废弃物禁止扔入便器，以免造成堵塞和影响发酵效果。</w:t>
      </w:r>
    </w:p>
    <w:p w14:paraId="398D7CE7">
      <w:pPr>
        <w:pStyle w:val="5"/>
        <w:widowControl/>
        <w:adjustRightInd w:val="0"/>
        <w:snapToGrid w:val="0"/>
        <w:spacing w:before="0" w:after="0" w:line="600" w:lineRule="exact"/>
        <w:ind w:firstLine="640" w:firstLineChars="200"/>
        <w:jc w:val="both"/>
        <w:rPr>
          <w:rFonts w:hint="default" w:ascii="Times New Roman" w:hAnsi="Times New Roman" w:eastAsia="仿宋_GB2312"/>
          <w:sz w:val="32"/>
          <w:szCs w:val="32"/>
        </w:rPr>
      </w:pPr>
      <w:r>
        <w:rPr>
          <w:rFonts w:hint="default" w:ascii="Times New Roman" w:hAnsi="Times New Roman" w:eastAsia="楷体_GB2312"/>
          <w:sz w:val="32"/>
          <w:szCs w:val="32"/>
        </w:rPr>
        <w:t>（二）优化厕所环境，做好冬季防冻工作</w:t>
      </w:r>
      <w:r>
        <w:rPr>
          <w:rFonts w:hint="default" w:ascii="Times New Roman" w:hAnsi="Times New Roman" w:eastAsia="仿宋_GB2312"/>
          <w:sz w:val="32"/>
          <w:szCs w:val="32"/>
        </w:rPr>
        <w:t>。鼓励农户采取有效措施对厕具进行防冻处理，选择在密封性好的房间安装坐便器、冲水装置，合理选择保温材料覆盖冲水装置、包裹连接管件等易冻部位。引导群众冬季尽量降低冲水桶、化粪池等密闭容器水位，或使用</w:t>
      </w:r>
      <w:r>
        <w:rPr>
          <w:rFonts w:hint="default" w:ascii="Times New Roman" w:hAnsi="Times New Roman" w:eastAsia="仿宋_GB2312"/>
          <w:color w:val="auto"/>
          <w:sz w:val="32"/>
          <w:szCs w:val="32"/>
        </w:rPr>
        <w:t>普通水桶手动冲水代替冲水装置，</w:t>
      </w:r>
      <w:r>
        <w:rPr>
          <w:rFonts w:hint="default" w:ascii="Times New Roman" w:hAnsi="Times New Roman" w:eastAsia="仿宋_GB2312"/>
          <w:sz w:val="32"/>
          <w:szCs w:val="32"/>
        </w:rPr>
        <w:t>避免因水、尿液等液体结冰膨胀等发生损坏。</w:t>
      </w:r>
    </w:p>
    <w:p w14:paraId="72A4C19B">
      <w:pPr>
        <w:pStyle w:val="5"/>
        <w:widowControl/>
        <w:adjustRightInd w:val="0"/>
        <w:snapToGrid w:val="0"/>
        <w:spacing w:before="0" w:after="0" w:line="600" w:lineRule="exact"/>
        <w:ind w:firstLine="640" w:firstLineChars="200"/>
        <w:jc w:val="both"/>
        <w:rPr>
          <w:rFonts w:hint="default" w:ascii="Times New Roman" w:hAnsi="Times New Roman" w:eastAsia="仿宋_GB2312"/>
          <w:sz w:val="32"/>
          <w:szCs w:val="32"/>
        </w:rPr>
      </w:pPr>
      <w:r>
        <w:rPr>
          <w:rFonts w:hint="default" w:ascii="Times New Roman" w:hAnsi="Times New Roman" w:eastAsia="楷体_GB2312"/>
          <w:sz w:val="32"/>
          <w:szCs w:val="32"/>
        </w:rPr>
        <w:t>（三）做好厕具维修服务工作</w:t>
      </w:r>
      <w:r>
        <w:rPr>
          <w:rFonts w:hint="default" w:ascii="Times New Roman" w:hAnsi="Times New Roman" w:eastAsia="仿宋_GB2312"/>
          <w:sz w:val="32"/>
          <w:szCs w:val="32"/>
        </w:rPr>
        <w:t>。各镇要按照“专人管理、快速维修”的原则，成立维修服务管理队伍，建立服务网点，公开服务标准、服务承诺和服务电话，向群众提供维护服务。改造厕所出现质量问题影响使用的，维护服务单位应在承诺期内进行维护。产品及配件在合同约定的质保期和质保范围内出现质量问题的，维修费用应由责任方（供货企业、施工单位）承担，因施工单位或供货企业相互推卸责任造成农户7天内未能维修的，由镇政府负责协调解决纠纷，维修时限不超过15天；因农户使用不合理、不规范造成损坏或超过保修期限的，维修费用由农户承担。</w:t>
      </w:r>
    </w:p>
    <w:p w14:paraId="278E6946">
      <w:pPr>
        <w:pStyle w:val="5"/>
        <w:widowControl/>
        <w:adjustRightInd w:val="0"/>
        <w:snapToGrid w:val="0"/>
        <w:spacing w:before="0" w:after="0" w:line="600" w:lineRule="exact"/>
        <w:ind w:firstLine="640" w:firstLineChars="200"/>
        <w:jc w:val="both"/>
        <w:rPr>
          <w:rFonts w:hint="default" w:ascii="Times New Roman" w:hAnsi="Times New Roman" w:eastAsia="仿宋_GB2312"/>
          <w:sz w:val="32"/>
          <w:szCs w:val="32"/>
        </w:rPr>
      </w:pPr>
      <w:r>
        <w:rPr>
          <w:rFonts w:hint="default" w:ascii="Times New Roman" w:hAnsi="Times New Roman" w:eastAsia="楷体_GB2312"/>
          <w:sz w:val="32"/>
          <w:szCs w:val="32"/>
        </w:rPr>
        <w:t>（四）做好渣液清运工作</w:t>
      </w:r>
      <w:r>
        <w:rPr>
          <w:rFonts w:hint="default" w:ascii="Times New Roman" w:hAnsi="Times New Roman" w:eastAsia="仿宋_GB2312"/>
          <w:sz w:val="32"/>
          <w:szCs w:val="32"/>
        </w:rPr>
        <w:t>。采取以镇为主体的方式组织实施渣液收集、运输、处理等工作，主要采取三种方式：一是</w:t>
      </w:r>
      <w:r>
        <w:rPr>
          <w:rFonts w:hint="default" w:ascii="Times New Roman" w:hAnsi="Times New Roman" w:eastAsia="仿宋_GB2312"/>
          <w:color w:val="auto"/>
          <w:sz w:val="32"/>
          <w:szCs w:val="32"/>
        </w:rPr>
        <w:t>招标文件及合同约定由供货方、施工方约定清运业务的，按照合同约定，做好日常清运工作。二是</w:t>
      </w:r>
      <w:r>
        <w:rPr>
          <w:rFonts w:hint="default" w:ascii="Times New Roman" w:hAnsi="Times New Roman" w:eastAsia="仿宋_GB2312"/>
          <w:sz w:val="32"/>
          <w:szCs w:val="32"/>
        </w:rPr>
        <w:t>探索由政府引导，财政提供补助资金，</w:t>
      </w:r>
      <w:r>
        <w:rPr>
          <w:rFonts w:hint="default" w:ascii="Times New Roman" w:hAnsi="Times New Roman" w:eastAsia="仿宋_GB2312"/>
          <w:color w:val="auto"/>
          <w:sz w:val="32"/>
          <w:szCs w:val="32"/>
        </w:rPr>
        <w:t>建立市场化运作机制，鼓励个人或企业积极参与进行第三方有偿清渣服务。三是镇（村）建立专门粪液收运队伍，对改后厕所进行</w:t>
      </w:r>
      <w:r>
        <w:rPr>
          <w:rFonts w:hint="default" w:ascii="Times New Roman" w:hAnsi="Times New Roman" w:eastAsia="仿宋_GB2312"/>
          <w:sz w:val="32"/>
          <w:szCs w:val="32"/>
        </w:rPr>
        <w:t>统一管理，统一进行无害化处理和资源化利用。</w:t>
      </w:r>
    </w:p>
    <w:p w14:paraId="7E7AF19B">
      <w:pPr>
        <w:pStyle w:val="5"/>
        <w:widowControl/>
        <w:adjustRightInd w:val="0"/>
        <w:snapToGrid w:val="0"/>
        <w:spacing w:before="0" w:after="0" w:line="600" w:lineRule="exact"/>
        <w:ind w:firstLine="640" w:firstLineChars="200"/>
        <w:jc w:val="both"/>
        <w:rPr>
          <w:rFonts w:hint="default" w:ascii="Times New Roman" w:hAnsi="Times New Roman" w:eastAsia="仿宋_GB2312"/>
          <w:color w:val="auto"/>
          <w:sz w:val="32"/>
          <w:szCs w:val="32"/>
        </w:rPr>
      </w:pPr>
      <w:r>
        <w:rPr>
          <w:rFonts w:hint="default" w:ascii="Times New Roman" w:hAnsi="Times New Roman" w:eastAsia="楷体_GB2312"/>
          <w:sz w:val="32"/>
          <w:szCs w:val="32"/>
        </w:rPr>
        <w:t>（五）科学选择粪渣粪液处理方式</w:t>
      </w:r>
      <w:r>
        <w:rPr>
          <w:rFonts w:hint="default" w:ascii="Times New Roman" w:hAnsi="Times New Roman" w:eastAsia="仿宋_GB2312"/>
          <w:sz w:val="32"/>
          <w:szCs w:val="32"/>
        </w:rPr>
        <w:t>。</w:t>
      </w:r>
      <w:r>
        <w:rPr>
          <w:rFonts w:hint="default" w:ascii="Times New Roman" w:hAnsi="Times New Roman" w:eastAsia="仿宋_GB2312"/>
          <w:color w:val="auto"/>
          <w:sz w:val="32"/>
          <w:szCs w:val="32"/>
        </w:rPr>
        <w:t>大力推广先进实用的综合利用模式和技术，加强粪液粪渣资源化利用，积极培育粪液粪渣利用市场，增加有机肥供应。鼓励现有化肥或堆肥厂进行升级改造，接纳改厕后产生的粪渣，并进行资源化利用。结合镇村污水处理设施建设及配套管网，对粪液进行集中处理，具备条件的村可将粪便污水接入市政管网，其余村可就近送入污水处理站集中处理。严禁随意倾倒，避免二次污染。</w:t>
      </w:r>
    </w:p>
    <w:p w14:paraId="5A167DB7">
      <w:pPr>
        <w:pStyle w:val="5"/>
        <w:widowControl/>
        <w:adjustRightInd w:val="0"/>
        <w:snapToGrid w:val="0"/>
        <w:spacing w:before="0" w:after="0" w:line="600" w:lineRule="exact"/>
        <w:ind w:firstLine="640" w:firstLineChars="200"/>
        <w:jc w:val="both"/>
        <w:rPr>
          <w:rFonts w:hint="default" w:ascii="Times New Roman" w:hAnsi="Times New Roman" w:eastAsia="黑体"/>
          <w:sz w:val="32"/>
          <w:szCs w:val="32"/>
        </w:rPr>
      </w:pPr>
      <w:r>
        <w:rPr>
          <w:rFonts w:hint="default" w:ascii="Times New Roman" w:hAnsi="Times New Roman" w:eastAsia="黑体"/>
          <w:sz w:val="32"/>
          <w:szCs w:val="32"/>
        </w:rPr>
        <w:t>四、保障措施</w:t>
      </w:r>
    </w:p>
    <w:p w14:paraId="108DFE6E">
      <w:pPr>
        <w:pStyle w:val="5"/>
        <w:widowControl/>
        <w:adjustRightInd w:val="0"/>
        <w:snapToGrid w:val="0"/>
        <w:spacing w:before="0" w:after="0" w:line="600" w:lineRule="exact"/>
        <w:ind w:firstLine="640" w:firstLineChars="200"/>
        <w:jc w:val="both"/>
        <w:rPr>
          <w:rFonts w:hint="default" w:ascii="Times New Roman" w:hAnsi="Times New Roman" w:eastAsia="仿宋_GB2312"/>
          <w:sz w:val="32"/>
          <w:szCs w:val="32"/>
        </w:rPr>
      </w:pPr>
      <w:r>
        <w:rPr>
          <w:rFonts w:hint="default" w:ascii="Times New Roman" w:hAnsi="Times New Roman" w:eastAsia="楷体_GB2312"/>
          <w:sz w:val="32"/>
          <w:szCs w:val="32"/>
        </w:rPr>
        <w:t>（一）强化组织领导</w:t>
      </w:r>
      <w:r>
        <w:rPr>
          <w:rFonts w:hint="default" w:ascii="Times New Roman" w:hAnsi="Times New Roman" w:eastAsia="仿宋_GB2312"/>
          <w:sz w:val="32"/>
          <w:szCs w:val="32"/>
        </w:rPr>
        <w:t>。将改厕长效管护机制作为改厕工作的一个重要环节，继续落实主体责任，切实加强厕具维护、粪便收运处理和有效利用的组织领导，全过程、全方位抓好农村改厕工作。</w:t>
      </w:r>
      <w:r>
        <w:rPr>
          <w:rFonts w:hint="default" w:ascii="Times New Roman" w:hAnsi="Times New Roman" w:eastAsia="仿宋_GB2312"/>
          <w:color w:val="auto"/>
          <w:sz w:val="32"/>
          <w:szCs w:val="32"/>
        </w:rPr>
        <w:t>住建部门负责对改厕后续管护维修进行考核检查，指导各镇定期组织改厕后粪液清掏处理工作，严禁出现管道阻塞或漫溢现象；卫计和农业部门要结合各自职责，提供卫生防控、粪便综合利用等技术指导工作；财政部门负责将改厕管护经费列入年度预算，根据考核结果拨付经费，跟踪审核运行经费、维修维护费的使用情况；各镇作为长效管护的实施主体，具体负责辖区内各村清粪维修的各项工作，负责在辖区内改厕村庄设置厕管员，对厕管员进行统一管理和考核。</w:t>
      </w:r>
      <w:r>
        <w:rPr>
          <w:rFonts w:hint="default" w:ascii="Times New Roman" w:hAnsi="Times New Roman" w:eastAsia="仿宋_GB2312"/>
          <w:sz w:val="32"/>
          <w:szCs w:val="32"/>
        </w:rPr>
        <w:t>各镇要加强粪液收集运输管理，严禁出现私拉乱运、随意倾倒行为，确保粪渣粪液管理有序、应收尽收、及时清运、有效利用，为群众创造良好的生产生活环境。</w:t>
      </w:r>
    </w:p>
    <w:p w14:paraId="5C93C4E2">
      <w:pPr>
        <w:pStyle w:val="5"/>
        <w:widowControl/>
        <w:adjustRightInd w:val="0"/>
        <w:snapToGrid w:val="0"/>
        <w:spacing w:before="0" w:after="0" w:line="600" w:lineRule="exact"/>
        <w:ind w:firstLine="640" w:firstLineChars="200"/>
        <w:jc w:val="both"/>
        <w:rPr>
          <w:rFonts w:hint="default" w:ascii="Times New Roman" w:hAnsi="Times New Roman" w:eastAsia="仿宋_GB2312"/>
          <w:sz w:val="32"/>
          <w:szCs w:val="32"/>
        </w:rPr>
      </w:pPr>
      <w:r>
        <w:rPr>
          <w:rFonts w:hint="default" w:ascii="Times New Roman" w:hAnsi="Times New Roman" w:eastAsia="楷体_GB2312"/>
          <w:sz w:val="32"/>
          <w:szCs w:val="32"/>
        </w:rPr>
        <w:t>（二）做好资金保障</w:t>
      </w:r>
      <w:r>
        <w:rPr>
          <w:rFonts w:hint="default" w:ascii="Times New Roman" w:hAnsi="Times New Roman" w:eastAsia="仿宋_GB2312"/>
          <w:sz w:val="32"/>
          <w:szCs w:val="32"/>
        </w:rPr>
        <w:t>。建立健全后续管理资金保障机制，按照政府补助引导、集体和社会资助、群众自筹相结合的原则，多方筹集渣液收集、清运、处理资金，加大经费投入力度，减轻群众负担。财政部门建立长效管护的经费保障机制，按照每户每年两次抽取、共计60元的标准进行补助，补助资金不足的由各镇村承担。日常作业必须经过农户和镇村确认，建立作业台账，确保专款专用。鼓励粪液粪渣资源化利用，按照农户受益农户付费的原则，逐步建立缴费制度，综合考虑经济社会承受能力、农村居民意愿等因素，合理确定缴费标准，倡导有条件的村集体和社会资助，建立多元化资金保障机制。</w:t>
      </w:r>
    </w:p>
    <w:p w14:paraId="477445C4">
      <w:pPr>
        <w:adjustRightInd w:val="0"/>
        <w:snapToGrid w:val="0"/>
        <w:spacing w:line="600" w:lineRule="exact"/>
        <w:ind w:firstLine="640" w:firstLineChars="200"/>
        <w:rPr>
          <w:rFonts w:eastAsia="仿宋_GB2312"/>
          <w:sz w:val="32"/>
          <w:szCs w:val="32"/>
          <w:lang w:bidi="ar"/>
        </w:rPr>
      </w:pPr>
      <w:r>
        <w:rPr>
          <w:rFonts w:eastAsia="楷体_GB2312"/>
          <w:color w:val="000000"/>
          <w:kern w:val="0"/>
          <w:sz w:val="32"/>
          <w:szCs w:val="32"/>
          <w:lang w:bidi="ar"/>
        </w:rPr>
        <w:t>（三）强化监督管理</w:t>
      </w:r>
      <w:r>
        <w:rPr>
          <w:rFonts w:eastAsia="仿宋_GB2312"/>
          <w:sz w:val="32"/>
          <w:szCs w:val="32"/>
        </w:rPr>
        <w:t>。由住建部门负责，指导、监督各镇改厕长效管理工作，全面做好日常工作的监管运行。各镇改厕长效管护工作纳入城乡环卫一体化考核内容。</w:t>
      </w:r>
      <w:r>
        <w:rPr>
          <w:rFonts w:eastAsia="仿宋_GB2312"/>
          <w:sz w:val="32"/>
          <w:szCs w:val="32"/>
          <w:lang w:bidi="ar"/>
        </w:rPr>
        <w:t>对思想不重视、措施不到位，出现清运不及时、运输抛洒漏以及乱倒乱排等问题的，进行通报批评。情节严重的，依照相关规定严肃处理追责。</w:t>
      </w:r>
    </w:p>
    <w:p w14:paraId="076E1256">
      <w:pPr>
        <w:adjustRightInd w:val="0"/>
        <w:snapToGrid w:val="0"/>
        <w:spacing w:line="580" w:lineRule="exact"/>
        <w:ind w:firstLine="640" w:firstLineChars="200"/>
        <w:rPr>
          <w:rFonts w:eastAsia="仿宋_GB2312"/>
          <w:sz w:val="32"/>
          <w:szCs w:val="32"/>
          <w:lang w:bidi="ar"/>
        </w:rPr>
      </w:pPr>
    </w:p>
    <w:p w14:paraId="67222576">
      <w:pPr>
        <w:adjustRightInd w:val="0"/>
        <w:snapToGrid w:val="0"/>
        <w:spacing w:line="580" w:lineRule="exact"/>
        <w:ind w:firstLine="640" w:firstLineChars="200"/>
        <w:rPr>
          <w:rFonts w:eastAsia="仿宋_GB2312"/>
          <w:sz w:val="32"/>
          <w:szCs w:val="32"/>
          <w:lang w:bidi="ar"/>
        </w:rPr>
      </w:pPr>
    </w:p>
    <w:p w14:paraId="4516E290">
      <w:pPr>
        <w:adjustRightInd w:val="0"/>
        <w:snapToGrid w:val="0"/>
        <w:spacing w:line="580" w:lineRule="exact"/>
        <w:ind w:firstLine="640" w:firstLineChars="200"/>
        <w:rPr>
          <w:rFonts w:hint="eastAsia" w:eastAsia="仿宋_GB2312"/>
          <w:sz w:val="32"/>
          <w:szCs w:val="32"/>
          <w:lang w:bidi="ar"/>
        </w:rPr>
      </w:pPr>
    </w:p>
    <w:p w14:paraId="18779D08">
      <w:pPr>
        <w:adjustRightInd w:val="0"/>
        <w:snapToGrid w:val="0"/>
        <w:spacing w:line="580" w:lineRule="exact"/>
        <w:ind w:firstLine="640" w:firstLineChars="200"/>
        <w:rPr>
          <w:rFonts w:hint="eastAsia" w:eastAsia="仿宋_GB2312"/>
          <w:sz w:val="32"/>
          <w:szCs w:val="32"/>
          <w:lang w:bidi="ar"/>
        </w:rPr>
      </w:pPr>
    </w:p>
    <w:p w14:paraId="53121046">
      <w:pPr>
        <w:adjustRightInd w:val="0"/>
        <w:snapToGrid w:val="0"/>
        <w:spacing w:line="580" w:lineRule="exact"/>
        <w:ind w:firstLine="640" w:firstLineChars="200"/>
        <w:rPr>
          <w:rFonts w:hint="eastAsia" w:eastAsia="仿宋_GB2312"/>
          <w:sz w:val="32"/>
          <w:szCs w:val="32"/>
          <w:lang w:bidi="ar"/>
        </w:rPr>
      </w:pPr>
    </w:p>
    <w:p w14:paraId="16066283">
      <w:pPr>
        <w:adjustRightInd w:val="0"/>
        <w:snapToGrid w:val="0"/>
        <w:spacing w:line="580" w:lineRule="exact"/>
        <w:ind w:firstLine="640" w:firstLineChars="200"/>
        <w:rPr>
          <w:rFonts w:hint="eastAsia" w:eastAsia="仿宋_GB2312"/>
          <w:sz w:val="32"/>
          <w:szCs w:val="32"/>
          <w:lang w:bidi="ar"/>
        </w:rPr>
      </w:pPr>
    </w:p>
    <w:p w14:paraId="50F25A3F">
      <w:pPr>
        <w:adjustRightInd w:val="0"/>
        <w:snapToGrid w:val="0"/>
        <w:spacing w:line="580" w:lineRule="exact"/>
        <w:ind w:firstLine="640" w:firstLineChars="200"/>
        <w:rPr>
          <w:rFonts w:hint="eastAsia" w:eastAsia="仿宋_GB2312"/>
          <w:sz w:val="32"/>
          <w:szCs w:val="32"/>
          <w:lang w:bidi="ar"/>
        </w:rPr>
      </w:pPr>
    </w:p>
    <w:p w14:paraId="4E0FB373">
      <w:pPr>
        <w:adjustRightInd w:val="0"/>
        <w:snapToGrid w:val="0"/>
        <w:spacing w:line="580" w:lineRule="exact"/>
        <w:ind w:firstLine="640" w:firstLineChars="200"/>
        <w:rPr>
          <w:rFonts w:hint="eastAsia" w:eastAsia="仿宋_GB2312"/>
          <w:sz w:val="32"/>
          <w:szCs w:val="32"/>
          <w:lang w:bidi="ar"/>
        </w:rPr>
      </w:pPr>
    </w:p>
    <w:p w14:paraId="79B74E29">
      <w:pPr>
        <w:adjustRightInd w:val="0"/>
        <w:snapToGrid w:val="0"/>
        <w:spacing w:line="580" w:lineRule="exact"/>
        <w:ind w:firstLine="640" w:firstLineChars="200"/>
        <w:rPr>
          <w:rFonts w:hint="eastAsia" w:eastAsia="仿宋_GB2312"/>
          <w:sz w:val="32"/>
          <w:szCs w:val="32"/>
          <w:lang w:bidi="ar"/>
        </w:rPr>
      </w:pPr>
    </w:p>
    <w:p w14:paraId="6BEDF573">
      <w:pPr>
        <w:adjustRightInd w:val="0"/>
        <w:snapToGrid w:val="0"/>
        <w:spacing w:line="580" w:lineRule="exact"/>
        <w:ind w:firstLine="640" w:firstLineChars="200"/>
        <w:rPr>
          <w:rFonts w:hint="eastAsia" w:eastAsia="仿宋_GB2312"/>
          <w:sz w:val="32"/>
          <w:szCs w:val="32"/>
          <w:lang w:bidi="ar"/>
        </w:rPr>
      </w:pPr>
    </w:p>
    <w:p w14:paraId="364A4103">
      <w:pPr>
        <w:adjustRightInd w:val="0"/>
        <w:snapToGrid w:val="0"/>
        <w:spacing w:line="580" w:lineRule="exact"/>
        <w:ind w:firstLine="640" w:firstLineChars="200"/>
        <w:rPr>
          <w:rFonts w:hint="eastAsia" w:eastAsia="仿宋_GB2312"/>
          <w:sz w:val="32"/>
          <w:szCs w:val="32"/>
          <w:lang w:bidi="ar"/>
        </w:rPr>
      </w:pPr>
    </w:p>
    <w:p w14:paraId="7EB22D11">
      <w:pPr>
        <w:adjustRightInd w:val="0"/>
        <w:snapToGrid w:val="0"/>
        <w:spacing w:line="580" w:lineRule="exact"/>
        <w:ind w:firstLine="640" w:firstLineChars="200"/>
        <w:rPr>
          <w:rFonts w:hint="eastAsia" w:eastAsia="仿宋_GB2312"/>
          <w:sz w:val="32"/>
          <w:szCs w:val="32"/>
          <w:lang w:bidi="ar"/>
        </w:rPr>
      </w:pPr>
    </w:p>
    <w:p w14:paraId="75116CA6">
      <w:pPr>
        <w:adjustRightInd w:val="0"/>
        <w:snapToGrid w:val="0"/>
        <w:spacing w:line="580" w:lineRule="exact"/>
        <w:ind w:firstLine="640" w:firstLineChars="200"/>
        <w:rPr>
          <w:rFonts w:hint="eastAsia" w:eastAsia="仿宋_GB2312"/>
          <w:sz w:val="32"/>
          <w:szCs w:val="32"/>
          <w:lang w:bidi="ar"/>
        </w:rPr>
      </w:pPr>
    </w:p>
    <w:p w14:paraId="606604CE">
      <w:pPr>
        <w:adjustRightInd w:val="0"/>
        <w:snapToGrid w:val="0"/>
        <w:spacing w:line="580" w:lineRule="exact"/>
        <w:ind w:firstLine="640" w:firstLineChars="200"/>
        <w:rPr>
          <w:rFonts w:hint="eastAsia" w:eastAsia="仿宋_GB2312"/>
          <w:sz w:val="32"/>
          <w:szCs w:val="32"/>
          <w:lang w:bidi="ar"/>
        </w:rPr>
      </w:pPr>
    </w:p>
    <w:p w14:paraId="4BF890FF">
      <w:pPr>
        <w:adjustRightInd w:val="0"/>
        <w:snapToGrid w:val="0"/>
        <w:spacing w:line="580" w:lineRule="exact"/>
        <w:ind w:firstLine="640" w:firstLineChars="200"/>
        <w:rPr>
          <w:rFonts w:hint="eastAsia" w:eastAsia="仿宋_GB2312"/>
          <w:sz w:val="32"/>
          <w:szCs w:val="32"/>
          <w:lang w:bidi="ar"/>
        </w:rPr>
      </w:pPr>
    </w:p>
    <w:p w14:paraId="76CBE26A">
      <w:pPr>
        <w:adjustRightInd w:val="0"/>
        <w:snapToGrid w:val="0"/>
        <w:spacing w:line="580" w:lineRule="exact"/>
        <w:ind w:firstLine="640" w:firstLineChars="200"/>
        <w:rPr>
          <w:rFonts w:hint="eastAsia" w:eastAsia="仿宋_GB2312"/>
          <w:sz w:val="32"/>
          <w:szCs w:val="32"/>
          <w:lang w:bidi="ar"/>
        </w:rPr>
      </w:pPr>
    </w:p>
    <w:p w14:paraId="7234F2AF">
      <w:pPr>
        <w:adjustRightInd w:val="0"/>
        <w:snapToGrid w:val="0"/>
        <w:spacing w:line="580" w:lineRule="exact"/>
        <w:ind w:firstLine="640" w:firstLineChars="200"/>
        <w:rPr>
          <w:rFonts w:hint="eastAsia" w:eastAsia="仿宋_GB2312"/>
          <w:sz w:val="32"/>
          <w:szCs w:val="32"/>
          <w:lang w:bidi="ar"/>
        </w:rPr>
      </w:pPr>
    </w:p>
    <w:p w14:paraId="04593F5B">
      <w:pPr>
        <w:adjustRightInd w:val="0"/>
        <w:snapToGrid w:val="0"/>
        <w:spacing w:line="20" w:lineRule="exact"/>
        <w:rPr>
          <w:rFonts w:eastAsia="仿宋_GB2312"/>
          <w:sz w:val="32"/>
          <w:szCs w:val="32"/>
        </w:rPr>
      </w:pPr>
    </w:p>
    <w:p w14:paraId="036C7CE5"/>
    <w:sectPr>
      <w:headerReference r:id="rId3" w:type="default"/>
      <w:footerReference r:id="rId4" w:type="default"/>
      <w:footerReference r:id="rId5" w:type="even"/>
      <w:pgSz w:w="11906" w:h="16838"/>
      <w:pgMar w:top="2098" w:right="1531" w:bottom="1985" w:left="1531" w:header="851" w:footer="1701"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ourier">
    <w:altName w:val="Courier New"/>
    <w:panose1 w:val="02070409020205020404"/>
    <w:charset w:val="00"/>
    <w:family w:val="modern"/>
    <w:pitch w:val="default"/>
    <w:sig w:usb0="00000000" w:usb1="00000000" w:usb2="00000000" w:usb3="00000000" w:csb0="00000001"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A9BBCF">
    <w:pPr>
      <w:pStyle w:val="3"/>
      <w:framePr w:wrap="around" w:vAnchor="text" w:hAnchor="margin" w:xAlign="outside" w:y="1"/>
      <w:rPr>
        <w:rStyle w:val="8"/>
        <w:rFonts w:ascii="宋体" w:hAnsi="宋体"/>
        <w:sz w:val="28"/>
        <w:szCs w:val="28"/>
      </w:rPr>
    </w:pPr>
    <w:r>
      <w:rPr>
        <w:rStyle w:val="8"/>
        <w:rFonts w:ascii="宋体" w:hAnsi="宋体"/>
        <w:sz w:val="28"/>
        <w:szCs w:val="28"/>
      </w:rPr>
      <w:fldChar w:fldCharType="begin"/>
    </w:r>
    <w:r>
      <w:rPr>
        <w:rStyle w:val="8"/>
        <w:rFonts w:ascii="宋体" w:hAnsi="宋体"/>
        <w:sz w:val="28"/>
        <w:szCs w:val="28"/>
      </w:rPr>
      <w:instrText xml:space="preserve">PAGE  </w:instrText>
    </w:r>
    <w:r>
      <w:rPr>
        <w:rStyle w:val="8"/>
        <w:rFonts w:ascii="宋体" w:hAnsi="宋体"/>
        <w:sz w:val="28"/>
        <w:szCs w:val="28"/>
      </w:rPr>
      <w:fldChar w:fldCharType="separate"/>
    </w:r>
    <w:r>
      <w:rPr>
        <w:rStyle w:val="8"/>
        <w:rFonts w:ascii="宋体" w:hAnsi="宋体"/>
        <w:sz w:val="28"/>
        <w:szCs w:val="28"/>
      </w:rPr>
      <w:t>- 2 -</w:t>
    </w:r>
    <w:r>
      <w:rPr>
        <w:rStyle w:val="8"/>
        <w:rFonts w:ascii="宋体" w:hAnsi="宋体"/>
        <w:sz w:val="28"/>
        <w:szCs w:val="28"/>
      </w:rPr>
      <w:fldChar w:fldCharType="end"/>
    </w:r>
  </w:p>
  <w:p w14:paraId="35BCA061">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D7556">
    <w:pPr>
      <w:pStyle w:val="3"/>
      <w:framePr w:wrap="around" w:vAnchor="text" w:hAnchor="margin" w:xAlign="outside" w:y="1"/>
      <w:rPr>
        <w:rStyle w:val="8"/>
      </w:rPr>
    </w:pPr>
    <w:r>
      <w:rPr>
        <w:rStyle w:val="8"/>
      </w:rPr>
      <w:fldChar w:fldCharType="begin"/>
    </w:r>
    <w:r>
      <w:rPr>
        <w:rStyle w:val="8"/>
      </w:rPr>
      <w:instrText xml:space="preserve">PAGE  </w:instrText>
    </w:r>
    <w:r>
      <w:rPr>
        <w:rStyle w:val="8"/>
      </w:rPr>
      <w:fldChar w:fldCharType="end"/>
    </w:r>
  </w:p>
  <w:p w14:paraId="4E78C840">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6F9E7">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E87152"/>
    <w:multiLevelType w:val="singleLevel"/>
    <w:tmpl w:val="59E87152"/>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C15C1C"/>
    <w:rsid w:val="7AC15C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lock Text"/>
    <w:basedOn w:val="1"/>
    <w:uiPriority w:val="0"/>
    <w:pPr>
      <w:ind w:left="1289" w:leftChars="101" w:right="320" w:rightChars="100" w:hanging="966" w:hangingChars="483"/>
    </w:pPr>
    <w:rPr>
      <w:rFonts w:eastAsia="仿宋_GB2312" w:cs="Courier"/>
      <w:sz w:val="32"/>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iPriority w:val="0"/>
    <w:pPr>
      <w:spacing w:before="150" w:beforeAutospacing="0" w:after="150" w:afterAutospacing="0" w:line="480" w:lineRule="auto"/>
      <w:ind w:left="0" w:right="0"/>
      <w:jc w:val="left"/>
    </w:pPr>
    <w:rPr>
      <w:rFonts w:hint="eastAsia" w:ascii="宋体" w:hAnsi="宋体" w:eastAsia="宋体" w:cs="宋体"/>
      <w:color w:val="000000"/>
      <w:kern w:val="0"/>
      <w:sz w:val="24"/>
      <w:u w:val="none"/>
      <w:lang w:val="en-US" w:eastAsia="zh-CN" w:bidi="ar"/>
    </w:rPr>
  </w:style>
  <w:style w:type="character" w:styleId="8">
    <w:name w:val="page number"/>
    <w:basedOn w:val="7"/>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2025-09-09T02:20:00Z</dcterms:created>
  <dc:creator>Z</dc:creator>
  <cp:lastModifiedBy>Z</cp:lastModifiedBy>
  <dcterms:modified xsi:type="dcterms:W3CDTF">2025-09-09T02:22:01Z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E23797EBAEA84B6DA690DF9F62283C04_11</vt:lpwstr>
  </property>
  <property fmtid="{D5CDD505-2E9C-101B-9397-08002B2CF9AE}" pid="4" name="KSOTemplateDocerSaveRecord">
    <vt:lpwstr>eyJoZGlkIjoiMGFiZDRkYjYxYWVhMWE0MThhYzJlYzhiOGJhMzViZTAiLCJ1c2VySWQiOiIzNDQzOTMzNDMifQ==</vt:lpwstr>
  </property>
</Properties>
</file>