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EC3CF7">
      <w:pPr>
        <w:pStyle w:val="8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after="0" w:line="57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eastAsia="zh-CN"/>
        </w:rPr>
        <w:t>市人民政府</w:t>
      </w:r>
    </w:p>
    <w:p w14:paraId="3627082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关于公布乳山市人民政府202</w:t>
      </w:r>
      <w:r>
        <w:rPr>
          <w:rFonts w:hint="eastAsia" w:eastAsia="方正小标宋简体" w:cs="Times New Roman"/>
          <w:color w:val="000000"/>
          <w:sz w:val="44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000000"/>
          <w:sz w:val="44"/>
        </w:rPr>
        <w:t>年度</w:t>
      </w:r>
    </w:p>
    <w:p w14:paraId="766E886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重大行政决策事项目录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的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lang w:val="en-US" w:eastAsia="zh-CN"/>
        </w:rPr>
        <w:t>通知</w:t>
      </w:r>
    </w:p>
    <w:p w14:paraId="208C80F2">
      <w:pPr>
        <w:keepNext w:val="0"/>
        <w:keepLines w:val="0"/>
        <w:widowControl w:val="0"/>
        <w:suppressLineNumbers w:val="0"/>
        <w:tabs>
          <w:tab w:val="left" w:pos="0"/>
        </w:tabs>
        <w:spacing w:before="0" w:beforeAutospacing="0" w:after="0" w:afterAutospacing="0" w:line="600" w:lineRule="exact"/>
        <w:ind w:left="0" w:right="0"/>
        <w:jc w:val="center"/>
        <w:rPr>
          <w:rFonts w:hint="default" w:ascii="Times New Roman" w:hAnsi="Times New Roman" w:eastAsia="仿宋_GB2312" w:cs="Times New Roman"/>
          <w:color w:val="000000"/>
          <w:w w:val="70"/>
          <w:sz w:val="32"/>
          <w:szCs w:val="24"/>
          <w:lang w:val="en-US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乳政发〔202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6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〕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号</w:t>
      </w:r>
    </w:p>
    <w:bookmarkEnd w:id="0"/>
    <w:p w14:paraId="1B03A8DA">
      <w:pPr>
        <w:keepNext w:val="0"/>
        <w:keepLines w:val="0"/>
        <w:pageBreakBefore w:val="0"/>
        <w:widowControl w:val="0"/>
        <w:suppressLineNumbers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jc w:val="lef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4E0A7B8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各</w:t>
      </w:r>
      <w:r>
        <w:rPr>
          <w:rFonts w:hint="default" w:ascii="Times New Roman" w:hAnsi="Times New Roman" w:eastAsia="仿宋_GB2312" w:cs="Times New Roman"/>
          <w:color w:val="000000"/>
          <w:spacing w:val="6"/>
          <w:kern w:val="0"/>
          <w:sz w:val="31"/>
          <w:szCs w:val="31"/>
          <w:lang w:val="en-US" w:eastAsia="zh-CN" w:bidi="ar"/>
        </w:rPr>
        <w:t>镇人民政府，市政府各部门、单位，滨海新区（银滩旅游度假区）</w:t>
      </w: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、经济开发区、城区街道办事处，各市属国有企业：</w:t>
      </w:r>
    </w:p>
    <w:p w14:paraId="797B42A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为促进科学决策、民主决策、依法决策，根据《重大行政决策程序暂行条例》《山东省重大行政决策程序规定》和《威海市重大行政决策程序规定》等相关规定，市政府编制了《乳山市人民政府202</w:t>
      </w:r>
      <w:r>
        <w:rPr>
          <w:rFonts w:hint="eastAsia" w:eastAsia="仿宋_GB2312" w:cs="Times New Roman"/>
          <w:color w:val="000000"/>
          <w:kern w:val="0"/>
          <w:sz w:val="31"/>
          <w:szCs w:val="31"/>
          <w:lang w:val="en-US" w:eastAsia="zh-CN" w:bidi="ar"/>
        </w:rPr>
        <w:t>6</w:t>
      </w: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年度重大行政决策事项目录》，现予公布。各有关部门和单位要严格按照重大行政决策法定程序，认真做好决策事项办理工作，及时提报市政府常务会议审议决定。</w:t>
      </w:r>
    </w:p>
    <w:p w14:paraId="2E2462D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重大行政决策事项目录实行动态管理。未列入目录的项目，如确有必要、条件成熟并经市政府领导同意，有关部门可以适时提出。</w:t>
      </w:r>
    </w:p>
    <w:p w14:paraId="17E7F621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44F56C67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608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附件：乳山市人民政府202</w:t>
      </w:r>
      <w:r>
        <w:rPr>
          <w:rFonts w:hint="eastAsia" w:eastAsia="仿宋_GB2312" w:cs="Times New Roman"/>
          <w:color w:val="000000"/>
          <w:kern w:val="0"/>
          <w:sz w:val="31"/>
          <w:szCs w:val="31"/>
          <w:lang w:val="en-US" w:eastAsia="zh-CN" w:bidi="ar"/>
        </w:rPr>
        <w:t>6</w:t>
      </w: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年度重大行政决策事项目录</w:t>
      </w:r>
    </w:p>
    <w:p w14:paraId="2774D7A0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31BF1498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70" w:lineRule="exact"/>
        <w:ind w:firstLine="912" w:firstLineChars="3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年4月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24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日        </w:t>
      </w:r>
    </w:p>
    <w:p w14:paraId="4C136C0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38558BD7">
      <w:pPr>
        <w:widowControl/>
        <w:jc w:val="left"/>
        <w:rPr>
          <w:rFonts w:eastAsia="仿宋_GB2312"/>
          <w:bCs/>
          <w:color w:val="000000"/>
          <w:sz w:val="32"/>
        </w:rPr>
      </w:pPr>
      <w:r>
        <w:rPr>
          <w:rFonts w:eastAsia="仿宋_GB2312"/>
          <w:bCs/>
          <w:color w:val="000000"/>
          <w:sz w:val="32"/>
        </w:rPr>
        <w:br w:type="page"/>
      </w:r>
    </w:p>
    <w:p w14:paraId="552812EE">
      <w:pPr>
        <w:spacing w:line="580" w:lineRule="exact"/>
        <w:ind w:right="22" w:rightChars="11"/>
        <w:jc w:val="both"/>
        <w:rPr>
          <w:rFonts w:hint="eastAsia" w:ascii="黑体" w:hAnsi="黑体" w:eastAsia="黑体" w:cs="黑体"/>
          <w:bCs/>
          <w:color w:val="000000"/>
          <w:sz w:val="32"/>
          <w:szCs w:val="24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24"/>
          <w:lang w:val="en-US" w:eastAsia="zh-CN"/>
        </w:rPr>
        <w:t>附件</w:t>
      </w:r>
    </w:p>
    <w:p w14:paraId="15E00EF9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p w14:paraId="536A79CE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乳山市人民政府</w:t>
      </w: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</w:rPr>
        <w:t>202</w:t>
      </w:r>
      <w:r>
        <w:rPr>
          <w:rFonts w:hint="eastAsia" w:eastAsia="方正小标宋简体" w:cs="Times New Roman"/>
          <w:bCs/>
          <w:color w:val="000000"/>
          <w:sz w:val="44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年度</w:t>
      </w:r>
    </w:p>
    <w:p w14:paraId="1B27F6CB">
      <w:pPr>
        <w:spacing w:line="580" w:lineRule="exact"/>
        <w:ind w:right="22" w:rightChars="11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  <w:t>重大行政决策事项目录</w:t>
      </w:r>
    </w:p>
    <w:p w14:paraId="599E3CB2">
      <w:pPr>
        <w:spacing w:line="580" w:lineRule="exact"/>
        <w:ind w:right="22" w:rightChars="11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p w14:paraId="2085AB67">
      <w:pPr>
        <w:spacing w:line="580" w:lineRule="exact"/>
        <w:ind w:right="22" w:rightChars="11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36"/>
        </w:rPr>
      </w:pPr>
    </w:p>
    <w:tbl>
      <w:tblPr>
        <w:tblStyle w:val="10"/>
        <w:tblpPr w:leftFromText="180" w:rightFromText="180" w:vertAnchor="page" w:horzAnchor="page" w:tblpX="1338" w:tblpY="4697"/>
        <w:tblOverlap w:val="never"/>
        <w:tblW w:w="95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980"/>
        <w:gridCol w:w="4549"/>
        <w:gridCol w:w="2171"/>
      </w:tblGrid>
      <w:tr w14:paraId="3609E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861" w:type="dxa"/>
            <w:vAlign w:val="center"/>
          </w:tcPr>
          <w:p w14:paraId="67BE27AA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序号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236199F1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黑体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  <w:t>决策</w:t>
            </w: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承办单位</w:t>
            </w:r>
          </w:p>
        </w:tc>
        <w:tc>
          <w:tcPr>
            <w:tcW w:w="4549" w:type="dxa"/>
            <w:vAlign w:val="center"/>
          </w:tcPr>
          <w:p w14:paraId="3DD10036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决策事项名称</w:t>
            </w:r>
          </w:p>
        </w:tc>
        <w:tc>
          <w:tcPr>
            <w:tcW w:w="2171" w:type="dxa"/>
            <w:vAlign w:val="center"/>
          </w:tcPr>
          <w:p w14:paraId="0819692E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拟</w:t>
            </w:r>
            <w:r>
              <w:rPr>
                <w:rFonts w:hint="eastAsia" w:ascii="Times New Roman" w:hAnsi="Times New Roman" w:eastAsia="黑体" w:cs="Times New Roman"/>
                <w:sz w:val="28"/>
                <w:szCs w:val="28"/>
                <w:lang w:val="en-US" w:eastAsia="zh-CN"/>
              </w:rPr>
              <w:t>提报研究</w:t>
            </w:r>
            <w:r>
              <w:rPr>
                <w:rFonts w:hint="default" w:ascii="Times New Roman" w:hAnsi="Times New Roman" w:eastAsia="黑体" w:cs="Times New Roman"/>
                <w:sz w:val="28"/>
                <w:szCs w:val="28"/>
              </w:rPr>
              <w:t>时间</w:t>
            </w:r>
          </w:p>
        </w:tc>
      </w:tr>
      <w:tr w14:paraId="7015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7" w:hRule="atLeast"/>
        </w:trPr>
        <w:tc>
          <w:tcPr>
            <w:tcW w:w="861" w:type="dxa"/>
            <w:vAlign w:val="center"/>
          </w:tcPr>
          <w:p w14:paraId="6DB28713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1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3BF3DF5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发展和改革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局</w:t>
            </w:r>
          </w:p>
        </w:tc>
        <w:tc>
          <w:tcPr>
            <w:tcW w:w="4549" w:type="dxa"/>
            <w:vAlign w:val="center"/>
          </w:tcPr>
          <w:p w14:paraId="0D87007F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威海市乳山市国民经济和社会发展第十五个五年规划纲要</w:t>
            </w:r>
          </w:p>
        </w:tc>
        <w:tc>
          <w:tcPr>
            <w:tcW w:w="2171" w:type="dxa"/>
            <w:vAlign w:val="center"/>
          </w:tcPr>
          <w:p w14:paraId="0C5F8EEE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 w:bidi="ar"/>
              </w:rPr>
              <w:t>已完成</w:t>
            </w:r>
          </w:p>
        </w:tc>
      </w:tr>
      <w:tr w14:paraId="7653B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</w:trPr>
        <w:tc>
          <w:tcPr>
            <w:tcW w:w="861" w:type="dxa"/>
            <w:vAlign w:val="center"/>
          </w:tcPr>
          <w:p w14:paraId="76D4C91D">
            <w:pPr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2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04E69F7B">
            <w:pPr>
              <w:spacing w:line="5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水利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局</w:t>
            </w:r>
          </w:p>
        </w:tc>
        <w:tc>
          <w:tcPr>
            <w:tcW w:w="4549" w:type="dxa"/>
            <w:vAlign w:val="center"/>
          </w:tcPr>
          <w:p w14:paraId="28E76F74">
            <w:pPr>
              <w:spacing w:line="5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河道采砂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规划（202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eastAsia="仿宋_GB2312" w:cs="Times New Roman"/>
                <w:sz w:val="28"/>
                <w:szCs w:val="28"/>
                <w:lang w:val="en-US"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29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年）</w:t>
            </w:r>
          </w:p>
        </w:tc>
        <w:tc>
          <w:tcPr>
            <w:tcW w:w="2171" w:type="dxa"/>
            <w:vAlign w:val="center"/>
          </w:tcPr>
          <w:p w14:paraId="479D1DDB">
            <w:pPr>
              <w:widowControl/>
              <w:spacing w:line="36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eastAsia="zh-CN" w:bidi="ar"/>
              </w:rPr>
              <w:t>已完成</w:t>
            </w:r>
          </w:p>
        </w:tc>
      </w:tr>
      <w:tr w14:paraId="738C69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861" w:type="dxa"/>
            <w:vAlign w:val="center"/>
          </w:tcPr>
          <w:p w14:paraId="4FAE6677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5CFBD9E1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市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生态环境分局</w:t>
            </w:r>
          </w:p>
        </w:tc>
        <w:tc>
          <w:tcPr>
            <w:tcW w:w="4549" w:type="dxa"/>
            <w:vAlign w:val="center"/>
          </w:tcPr>
          <w:p w14:paraId="6DF5F334">
            <w:pPr>
              <w:spacing w:line="500" w:lineRule="exact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乳山市噪声敏感建筑物集中区域划定方案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(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试行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)</w:t>
            </w:r>
          </w:p>
        </w:tc>
        <w:tc>
          <w:tcPr>
            <w:tcW w:w="2171" w:type="dxa"/>
            <w:vAlign w:val="center"/>
          </w:tcPr>
          <w:p w14:paraId="1CDC8171">
            <w:pPr>
              <w:widowControl/>
              <w:spacing w:line="240" w:lineRule="auto"/>
              <w:ind w:firstLine="0" w:firstLineChars="0"/>
              <w:jc w:val="center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bidi="ar"/>
              </w:rPr>
              <w:t>月</w:t>
            </w:r>
          </w:p>
        </w:tc>
      </w:tr>
    </w:tbl>
    <w:p w14:paraId="2FB76651"/>
    <w:p w14:paraId="447BCED4">
      <w:pPr>
        <w:pStyle w:val="8"/>
        <w:ind w:left="0" w:leftChars="0" w:firstLine="0"/>
        <w:rPr>
          <w:rFonts w:eastAsia="仿宋_GB2312"/>
          <w:sz w:val="32"/>
          <w:szCs w:val="32"/>
        </w:rPr>
      </w:pPr>
    </w:p>
    <w:p w14:paraId="4FA8C2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cs="Times New Roman"/>
        </w:rPr>
      </w:pPr>
    </w:p>
    <w:p w14:paraId="63215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eastAsia="仿宋_GB2312"/>
          <w:sz w:val="32"/>
          <w:szCs w:val="32"/>
        </w:rPr>
      </w:pPr>
    </w:p>
    <w:p w14:paraId="73E085AA"/>
    <w:sectPr>
      <w:headerReference r:id="rId5" w:type="first"/>
      <w:headerReference r:id="rId3" w:type="default"/>
      <w:footerReference r:id="rId6" w:type="default"/>
      <w:headerReference r:id="rId4" w:type="even"/>
      <w:pgSz w:w="11906" w:h="16838"/>
      <w:pgMar w:top="2098" w:right="1531" w:bottom="1984" w:left="1531" w:header="851" w:footer="1531" w:gutter="0"/>
      <w:cols w:space="0" w:num="1"/>
      <w:rtlGutter w:val="0"/>
      <w:docGrid w:type="linesAndChars" w:linePitch="592" w:charSpace="-142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50D554">
    <w:pPr>
      <w:pStyle w:val="6"/>
      <w:keepNext w:val="0"/>
      <w:keepLines w:val="0"/>
      <w:pageBreakBefore w:val="0"/>
      <w:widowControl w:val="0"/>
      <w:kinsoku/>
      <w:wordWrap/>
      <w:overflowPunct/>
      <w:topLinePunct w:val="0"/>
      <w:bidi w:val="0"/>
      <w:adjustRightInd/>
      <w:snapToGrid/>
      <w:jc w:val="center"/>
      <w:textAlignment w:val="auto"/>
      <w:rPr>
        <w:rFonts w:ascii="宋体" w:hAnsi="宋体"/>
        <w:sz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772282">
                          <w:pPr>
                            <w:pStyle w:val="6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/>
                            <w:ind w:left="315" w:leftChars="150" w:right="315" w:rightChars="150"/>
                            <w:jc w:val="center"/>
                            <w:textAlignment w:val="auto"/>
                          </w:pP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instrText xml:space="preserve"> PAGE Page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>3</w:t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772282">
                    <w:pPr>
                      <w:pStyle w:val="6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/>
                      <w:ind w:left="315" w:leftChars="150" w:right="315" w:rightChars="150"/>
                      <w:jc w:val="center"/>
                      <w:textAlignment w:val="auto"/>
                    </w:pPr>
                    <w:r>
                      <w:rPr>
                        <w:rFonts w:ascii="宋体" w:hAnsi="宋体"/>
                        <w:sz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</w:rPr>
                      <w:instrText xml:space="preserve"> PAGE Page \* MERGEFORMAT </w:instrText>
                    </w:r>
                    <w:r>
                      <w:rPr>
                        <w:rFonts w:ascii="宋体" w:hAnsi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</w:rPr>
                      <w:t>3</w:t>
                    </w:r>
                    <w:r>
                      <w:rPr>
                        <w:rFonts w:ascii="宋体" w:hAnsi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B2E9A0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0EFC0">
    <w:pPr>
      <w:pStyle w:val="7"/>
      <w:pBdr>
        <w:bottom w:val="none" w:color="auto" w:sz="0" w:space="0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646F87"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F23F78"/>
    <w:rsid w:val="54F23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Body Text Indent"/>
    <w:basedOn w:val="1"/>
    <w:next w:val="2"/>
    <w:qFormat/>
    <w:uiPriority w:val="99"/>
    <w:pPr>
      <w:spacing w:after="120"/>
      <w:ind w:left="420" w:leftChars="200"/>
    </w:pPr>
  </w:style>
  <w:style w:type="paragraph" w:styleId="5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ascii="Calibri" w:hAnsi="Calibri"/>
      <w:szCs w:val="24"/>
    </w:rPr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Body Text First Indent 2"/>
    <w:basedOn w:val="4"/>
    <w:next w:val="1"/>
    <w:qFormat/>
    <w:uiPriority w:val="99"/>
    <w:pPr>
      <w:ind w:firstLine="420"/>
    </w:p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2026-04-27T02:38:00Z</dcterms:created>
  <dc:creator>Z</dc:creator>
  <cp:lastModifiedBy>Z</cp:lastModifiedBy>
  <dcterms:modified xsi:type="dcterms:W3CDTF">2026-04-27T02:38:43Z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CCF3A24EA0B246568F61D7CC11D2A3FD_11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