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hAnsi="宋体" w:eastAsia="方正小标宋简体"/>
          <w:sz w:val="44"/>
          <w:szCs w:val="44"/>
          <w:lang w:eastAsia="zh-CN"/>
        </w:rPr>
      </w:pPr>
      <w:r>
        <w:rPr>
          <w:rFonts w:hint="eastAsia" w:ascii="方正小标宋简体" w:hAnsi="宋体" w:eastAsia="方正小标宋简体"/>
          <w:sz w:val="44"/>
          <w:szCs w:val="44"/>
          <w:lang w:eastAsia="zh-CN"/>
        </w:rPr>
        <w:t>乳山市海洋发展局2020年行政执法工作报告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2020年，我局按照法治政府建设工作要求，积极履行法定职责，</w:t>
      </w:r>
      <w:r>
        <w:rPr>
          <w:rFonts w:hint="eastAsia" w:ascii="仿宋_GB2312" w:hAnsi="宋体" w:eastAsia="仿宋_GB2312"/>
          <w:sz w:val="32"/>
          <w:szCs w:val="32"/>
        </w:rPr>
        <w:t>开展各项执法行动，规范自身执法行为，强化执法教育培训，提升执法质效。具体工作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如下：</w:t>
      </w:r>
    </w:p>
    <w:p>
      <w:pPr>
        <w:ind w:firstLine="643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一、加强制度建设，严格依法行政</w:t>
      </w:r>
    </w:p>
    <w:p>
      <w:pPr>
        <w:ind w:firstLine="640" w:firstLineChars="200"/>
        <w:jc w:val="both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研究制定《乳山市海洋发展局行政执法信息公示实施细则》、《乳山市海洋发展局重大执法决定法制审核实施办法》、《乳山市海洋发展局行政执法全过程记录工作办法》，坚持制度优先，严格规范约束全系统的执法管理行为。进一步细化标准，将行政执法“三项制度”落实于渔业行政执法操作的各个环节，强化我局内部管理。</w:t>
      </w:r>
    </w:p>
    <w:p>
      <w:pPr>
        <w:ind w:firstLine="643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二、强化执法监管，严打违法行为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3" w:firstLineChars="200"/>
        <w:jc w:val="both"/>
        <w:textAlignment w:val="auto"/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eastAsia="zh-CN"/>
        </w:rPr>
        <w:t>一是强化措施落实，确保伏季休渔秩序稳定。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伏季休渔以来，我市紧紧围绕“压实工作责任、加强宣传教育、确认停港渔船、注重日常执法、强化联防技防”等关键举措，严查违法违规渔船，确保休渔秩序稳定。共召开新闻发布会1次，召开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工作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会议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次，召开新闻发布会1次，发放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、张贴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伏季休渔宣传资料1430份，共出动执法船艇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634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艘次，车辆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260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车次，人员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6681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人次，海上航程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19090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海里，陆上巡查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15325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公里，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检查渔港325个次。伏休立案查处违规案件76起涉案人员99人，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查获违规渔船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75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艘，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违规运输新鲜渔获物厢车4台，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非法运输捕捞渔获物等共计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2781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公斤，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罚款713991元，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极大地震慑了海上违法违规行为。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643" w:firstLineChars="200"/>
        <w:textAlignment w:val="auto"/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eastAsia="zh-CN"/>
        </w:rPr>
        <w:t>二是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</w:rPr>
        <w:t>加大执法检查力度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</w:rPr>
        <w:t>防止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eastAsia="zh-CN"/>
        </w:rPr>
        <w:t>“三无”船舶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</w:rPr>
        <w:t>反弹回流。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在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前年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共调查核实、拆解310艘“三无”船舶的基础上，强化执法检查。主要依托渔业执法部门三处渔港办事处，加大对靠港渔船的检查力度，重点检查渔船持证情况。同时，强化对渔船修造点的检查，成立船厂执法工作小组，不定期开展执法检查，紧盯新修渔船，坚决杜绝</w:t>
      </w:r>
      <w:r>
        <w:rPr>
          <w:rFonts w:hint="eastAsia" w:ascii="仿宋_GB2312" w:hAnsi="宋体" w:eastAsia="仿宋_GB2312" w:cs="Times New Roman"/>
          <w:sz w:val="32"/>
          <w:szCs w:val="32"/>
          <w:lang w:val="en-US" w:eastAsia="zh-CN"/>
        </w:rPr>
        <w:t>修造</w:t>
      </w:r>
      <w:r>
        <w:rPr>
          <w:rFonts w:hint="default" w:ascii="仿宋_GB2312" w:hAnsi="宋体" w:eastAsia="仿宋_GB2312" w:cs="Times New Roman"/>
          <w:sz w:val="32"/>
          <w:szCs w:val="32"/>
          <w:lang w:val="en-US" w:eastAsia="zh-CN"/>
        </w:rPr>
        <w:t>“三无”船舶。另外，强化联合执法，由渔业执法部门联合公安严查“三无”船舶，确保查出一艘、没收一艘、拆解一艘，保持高压态势，构建严管、严控的长效机制，防止我市海洋涉渔“三无”船舶反弹回流，消除了渔业安全生产和海洋渔船管控重大隐患。</w:t>
      </w:r>
    </w:p>
    <w:p>
      <w:pPr>
        <w:pStyle w:val="2"/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firstLine="643" w:firstLineChars="200"/>
        <w:jc w:val="both"/>
        <w:textAlignment w:val="auto"/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三是紧抓关键环节，营造网具治理高压态势。</w:t>
      </w:r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2020</w:t>
      </w:r>
      <w:r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年以来，我市把“地笼网”等禁用渔具整治列为各项工作中的重之只重。特别是近海管理秩序整治行动以及伏季休渔以来，加大了海、陆检查力度，有效推进各项工作任务落地落实。同时，采取“四不两直”的方式，以辖区渔港、码头、海域及渔具市场为重点，对渔具制造、销售、储藏、运输、使用等环节进行全面检查，对发现的违法渔具依法没收并销毁。渔业执法部门持续加大海上执法检查力度，对海上发现的“地笼网”租用专用船只强制捞取。截至目前，我市共收缴“地笼网”</w:t>
      </w:r>
      <w:r>
        <w:rPr>
          <w:rFonts w:hint="eastAsia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2870</w:t>
      </w:r>
      <w:r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  <w:t>余套。</w:t>
      </w:r>
    </w:p>
    <w:p>
      <w:pPr>
        <w:pStyle w:val="5"/>
        <w:keepNext w:val="0"/>
        <w:keepLines w:val="0"/>
        <w:pageBreakBefore w:val="0"/>
        <w:widowControl w:val="0"/>
        <w:shd w:val="clear" w:color="auto" w:fill="auto"/>
        <w:tabs>
          <w:tab w:val="left" w:pos="1541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40" w:lineRule="exact"/>
        <w:ind w:firstLine="643" w:firstLineChars="200"/>
        <w:jc w:val="both"/>
        <w:textAlignment w:val="auto"/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szCs w:val="32"/>
          <w:lang w:val="en-US" w:eastAsia="zh-CN"/>
        </w:rPr>
        <w:t>四是强化源头治理，推进电鱼专项执法行动。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充分发挥基层群众组织、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伏休协管员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等的作用，全面开展使用电鱼器具情况暗访摸排和法律法规宣传教育，引导相关人员限期主动停止使用并上缴电鱼器具。同时，积极联合市场监管、网信等部门，对辖区内从事渔具销售的商店、网站、电商等商家和平台开展监督检查，重点打击销售电鱼设备的行为。另外，梳理电鱼非法捕捞案件易发水域、违法行为活动规律等情况，结合群众举报信息，制定周密计划，会同公安机关开展联合执法，提高频度、扩大范围、水陆联动，对一些问题突出水域，开展驻守检查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，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有效防范小工具电鱼及使用严重破坏资源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的违规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行为。</w:t>
      </w:r>
    </w:p>
    <w:p>
      <w:pPr>
        <w:pStyle w:val="5"/>
        <w:keepNext w:val="0"/>
        <w:keepLines w:val="0"/>
        <w:pageBreakBefore w:val="0"/>
        <w:widowControl w:val="0"/>
        <w:shd w:val="clear" w:color="auto" w:fill="auto"/>
        <w:tabs>
          <w:tab w:val="left" w:pos="1541"/>
        </w:tabs>
        <w:kinsoku/>
        <w:wordWrap/>
        <w:overflowPunct/>
        <w:topLinePunct w:val="0"/>
        <w:autoSpaceDE/>
        <w:autoSpaceDN/>
        <w:bidi w:val="0"/>
        <w:spacing w:before="0" w:after="0" w:line="540" w:lineRule="exact"/>
        <w:ind w:firstLine="643" w:firstLineChars="200"/>
        <w:jc w:val="both"/>
        <w:textAlignment w:val="auto"/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spacing w:val="0"/>
          <w:sz w:val="32"/>
          <w:lang w:eastAsia="zh-CN"/>
        </w:rPr>
        <w:t>五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lang w:eastAsia="zh-CN"/>
        </w:rPr>
        <w:t>是强化日常监管，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</w:rPr>
        <w:t>渔业安全生产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lang w:eastAsia="zh-CN"/>
        </w:rPr>
        <w:t>稳步推进。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施行岸段、海区负责制，对码头电气焊管理、成品油管理、消防设施配套，对渔船超航区作业、违规载客、临水作业不穿救生衣，“三无”船舶非法生产作业等进行严格检查，发现问题严肃处理。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截至目前，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共登临检查渔船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100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余艘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，排查安全隐患60余处，已责令整改；查获违反安全生产管理规定渔船5艘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。同时，扎实做好关键节点海上安保防控工作，根据不同时节海上安全生产工作实际，分别制定了岁末年初渔业安全大检查、防范商渔船碰撞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等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渔业安全生产专项整治等多个专项工作方案，不断细化措施、压实责任，全面排查渔业安全生产隐患，协助涉渔企业建立安全生产制度，督导各镇街落实属地管理责任，加强渔船安全生产和涉外渔业监管工作。</w:t>
      </w:r>
    </w:p>
    <w:p>
      <w:pPr>
        <w:ind w:firstLine="643" w:firstLineChars="200"/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default" w:ascii="Times New Roman" w:hAnsi="Times New Roman" w:eastAsia="仿宋_GB2312" w:cs="Times New Roman"/>
          <w:b/>
          <w:bCs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是围绕依法监管，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</w:rPr>
        <w:t>加强水生野生动物保护管理</w:t>
      </w:r>
      <w:r>
        <w:rPr>
          <w:rFonts w:hint="default" w:ascii="Times New Roman" w:hAnsi="Times New Roman" w:eastAsia="仿宋_GB2312" w:cs="Times New Roman"/>
          <w:b/>
          <w:bCs/>
          <w:spacing w:val="0"/>
          <w:sz w:val="32"/>
          <w:lang w:eastAsia="zh-CN"/>
        </w:rPr>
        <w:t>。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根据《中华人民共和国野生动物保护法》等法律规定，进一步加强水生野生动物保护管理，加大综合执法监管力度，严厉打击非法捕捉、繁育、展示展演、出售购买、转租及经营利用等水生野生动物违法行为，维护合法经营者利益。执法人员共检查单位数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50余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处，未发现</w:t>
      </w:r>
      <w:r>
        <w:rPr>
          <w:rFonts w:hint="eastAsia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违反水生野生动物保护的线索</w:t>
      </w:r>
      <w:r>
        <w:rPr>
          <w:rFonts w:hint="default" w:ascii="仿宋_GB2312" w:hAnsi="宋体" w:eastAsia="仿宋_GB2312" w:cs="Times New Roman"/>
          <w:spacing w:val="0"/>
          <w:kern w:val="2"/>
          <w:sz w:val="32"/>
          <w:szCs w:val="32"/>
          <w:lang w:val="en-US" w:eastAsia="zh-CN" w:bidi="ar-SA"/>
        </w:rPr>
        <w:t>。</w:t>
      </w:r>
    </w:p>
    <w:p>
      <w:pPr>
        <w:numPr>
          <w:ilvl w:val="0"/>
          <w:numId w:val="0"/>
        </w:numPr>
        <w:ind w:firstLine="643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三、聚焦关键领域，推进重点工作攻坚突破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开展渔船管控专项行动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。针对渔船管控工作存在的突出问题，我局高度重视，积极组织开展渔船管控专项行动。第一时间成立了工作专班（执法专班和管控专班），管控专班办公室设在市海洋发展局，出台了“2+6”工作方案，梳理问题、责任、落实“三个清单”，实行台账管理，经过各部门共同努力，已取得初步成效。9月1日以来，全市累计查获违法违规渔船6艘、违禁渔具560余套。</w:t>
      </w:r>
    </w:p>
    <w:p>
      <w:pPr>
        <w:widowControl w:val="0"/>
        <w:numPr>
          <w:ilvl w:val="0"/>
          <w:numId w:val="0"/>
        </w:numPr>
        <w:ind w:left="640" w:left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四、强化执法培训，做好普法宣传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加强执法培训教育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组织参加山东省行政执法换证培训考试，17名参加考试人员全部高分考试通过。组织大队26名执法人员积极参与威海市国家工作人员法治考试。加强专业法律知识培训，利用“线上+线下”形式参与全国渔业行政执法人员能力提升活动、海洋执法监管业务培训。参加威海市行政执法案卷评查，规范行政执法案卷制作，提升执法规范水平。</w:t>
      </w:r>
    </w:p>
    <w:p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积极做好普法宣传工作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。认真处置渔船劳资纠纷，并做好涉渔生产、劳动合同相关的普法宣传工作，全年以来，成功化解工资纠纷18起。选派优秀执法业务骨干参加“谁执法 谁普法”普法进行时栏目，介绍涉海生产活动中的法律法规及政策信息。通过电视、广播、宣传手册等多途径、全方位的普及涉海涉渔法律知识，让政策走进渔港、渔村、渔船、渔民，使得法治理念深入人心，全面提升我市法治化水平。</w:t>
      </w:r>
    </w:p>
    <w:p>
      <w:pPr>
        <w:widowControl w:val="0"/>
        <w:numPr>
          <w:ilvl w:val="0"/>
          <w:numId w:val="0"/>
        </w:num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>
      <w:pPr>
        <w:widowControl w:val="0"/>
        <w:numPr>
          <w:ilvl w:val="0"/>
          <w:numId w:val="0"/>
        </w:num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乳山市海洋发展局</w:t>
      </w:r>
    </w:p>
    <w:p>
      <w:pPr>
        <w:widowControl w:val="0"/>
        <w:numPr>
          <w:ilvl w:val="0"/>
          <w:numId w:val="0"/>
        </w:num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2021年1月5日</w:t>
      </w:r>
    </w:p>
    <w:sectPr>
      <w:pgSz w:w="11906" w:h="16838"/>
      <w:pgMar w:top="1327" w:right="1633" w:bottom="1327" w:left="163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815EB8"/>
    <w:rsid w:val="0D8E0D3D"/>
    <w:rsid w:val="16815EB8"/>
    <w:rsid w:val="170572E4"/>
    <w:rsid w:val="191A74A1"/>
    <w:rsid w:val="1EC23008"/>
    <w:rsid w:val="254E1336"/>
    <w:rsid w:val="34611D98"/>
    <w:rsid w:val="39183496"/>
    <w:rsid w:val="3AE30B77"/>
    <w:rsid w:val="3D575155"/>
    <w:rsid w:val="47631A8B"/>
    <w:rsid w:val="4B950F7E"/>
    <w:rsid w:val="4DD056AE"/>
    <w:rsid w:val="4E173E55"/>
    <w:rsid w:val="53822355"/>
    <w:rsid w:val="5B076753"/>
    <w:rsid w:val="5C47480F"/>
    <w:rsid w:val="6288167A"/>
    <w:rsid w:val="6CD221FB"/>
    <w:rsid w:val="70C83282"/>
    <w:rsid w:val="78917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Body text|2"/>
    <w:basedOn w:val="1"/>
    <w:qFormat/>
    <w:uiPriority w:val="0"/>
    <w:pPr>
      <w:shd w:val="clear" w:color="auto" w:fill="FFFFFF"/>
      <w:spacing w:before="580" w:after="1520" w:line="300" w:lineRule="exact"/>
      <w:jc w:val="center"/>
    </w:pPr>
    <w:rPr>
      <w:rFonts w:ascii="PMingLiU" w:hAnsi="PMingLiU" w:eastAsia="PMingLiU" w:cs="PMingLiU"/>
      <w:spacing w:val="30"/>
      <w:kern w:val="2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2020-11-30T08:12:00Z</dcterms:created>
  <dc:creator>Administrator</dc:creator>
  <cp:lastModifiedBy>Administrator</cp:lastModifiedBy>
  <cp:lastPrinted>2020-12-23T02:14:00Z</cp:lastPrinted>
  <dcterms:modified xsi:type="dcterms:W3CDTF">2021-01-06T08:51:01Z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