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40E625A">
      <w:pPr>
        <w:overflowPunct w:val="0"/>
        <w:spacing w:line="570" w:lineRule="exact"/>
        <w:ind w:firstLine="0" w:firstLineChars="0"/>
        <w:jc w:val="center"/>
        <w:rPr>
          <w:rFonts w:ascii="Times New Roman" w:hAnsi="Times New Roman" w:eastAsia="方正小标宋简体"/>
          <w:sz w:val="44"/>
          <w:szCs w:val="44"/>
        </w:rPr>
      </w:pPr>
      <w:bookmarkStart w:id="0" w:name="OLE_LINK1"/>
      <w:r>
        <w:rPr>
          <w:rFonts w:ascii="Times New Roman" w:eastAsia="方正小标宋简体"/>
          <w:sz w:val="44"/>
          <w:szCs w:val="44"/>
          <w:lang w:bidi="ar"/>
        </w:rPr>
        <w:t>乳</w:t>
      </w:r>
      <w:r>
        <w:rPr>
          <w:rFonts w:ascii="Times New Roman" w:eastAsia="方正小标宋简体"/>
          <w:sz w:val="44"/>
          <w:szCs w:val="44"/>
        </w:rPr>
        <w:t>山</w:t>
      </w:r>
      <w:r>
        <w:rPr>
          <w:rFonts w:ascii="Times New Roman" w:eastAsia="方正小标宋简体"/>
          <w:color w:val="000000"/>
          <w:kern w:val="0"/>
          <w:sz w:val="44"/>
          <w:szCs w:val="44"/>
          <w:lang w:bidi="ar"/>
        </w:rPr>
        <w:t>市人民政府办公室</w:t>
      </w:r>
      <w:bookmarkEnd w:id="0"/>
    </w:p>
    <w:p w14:paraId="53AE22C9">
      <w:pPr>
        <w:widowControl/>
        <w:overflowPunct w:val="0"/>
        <w:spacing w:line="570" w:lineRule="exact"/>
        <w:ind w:firstLine="0" w:firstLineChars="0"/>
        <w:jc w:val="center"/>
        <w:rPr>
          <w:rFonts w:ascii="Times New Roman" w:hAnsi="Times New Roman" w:eastAsia="方正小标宋简体"/>
          <w:sz w:val="44"/>
          <w:szCs w:val="44"/>
          <w:lang w:bidi="ar"/>
        </w:rPr>
      </w:pPr>
      <w:r>
        <w:rPr>
          <w:rFonts w:ascii="Times New Roman" w:hAnsi="Times New Roman" w:eastAsia="方正小标宋简体"/>
          <w:sz w:val="44"/>
          <w:szCs w:val="44"/>
          <w:lang w:bidi="ar"/>
        </w:rPr>
        <w:t>关于印发2026年乳山市法治政府建设</w:t>
      </w:r>
    </w:p>
    <w:p w14:paraId="5E3B9041">
      <w:pPr>
        <w:widowControl/>
        <w:overflowPunct w:val="0"/>
        <w:spacing w:line="570" w:lineRule="exact"/>
        <w:ind w:firstLine="0" w:firstLineChars="0"/>
        <w:jc w:val="center"/>
        <w:rPr>
          <w:rFonts w:ascii="Times New Roman" w:hAnsi="Times New Roman" w:eastAsia="方正小标宋简体"/>
          <w:sz w:val="44"/>
          <w:szCs w:val="44"/>
          <w:lang w:bidi="ar"/>
        </w:rPr>
      </w:pPr>
      <w:r>
        <w:rPr>
          <w:rFonts w:ascii="Times New Roman" w:hAnsi="Times New Roman" w:eastAsia="方正小标宋简体"/>
          <w:sz w:val="44"/>
          <w:szCs w:val="44"/>
          <w:lang w:bidi="ar"/>
        </w:rPr>
        <w:t>工作计划的通知</w:t>
      </w:r>
    </w:p>
    <w:p w14:paraId="51611674">
      <w:pPr>
        <w:widowControl/>
        <w:overflowPunct w:val="0"/>
        <w:spacing w:line="570" w:lineRule="exact"/>
        <w:ind w:firstLine="0" w:firstLineChars="0"/>
        <w:jc w:val="center"/>
        <w:rPr>
          <w:rFonts w:ascii="Times New Roman" w:hAnsi="Times New Roman"/>
          <w:color w:val="000000"/>
          <w:szCs w:val="32"/>
          <w:lang w:bidi="ar"/>
        </w:rPr>
      </w:pPr>
      <w:bookmarkStart w:id="1" w:name="_GoBack"/>
      <w:r>
        <w:rPr>
          <w:rFonts w:ascii="Times New Roman" w:hAnsi="Times New Roman"/>
          <w:color w:val="000000"/>
          <w:szCs w:val="32"/>
          <w:lang w:bidi="ar"/>
        </w:rPr>
        <w:t>乳政办字〔2026〕1</w:t>
      </w:r>
      <w:r>
        <w:rPr>
          <w:rFonts w:hint="eastAsia" w:ascii="Times New Roman" w:hAnsi="Times New Roman"/>
          <w:color w:val="000000"/>
          <w:szCs w:val="32"/>
          <w:lang w:bidi="ar"/>
        </w:rPr>
        <w:t>2</w:t>
      </w:r>
      <w:r>
        <w:rPr>
          <w:rFonts w:ascii="Times New Roman" w:hAnsi="Times New Roman"/>
          <w:color w:val="000000"/>
          <w:szCs w:val="32"/>
          <w:lang w:bidi="ar"/>
        </w:rPr>
        <w:t>号</w:t>
      </w:r>
      <w:bookmarkEnd w:id="1"/>
    </w:p>
    <w:p w14:paraId="6C3519D1">
      <w:pPr>
        <w:widowControl/>
        <w:overflowPunct w:val="0"/>
        <w:spacing w:line="570" w:lineRule="exact"/>
        <w:ind w:firstLine="0" w:firstLineChars="0"/>
        <w:jc w:val="center"/>
        <w:rPr>
          <w:rFonts w:ascii="Times New Roman" w:hAnsi="Times New Roman"/>
          <w:color w:val="000000"/>
          <w:szCs w:val="32"/>
          <w:lang w:bidi="ar"/>
        </w:rPr>
      </w:pPr>
    </w:p>
    <w:p w14:paraId="2FAB7825">
      <w:pPr>
        <w:overflowPunct w:val="0"/>
        <w:adjustRightInd w:val="0"/>
        <w:snapToGrid w:val="0"/>
        <w:spacing w:line="570" w:lineRule="exact"/>
        <w:ind w:firstLine="0" w:firstLineChars="0"/>
        <w:rPr>
          <w:rFonts w:ascii="Times New Roman" w:hAnsi="Times New Roman"/>
          <w:color w:val="000000"/>
          <w:szCs w:val="32"/>
        </w:rPr>
      </w:pPr>
      <w:r>
        <w:rPr>
          <w:rFonts w:ascii="Times New Roman" w:hAnsi="宋体"/>
          <w:color w:val="000000"/>
          <w:szCs w:val="32"/>
        </w:rPr>
        <w:t>各镇人民政府，市政府各部门、单位，滨海新区（银滩旅游度假区）、经济开发区、城区街道办事处，各市属国有企业：</w:t>
      </w:r>
    </w:p>
    <w:p w14:paraId="7B0D8A27">
      <w:pPr>
        <w:overflowPunct w:val="0"/>
        <w:adjustRightInd w:val="0"/>
        <w:snapToGrid w:val="0"/>
        <w:spacing w:line="570" w:lineRule="exact"/>
        <w:ind w:firstLine="640"/>
        <w:rPr>
          <w:rFonts w:ascii="Times New Roman" w:hAnsi="Times New Roman"/>
          <w:color w:val="000000"/>
          <w:szCs w:val="32"/>
        </w:rPr>
      </w:pPr>
      <w:r>
        <w:rPr>
          <w:rFonts w:ascii="Times New Roman" w:hAnsi="宋体"/>
          <w:color w:val="000000"/>
          <w:szCs w:val="32"/>
        </w:rPr>
        <w:t>《</w:t>
      </w:r>
      <w:r>
        <w:rPr>
          <w:rFonts w:ascii="Times New Roman" w:hAnsi="Times New Roman"/>
          <w:szCs w:val="32"/>
        </w:rPr>
        <w:t>2026</w:t>
      </w:r>
      <w:r>
        <w:rPr>
          <w:rFonts w:ascii="Times New Roman" w:hAnsi="宋体"/>
          <w:color w:val="000000"/>
          <w:szCs w:val="32"/>
        </w:rPr>
        <w:t>年乳山市法治政府建设工作计划》已经市政府同意，</w:t>
      </w:r>
    </w:p>
    <w:p w14:paraId="33BE2DB7">
      <w:pPr>
        <w:overflowPunct w:val="0"/>
        <w:adjustRightInd w:val="0"/>
        <w:snapToGrid w:val="0"/>
        <w:spacing w:line="570" w:lineRule="exact"/>
        <w:ind w:firstLine="0" w:firstLineChars="0"/>
        <w:rPr>
          <w:rFonts w:ascii="Times New Roman" w:hAnsi="Times New Roman"/>
          <w:color w:val="000000"/>
          <w:szCs w:val="32"/>
        </w:rPr>
      </w:pPr>
      <w:r>
        <w:rPr>
          <w:rFonts w:ascii="Times New Roman" w:hAnsi="宋体"/>
          <w:color w:val="000000"/>
          <w:szCs w:val="32"/>
        </w:rPr>
        <w:t>现印发给你们，请认真组织实施。</w:t>
      </w:r>
    </w:p>
    <w:p w14:paraId="2F462850">
      <w:pPr>
        <w:widowControl/>
        <w:overflowPunct w:val="0"/>
        <w:spacing w:line="570" w:lineRule="exact"/>
        <w:ind w:firstLine="0" w:firstLineChars="0"/>
        <w:jc w:val="both"/>
        <w:rPr>
          <w:rFonts w:ascii="Times New Roman" w:hAnsi="Times New Roman" w:eastAsia="方正小标宋简体"/>
          <w:sz w:val="44"/>
          <w:szCs w:val="44"/>
          <w:lang w:bidi="ar"/>
        </w:rPr>
      </w:pPr>
    </w:p>
    <w:p w14:paraId="6FF532DA">
      <w:pPr>
        <w:widowControl/>
        <w:overflowPunct w:val="0"/>
        <w:spacing w:line="570" w:lineRule="exact"/>
        <w:ind w:firstLine="0" w:firstLineChars="0"/>
        <w:jc w:val="both"/>
        <w:rPr>
          <w:rFonts w:ascii="Times New Roman" w:hAnsi="Times New Roman" w:eastAsia="方正小标宋简体"/>
          <w:sz w:val="44"/>
          <w:szCs w:val="44"/>
          <w:lang w:bidi="ar"/>
        </w:rPr>
      </w:pPr>
    </w:p>
    <w:p w14:paraId="1885D80A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乳山市人民政府办公室</w:t>
      </w:r>
      <w:r>
        <w:rPr>
          <w:rFonts w:hint="eastAsia" w:ascii="Times New Roman" w:hAnsi="Times New Roman" w:eastAsia="仿宋_GB2312" w:cs="Times New Roman"/>
          <w:w w:val="95"/>
          <w:sz w:val="32"/>
          <w:szCs w:val="32"/>
          <w:lang w:val="en-US" w:eastAsia="zh-CN"/>
        </w:rPr>
        <w:t xml:space="preserve">      </w:t>
      </w:r>
    </w:p>
    <w:p w14:paraId="67C3F8AC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2026年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月2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1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日        </w:t>
      </w:r>
    </w:p>
    <w:p w14:paraId="1B107A3B">
      <w:pPr>
        <w:overflowPunct w:val="0"/>
        <w:adjustRightInd w:val="0"/>
        <w:snapToGrid w:val="0"/>
        <w:spacing w:line="570" w:lineRule="exact"/>
        <w:ind w:firstLine="640"/>
        <w:rPr>
          <w:rFonts w:ascii="Times New Roman" w:hAnsi="Times New Roman"/>
          <w:color w:val="000000"/>
          <w:szCs w:val="32"/>
        </w:rPr>
      </w:pPr>
      <w:r>
        <w:rPr>
          <w:rFonts w:ascii="Times New Roman" w:hAnsi="宋体"/>
          <w:color w:val="000000"/>
          <w:szCs w:val="32"/>
        </w:rPr>
        <w:t>（此件公开发布）</w:t>
      </w:r>
    </w:p>
    <w:p w14:paraId="3AE5AF1D">
      <w:pPr>
        <w:widowControl/>
        <w:overflowPunct w:val="0"/>
        <w:spacing w:line="570" w:lineRule="exact"/>
        <w:ind w:firstLine="0" w:firstLineChars="0"/>
        <w:jc w:val="both"/>
        <w:rPr>
          <w:rFonts w:ascii="Times New Roman" w:hAnsi="Times New Roman" w:eastAsia="方正小标宋简体"/>
          <w:sz w:val="44"/>
          <w:szCs w:val="44"/>
          <w:lang w:bidi="ar"/>
        </w:rPr>
      </w:pPr>
    </w:p>
    <w:p w14:paraId="2B1D5384">
      <w:pPr>
        <w:adjustRightInd w:val="0"/>
        <w:snapToGrid w:val="0"/>
        <w:spacing w:line="570" w:lineRule="exact"/>
        <w:ind w:firstLine="0" w:firstLineChars="0"/>
        <w:jc w:val="center"/>
        <w:rPr>
          <w:rFonts w:ascii="Times New Roman" w:hAnsi="Times New Roman"/>
          <w:sz w:val="44"/>
          <w:szCs w:val="44"/>
        </w:rPr>
      </w:pPr>
    </w:p>
    <w:p w14:paraId="21F40584">
      <w:pPr>
        <w:adjustRightInd w:val="0"/>
        <w:snapToGrid w:val="0"/>
        <w:spacing w:line="570" w:lineRule="exact"/>
        <w:ind w:firstLine="0" w:firstLineChars="0"/>
        <w:jc w:val="both"/>
        <w:rPr>
          <w:rFonts w:hint="eastAsia" w:ascii="Times New Roman" w:hAnsi="Times New Roman"/>
          <w:sz w:val="44"/>
          <w:szCs w:val="44"/>
        </w:rPr>
      </w:pPr>
    </w:p>
    <w:p w14:paraId="0008CBC1">
      <w:pPr>
        <w:adjustRightInd w:val="0"/>
        <w:snapToGrid w:val="0"/>
        <w:spacing w:line="570" w:lineRule="exact"/>
        <w:ind w:firstLine="0" w:firstLineChars="0"/>
        <w:jc w:val="center"/>
        <w:rPr>
          <w:rFonts w:ascii="Times New Roman" w:hAnsi="Times New Roman"/>
          <w:sz w:val="44"/>
          <w:szCs w:val="44"/>
        </w:rPr>
      </w:pPr>
    </w:p>
    <w:p w14:paraId="65114663">
      <w:pPr>
        <w:adjustRightInd w:val="0"/>
        <w:snapToGrid w:val="0"/>
        <w:spacing w:line="570" w:lineRule="exact"/>
        <w:ind w:firstLine="0" w:firstLineChars="0"/>
        <w:jc w:val="center"/>
        <w:rPr>
          <w:rFonts w:ascii="Times New Roman" w:hAnsi="Times New Roman"/>
          <w:sz w:val="44"/>
          <w:szCs w:val="44"/>
        </w:rPr>
      </w:pPr>
    </w:p>
    <w:p w14:paraId="22011E75">
      <w:pPr>
        <w:adjustRightInd w:val="0"/>
        <w:snapToGrid w:val="0"/>
        <w:spacing w:line="570" w:lineRule="exact"/>
        <w:ind w:firstLine="0" w:firstLineChars="0"/>
        <w:jc w:val="center"/>
        <w:rPr>
          <w:rFonts w:ascii="Times New Roman" w:hAnsi="Times New Roman"/>
          <w:sz w:val="44"/>
          <w:szCs w:val="44"/>
        </w:rPr>
      </w:pPr>
    </w:p>
    <w:p w14:paraId="0A0027B1">
      <w:pPr>
        <w:adjustRightInd w:val="0"/>
        <w:snapToGrid w:val="0"/>
        <w:spacing w:line="570" w:lineRule="exact"/>
        <w:ind w:firstLine="0" w:firstLineChars="0"/>
        <w:jc w:val="center"/>
        <w:rPr>
          <w:rFonts w:ascii="Times New Roman" w:hAnsi="Times New Roman"/>
          <w:sz w:val="44"/>
          <w:szCs w:val="44"/>
        </w:rPr>
      </w:pPr>
    </w:p>
    <w:p w14:paraId="7FAD0C2E">
      <w:pPr>
        <w:adjustRightInd w:val="0"/>
        <w:snapToGrid w:val="0"/>
        <w:spacing w:line="570" w:lineRule="exact"/>
        <w:ind w:firstLine="0" w:firstLineChars="0"/>
        <w:jc w:val="center"/>
        <w:rPr>
          <w:rFonts w:ascii="Times New Roman" w:hAnsi="Times New Roman"/>
          <w:sz w:val="44"/>
          <w:szCs w:val="44"/>
        </w:rPr>
      </w:pPr>
    </w:p>
    <w:p w14:paraId="45969A4E">
      <w:pPr>
        <w:adjustRightInd w:val="0"/>
        <w:snapToGrid w:val="0"/>
        <w:spacing w:line="570" w:lineRule="exact"/>
        <w:ind w:firstLine="0" w:firstLineChars="0"/>
        <w:jc w:val="center"/>
        <w:rPr>
          <w:rFonts w:ascii="Times New Roman" w:hAnsi="Times New Roman" w:eastAsia="方正小标宋简体"/>
          <w:sz w:val="44"/>
          <w:szCs w:val="44"/>
        </w:rPr>
      </w:pPr>
      <w:r>
        <w:rPr>
          <w:rFonts w:ascii="Times New Roman" w:hAnsi="Times New Roman"/>
          <w:sz w:val="44"/>
          <w:szCs w:val="44"/>
        </w:rPr>
        <w:t>2026</w:t>
      </w:r>
      <w:r>
        <w:rPr>
          <w:rFonts w:ascii="Times New Roman" w:hAnsi="Times New Roman" w:eastAsia="方正小标宋简体"/>
          <w:sz w:val="44"/>
          <w:szCs w:val="44"/>
        </w:rPr>
        <w:t>年乳山市法治政府建设工作计划</w:t>
      </w:r>
    </w:p>
    <w:p w14:paraId="0CF0387F">
      <w:pPr>
        <w:adjustRightInd w:val="0"/>
        <w:snapToGrid w:val="0"/>
        <w:spacing w:line="570" w:lineRule="exact"/>
        <w:ind w:firstLine="640"/>
        <w:rPr>
          <w:rFonts w:ascii="Times New Roman" w:hAnsi="Times New Roman"/>
          <w:szCs w:val="32"/>
        </w:rPr>
      </w:pPr>
    </w:p>
    <w:p w14:paraId="041B53D6">
      <w:pPr>
        <w:spacing w:line="570" w:lineRule="exact"/>
        <w:ind w:firstLine="640"/>
        <w:rPr>
          <w:rFonts w:ascii="Times New Roman" w:hAnsi="Times New Roman"/>
          <w:szCs w:val="32"/>
        </w:rPr>
      </w:pPr>
      <w:r>
        <w:rPr>
          <w:rFonts w:ascii="Times New Roman" w:hAnsi="Times New Roman"/>
          <w:szCs w:val="32"/>
        </w:rPr>
        <w:t>为持续提升依法行政水平，加快推进法治政府建设，结合上级部署和我市实际，制定本工作计划。</w:t>
      </w:r>
    </w:p>
    <w:p w14:paraId="5EF5F922">
      <w:pPr>
        <w:spacing w:line="570" w:lineRule="exact"/>
        <w:ind w:firstLine="640"/>
        <w:rPr>
          <w:rFonts w:ascii="Times New Roman" w:hAnsi="Times New Roman" w:eastAsia="黑体"/>
          <w:szCs w:val="32"/>
        </w:rPr>
      </w:pPr>
      <w:r>
        <w:rPr>
          <w:rFonts w:ascii="Times New Roman" w:hAnsi="Times New Roman" w:eastAsia="黑体"/>
          <w:szCs w:val="32"/>
        </w:rPr>
        <w:t>一、依法全面高效履职</w:t>
      </w:r>
    </w:p>
    <w:p w14:paraId="2E2AA5B2">
      <w:pPr>
        <w:spacing w:line="570" w:lineRule="exact"/>
        <w:ind w:firstLine="640"/>
        <w:rPr>
          <w:rFonts w:ascii="Times New Roman" w:hAnsi="Times New Roman" w:eastAsia="楷体_GB2312"/>
          <w:szCs w:val="32"/>
        </w:rPr>
      </w:pPr>
      <w:r>
        <w:rPr>
          <w:rFonts w:ascii="Times New Roman" w:hAnsi="Times New Roman" w:eastAsia="楷体_GB2312"/>
          <w:szCs w:val="32"/>
        </w:rPr>
        <w:t>1.优化政府机构职能。</w:t>
      </w:r>
      <w:r>
        <w:rPr>
          <w:rFonts w:ascii="Times New Roman" w:hAnsi="Times New Roman"/>
          <w:szCs w:val="32"/>
          <w:lang w:val="en"/>
        </w:rPr>
        <w:t>优化调整政府部门机构职能，</w:t>
      </w:r>
      <w:r>
        <w:rPr>
          <w:rFonts w:ascii="Times New Roman" w:hAnsi="Times New Roman"/>
          <w:szCs w:val="32"/>
          <w:shd w:val="clear" w:color="auto" w:fill="FFFFFF"/>
          <w:lang w:val="en"/>
        </w:rPr>
        <w:t>动态完善部门权责清单，加强职能运行监管和跟踪问效，推动部门依法办事、高效履职。</w:t>
      </w:r>
      <w:r>
        <w:rPr>
          <w:rFonts w:ascii="Times New Roman" w:hAnsi="Times New Roman"/>
          <w:szCs w:val="32"/>
        </w:rPr>
        <w:t>全面落实镇街履职事项清单，建立健全清单使用长效机制，进一步完善基层权责体系。</w:t>
      </w:r>
      <w:r>
        <w:rPr>
          <w:rFonts w:ascii="Times New Roman" w:hAnsi="楷体_GB2312" w:eastAsia="楷体_GB2312"/>
          <w:sz w:val="31"/>
          <w:szCs w:val="31"/>
        </w:rPr>
        <w:t>〔</w:t>
      </w:r>
      <w:r>
        <w:rPr>
          <w:rFonts w:ascii="Times New Roman" w:hAnsi="Times New Roman" w:eastAsia="楷体_GB2312"/>
          <w:szCs w:val="32"/>
        </w:rPr>
        <w:t>责任单位：市委编办，市司法局，市有关部门、单位，各镇（街、区）</w:t>
      </w:r>
      <w:r>
        <w:rPr>
          <w:rFonts w:ascii="Times New Roman" w:hAnsi="仿宋_GB2312"/>
          <w:sz w:val="31"/>
          <w:szCs w:val="31"/>
        </w:rPr>
        <w:t>〕</w:t>
      </w:r>
    </w:p>
    <w:p w14:paraId="23DFB9B8">
      <w:pPr>
        <w:spacing w:line="570" w:lineRule="exact"/>
        <w:ind w:firstLine="640"/>
        <w:rPr>
          <w:rFonts w:ascii="Times New Roman" w:hAnsi="Times New Roman" w:eastAsia="楷体_GB2312"/>
          <w:szCs w:val="32"/>
        </w:rPr>
      </w:pPr>
      <w:r>
        <w:rPr>
          <w:rFonts w:ascii="Times New Roman" w:hAnsi="Times New Roman" w:eastAsia="楷体_GB2312"/>
          <w:szCs w:val="32"/>
        </w:rPr>
        <w:t>2.促进全国统一大市场建设。</w:t>
      </w:r>
      <w:r>
        <w:rPr>
          <w:rFonts w:ascii="Times New Roman" w:hAnsi="Times New Roman"/>
          <w:szCs w:val="32"/>
          <w:shd w:val="clear" w:color="auto" w:fill="FFFFFF"/>
        </w:rPr>
        <w:t>严格落实市场准入</w:t>
      </w:r>
      <w:r>
        <w:rPr>
          <w:rFonts w:hint="eastAsia" w:ascii="仿宋_GB2312" w:hAnsi="仿宋_GB2312" w:eastAsia="仿宋_GB2312" w:cs="仿宋_GB2312"/>
          <w:szCs w:val="32"/>
          <w:shd w:val="clear" w:color="auto" w:fill="FFFFFF"/>
        </w:rPr>
        <w:t>“</w:t>
      </w:r>
      <w:r>
        <w:rPr>
          <w:rFonts w:ascii="Times New Roman" w:hAnsi="Times New Roman"/>
          <w:szCs w:val="32"/>
          <w:shd w:val="clear" w:color="auto" w:fill="FFFFFF"/>
        </w:rPr>
        <w:t>全国一张清单</w:t>
      </w:r>
      <w:r>
        <w:rPr>
          <w:rFonts w:hint="eastAsia" w:ascii="仿宋_GB2312" w:hAnsi="仿宋_GB2312" w:eastAsia="仿宋_GB2312" w:cs="仿宋_GB2312"/>
          <w:szCs w:val="32"/>
          <w:shd w:val="clear" w:color="auto" w:fill="FFFFFF"/>
        </w:rPr>
        <w:t>”</w:t>
      </w:r>
      <w:r>
        <w:rPr>
          <w:rFonts w:ascii="Times New Roman" w:hAnsi="Times New Roman"/>
          <w:szCs w:val="32"/>
          <w:shd w:val="clear" w:color="auto" w:fill="FFFFFF"/>
        </w:rPr>
        <w:t>，深化市场准入壁垒排查整治，强化公平竞争和合法性审查联动，推动</w:t>
      </w:r>
      <w:r>
        <w:rPr>
          <w:rFonts w:hint="eastAsia" w:ascii="仿宋_GB2312" w:hAnsi="仿宋_GB2312" w:eastAsia="仿宋_GB2312" w:cs="仿宋_GB2312"/>
          <w:szCs w:val="32"/>
          <w:shd w:val="clear" w:color="auto" w:fill="FFFFFF"/>
        </w:rPr>
        <w:t>“</w:t>
      </w:r>
      <w:r>
        <w:rPr>
          <w:rFonts w:ascii="Times New Roman" w:hAnsi="Times New Roman"/>
          <w:szCs w:val="32"/>
          <w:shd w:val="clear" w:color="auto" w:fill="FFFFFF"/>
        </w:rPr>
        <w:t>非禁即入</w:t>
      </w:r>
      <w:r>
        <w:rPr>
          <w:rFonts w:hint="eastAsia" w:ascii="仿宋_GB2312" w:hAnsi="仿宋_GB2312" w:eastAsia="仿宋_GB2312" w:cs="仿宋_GB2312"/>
          <w:szCs w:val="32"/>
          <w:shd w:val="clear" w:color="auto" w:fill="FFFFFF"/>
        </w:rPr>
        <w:t>”</w:t>
      </w:r>
      <w:r>
        <w:rPr>
          <w:rFonts w:ascii="Times New Roman" w:hAnsi="Times New Roman"/>
          <w:szCs w:val="32"/>
          <w:shd w:val="clear" w:color="auto" w:fill="FFFFFF"/>
        </w:rPr>
        <w:t>普遍落实。深化招投标领域突出问题系统整治，组织开展反不正当竞争执法专项行动，统筹做好涉企规范性文件和政策文件清理。</w:t>
      </w:r>
      <w:r>
        <w:rPr>
          <w:rFonts w:ascii="Times New Roman" w:hAnsi="楷体_GB2312" w:eastAsia="楷体_GB2312"/>
          <w:sz w:val="31"/>
          <w:szCs w:val="31"/>
        </w:rPr>
        <w:t>〔</w:t>
      </w:r>
      <w:r>
        <w:rPr>
          <w:rFonts w:ascii="Times New Roman" w:hAnsi="Times New Roman" w:eastAsia="楷体_GB2312"/>
          <w:szCs w:val="32"/>
        </w:rPr>
        <w:t>责任单位：市发展和改革局、市司法局、市商务局、市市场监管局，市有关部门、单位，各镇（街、区）</w:t>
      </w:r>
      <w:r>
        <w:rPr>
          <w:rFonts w:ascii="Times New Roman" w:hAnsi="仿宋_GB2312"/>
          <w:sz w:val="31"/>
          <w:szCs w:val="31"/>
        </w:rPr>
        <w:t>〕</w:t>
      </w:r>
    </w:p>
    <w:p w14:paraId="43778921">
      <w:pPr>
        <w:spacing w:line="570" w:lineRule="exact"/>
        <w:ind w:firstLine="640"/>
        <w:rPr>
          <w:rFonts w:ascii="Times New Roman" w:hAnsi="Times New Roman" w:eastAsia="楷体_GB2312"/>
          <w:szCs w:val="32"/>
        </w:rPr>
      </w:pPr>
      <w:r>
        <w:rPr>
          <w:rFonts w:ascii="Times New Roman" w:hAnsi="Times New Roman" w:eastAsia="楷体_GB2312"/>
          <w:szCs w:val="32"/>
        </w:rPr>
        <w:t>3.提升政务服务效能。</w:t>
      </w:r>
      <w:r>
        <w:rPr>
          <w:rFonts w:ascii="Times New Roman" w:hAnsi="Times New Roman"/>
          <w:szCs w:val="32"/>
          <w:shd w:val="clear" w:color="auto" w:fill="FFFFFF"/>
        </w:rPr>
        <w:t>严格落实行政许可事项清单管理，不断加强事前规范、事中管控、事后监管，健全审管协同机制，持续降低制度性交易成本。推动国家、省、威海市各批次</w:t>
      </w:r>
      <w:r>
        <w:rPr>
          <w:rFonts w:hint="eastAsia" w:ascii="仿宋_GB2312" w:hAnsi="仿宋_GB2312" w:eastAsia="仿宋_GB2312" w:cs="仿宋_GB2312"/>
          <w:szCs w:val="32"/>
          <w:shd w:val="clear" w:color="auto" w:fill="FFFFFF"/>
        </w:rPr>
        <w:t>“</w:t>
      </w:r>
      <w:r>
        <w:rPr>
          <w:rFonts w:ascii="Times New Roman" w:hAnsi="Times New Roman"/>
          <w:szCs w:val="32"/>
          <w:shd w:val="clear" w:color="auto" w:fill="FFFFFF"/>
        </w:rPr>
        <w:t>一件事</w:t>
      </w:r>
      <w:r>
        <w:rPr>
          <w:rFonts w:hint="eastAsia" w:ascii="仿宋_GB2312" w:hAnsi="仿宋_GB2312" w:eastAsia="仿宋_GB2312" w:cs="仿宋_GB2312"/>
          <w:szCs w:val="32"/>
          <w:shd w:val="clear" w:color="auto" w:fill="FFFFFF"/>
        </w:rPr>
        <w:t>”</w:t>
      </w:r>
      <w:r>
        <w:rPr>
          <w:rFonts w:ascii="Times New Roman" w:hAnsi="Times New Roman"/>
          <w:szCs w:val="32"/>
          <w:shd w:val="clear" w:color="auto" w:fill="FFFFFF"/>
        </w:rPr>
        <w:t>重点事项落实落地，打造乳山特色</w:t>
      </w:r>
      <w:r>
        <w:rPr>
          <w:rFonts w:hint="eastAsia" w:ascii="仿宋_GB2312" w:hAnsi="仿宋_GB2312" w:eastAsia="仿宋_GB2312" w:cs="仿宋_GB2312"/>
          <w:szCs w:val="32"/>
          <w:shd w:val="clear" w:color="auto" w:fill="FFFFFF"/>
        </w:rPr>
        <w:t>“</w:t>
      </w:r>
      <w:r>
        <w:rPr>
          <w:rFonts w:ascii="Times New Roman" w:hAnsi="Times New Roman"/>
          <w:szCs w:val="32"/>
          <w:shd w:val="clear" w:color="auto" w:fill="FFFFFF"/>
        </w:rPr>
        <w:t>一件事</w:t>
      </w:r>
      <w:r>
        <w:rPr>
          <w:rFonts w:hint="eastAsia" w:ascii="仿宋_GB2312" w:hAnsi="仿宋_GB2312" w:eastAsia="仿宋_GB2312" w:cs="仿宋_GB2312"/>
          <w:szCs w:val="32"/>
          <w:shd w:val="clear" w:color="auto" w:fill="FFFFFF"/>
        </w:rPr>
        <w:t>”</w:t>
      </w:r>
      <w:r>
        <w:rPr>
          <w:rFonts w:ascii="Times New Roman" w:hAnsi="Times New Roman"/>
          <w:szCs w:val="32"/>
          <w:shd w:val="clear" w:color="auto" w:fill="FFFFFF"/>
        </w:rPr>
        <w:t>应用场景，实现</w:t>
      </w:r>
      <w:r>
        <w:rPr>
          <w:rFonts w:hint="eastAsia" w:ascii="仿宋_GB2312" w:hAnsi="仿宋_GB2312" w:eastAsia="仿宋_GB2312" w:cs="仿宋_GB2312"/>
          <w:szCs w:val="32"/>
          <w:shd w:val="clear" w:color="auto" w:fill="FFFFFF"/>
        </w:rPr>
        <w:t>“</w:t>
      </w:r>
      <w:r>
        <w:rPr>
          <w:rFonts w:ascii="Times New Roman" w:hAnsi="Times New Roman"/>
          <w:szCs w:val="32"/>
          <w:shd w:val="clear" w:color="auto" w:fill="FFFFFF"/>
        </w:rPr>
        <w:t>高效办成一件事</w:t>
      </w:r>
      <w:r>
        <w:rPr>
          <w:rFonts w:hint="eastAsia" w:ascii="仿宋_GB2312" w:hAnsi="仿宋_GB2312" w:eastAsia="仿宋_GB2312" w:cs="仿宋_GB2312"/>
          <w:szCs w:val="32"/>
          <w:shd w:val="clear" w:color="auto" w:fill="FFFFFF"/>
        </w:rPr>
        <w:t>”</w:t>
      </w:r>
      <w:r>
        <w:rPr>
          <w:rFonts w:ascii="Times New Roman" w:hAnsi="Times New Roman"/>
          <w:szCs w:val="32"/>
          <w:shd w:val="clear" w:color="auto" w:fill="FFFFFF"/>
        </w:rPr>
        <w:t>拓面提质。</w:t>
      </w:r>
      <w:r>
        <w:rPr>
          <w:rFonts w:ascii="Times New Roman" w:hAnsi="楷体_GB2312" w:eastAsia="楷体_GB2312"/>
          <w:sz w:val="31"/>
          <w:szCs w:val="31"/>
        </w:rPr>
        <w:t>〔</w:t>
      </w:r>
      <w:r>
        <w:rPr>
          <w:rFonts w:ascii="Times New Roman" w:hAnsi="Times New Roman" w:eastAsia="楷体_GB2312"/>
          <w:szCs w:val="32"/>
        </w:rPr>
        <w:t>责任单位：市政府办公室、市行政审批服务局，市有关部门、单位，各镇（街、区）</w:t>
      </w:r>
      <w:r>
        <w:rPr>
          <w:rFonts w:ascii="Times New Roman" w:hAnsi="仿宋_GB2312"/>
          <w:sz w:val="31"/>
          <w:szCs w:val="31"/>
        </w:rPr>
        <w:t>〕</w:t>
      </w:r>
    </w:p>
    <w:p w14:paraId="1D9DEB44">
      <w:pPr>
        <w:spacing w:line="570" w:lineRule="exact"/>
        <w:ind w:firstLine="640"/>
        <w:rPr>
          <w:rFonts w:ascii="Times New Roman" w:hAnsi="Times New Roman" w:eastAsia="黑体"/>
          <w:szCs w:val="32"/>
        </w:rPr>
      </w:pPr>
      <w:r>
        <w:rPr>
          <w:rFonts w:ascii="Times New Roman" w:hAnsi="Times New Roman" w:eastAsia="楷体_GB2312"/>
          <w:szCs w:val="32"/>
        </w:rPr>
        <w:t>4.持续优化营商环境。</w:t>
      </w:r>
      <w:r>
        <w:rPr>
          <w:rFonts w:ascii="Times New Roman" w:hAnsi="Times New Roman"/>
          <w:szCs w:val="32"/>
          <w:shd w:val="clear" w:color="auto" w:fill="FFFFFF"/>
        </w:rPr>
        <w:t>深入开展营商环境创新提升行动，制定营商环境年度实施方案，塑强</w:t>
      </w:r>
      <w:r>
        <w:rPr>
          <w:rFonts w:hint="eastAsia" w:ascii="仿宋_GB2312" w:hAnsi="仿宋_GB2312" w:eastAsia="仿宋_GB2312" w:cs="仿宋_GB2312"/>
          <w:szCs w:val="32"/>
          <w:shd w:val="clear" w:color="auto" w:fill="FFFFFF"/>
        </w:rPr>
        <w:t>“</w:t>
      </w:r>
      <w:r>
        <w:rPr>
          <w:rFonts w:ascii="Times New Roman" w:hAnsi="Times New Roman"/>
          <w:szCs w:val="32"/>
          <w:shd w:val="clear" w:color="auto" w:fill="FFFFFF"/>
        </w:rPr>
        <w:t>民事无忧·企事有解·政事高效</w:t>
      </w:r>
      <w:r>
        <w:rPr>
          <w:rFonts w:hint="eastAsia" w:ascii="仿宋_GB2312" w:hAnsi="仿宋_GB2312" w:eastAsia="仿宋_GB2312" w:cs="仿宋_GB2312"/>
          <w:szCs w:val="32"/>
          <w:shd w:val="clear" w:color="auto" w:fill="FFFFFF"/>
        </w:rPr>
        <w:t>”</w:t>
      </w:r>
      <w:r>
        <w:rPr>
          <w:rFonts w:ascii="Times New Roman" w:hAnsi="Times New Roman"/>
          <w:szCs w:val="32"/>
          <w:shd w:val="clear" w:color="auto" w:fill="FFFFFF"/>
        </w:rPr>
        <w:t>服务品牌。强化市场主体满意度及重点任务落实。优化涉企综合性法治服务供给，深化重点产业链法治赋能行动，探索构建政府指导与企业自建的合规经营体系。</w:t>
      </w:r>
      <w:r>
        <w:rPr>
          <w:rFonts w:ascii="Times New Roman" w:hAnsi="楷体_GB2312" w:eastAsia="楷体_GB2312"/>
          <w:sz w:val="31"/>
          <w:szCs w:val="31"/>
        </w:rPr>
        <w:t>〔</w:t>
      </w:r>
      <w:r>
        <w:rPr>
          <w:rFonts w:ascii="Times New Roman" w:hAnsi="Times New Roman" w:eastAsia="楷体_GB2312"/>
          <w:szCs w:val="32"/>
        </w:rPr>
        <w:t>责任单位：市政府办公室、市发展和改革局、市司法局，市有关部门、单位，各镇（街、区）</w:t>
      </w:r>
      <w:r>
        <w:rPr>
          <w:rFonts w:ascii="Times New Roman" w:hAnsi="仿宋_GB2312"/>
          <w:sz w:val="31"/>
          <w:szCs w:val="31"/>
        </w:rPr>
        <w:t>〕</w:t>
      </w:r>
    </w:p>
    <w:p w14:paraId="5E2D5846">
      <w:pPr>
        <w:spacing w:line="570" w:lineRule="exact"/>
        <w:ind w:firstLine="640"/>
        <w:rPr>
          <w:rFonts w:ascii="Times New Roman" w:hAnsi="Times New Roman" w:eastAsia="黑体"/>
          <w:szCs w:val="32"/>
        </w:rPr>
      </w:pPr>
      <w:r>
        <w:rPr>
          <w:rFonts w:ascii="Times New Roman" w:hAnsi="Times New Roman" w:eastAsia="黑体"/>
          <w:szCs w:val="32"/>
        </w:rPr>
        <w:t>二、完善依法行政制度体系</w:t>
      </w:r>
    </w:p>
    <w:p w14:paraId="440227CC">
      <w:pPr>
        <w:pStyle w:val="6"/>
        <w:spacing w:line="570" w:lineRule="exact"/>
        <w:ind w:firstLine="640"/>
        <w:rPr>
          <w:rFonts w:ascii="Times New Roman" w:hAnsi="Times New Roman" w:eastAsia="楷体_GB2312"/>
          <w:sz w:val="32"/>
          <w:szCs w:val="32"/>
        </w:rPr>
      </w:pPr>
      <w:r>
        <w:rPr>
          <w:rFonts w:ascii="Times New Roman" w:hAnsi="Times New Roman" w:eastAsia="楷体_GB2312"/>
          <w:sz w:val="32"/>
          <w:szCs w:val="32"/>
        </w:rPr>
        <w:t>5.强化行政规范性文件管理。</w:t>
      </w:r>
      <w:r>
        <w:rPr>
          <w:rFonts w:ascii="Times New Roman" w:hAnsi="Times New Roman"/>
          <w:snapToGrid w:val="0"/>
          <w:kern w:val="0"/>
          <w:sz w:val="32"/>
          <w:szCs w:val="32"/>
        </w:rPr>
        <w:t>认真落实行政规范性文件管理制度，严格统一登记、统一编号、统一印发。</w:t>
      </w:r>
      <w:r>
        <w:rPr>
          <w:rFonts w:ascii="Times New Roman" w:hAnsi="Times New Roman"/>
          <w:bCs/>
          <w:sz w:val="32"/>
        </w:rPr>
        <w:t>配合威海市</w:t>
      </w:r>
      <w:r>
        <w:rPr>
          <w:rFonts w:ascii="Times New Roman" w:hAnsi="Times New Roman"/>
          <w:snapToGrid w:val="0"/>
          <w:kern w:val="0"/>
          <w:sz w:val="32"/>
          <w:szCs w:val="32"/>
        </w:rPr>
        <w:t>开展部门行政规范性文件质效提升专项行动，</w:t>
      </w:r>
      <w:r>
        <w:rPr>
          <w:rFonts w:ascii="Times New Roman" w:hAnsi="Times New Roman"/>
          <w:sz w:val="32"/>
        </w:rPr>
        <w:t>落实</w:t>
      </w:r>
      <w:r>
        <w:rPr>
          <w:rFonts w:ascii="Times New Roman" w:hAnsi="Times New Roman"/>
          <w:snapToGrid w:val="0"/>
          <w:kern w:val="0"/>
          <w:sz w:val="32"/>
          <w:szCs w:val="32"/>
        </w:rPr>
        <w:t>行政规范性文件备案审查工作指引</w:t>
      </w:r>
      <w:r>
        <w:rPr>
          <w:rFonts w:ascii="Times New Roman" w:hAnsi="Times New Roman"/>
          <w:sz w:val="32"/>
        </w:rPr>
        <w:t>，提升行政规范性文件管理水平。</w:t>
      </w:r>
      <w:r>
        <w:rPr>
          <w:rFonts w:ascii="Times New Roman" w:hAnsi="Times New Roman"/>
          <w:snapToGrid w:val="0"/>
          <w:kern w:val="0"/>
          <w:sz w:val="32"/>
          <w:szCs w:val="32"/>
        </w:rPr>
        <w:t>扎实做好业务培训和文件评估清理等工作。</w:t>
      </w:r>
      <w:r>
        <w:rPr>
          <w:rFonts w:ascii="Times New Roman" w:hAnsi="楷体_GB2312" w:eastAsia="楷体_GB2312"/>
          <w:sz w:val="31"/>
          <w:szCs w:val="31"/>
        </w:rPr>
        <w:t>〔</w:t>
      </w:r>
      <w:r>
        <w:rPr>
          <w:rFonts w:ascii="Times New Roman" w:hAnsi="Times New Roman" w:eastAsia="楷体_GB2312"/>
          <w:sz w:val="32"/>
          <w:szCs w:val="32"/>
        </w:rPr>
        <w:t>责任单位：市司法局，市有关部门、单位，各镇（街、区）</w:t>
      </w:r>
      <w:r>
        <w:rPr>
          <w:rFonts w:ascii="Times New Roman" w:hAnsi="仿宋_GB2312"/>
          <w:sz w:val="31"/>
          <w:szCs w:val="31"/>
        </w:rPr>
        <w:t>〕</w:t>
      </w:r>
    </w:p>
    <w:p w14:paraId="1D0AF8BC">
      <w:pPr>
        <w:pStyle w:val="12"/>
        <w:spacing w:after="0" w:line="570" w:lineRule="exact"/>
        <w:ind w:left="0" w:leftChars="0" w:firstLine="640"/>
        <w:rPr>
          <w:rFonts w:ascii="Times New Roman" w:hAnsi="Times New Roman" w:eastAsia="楷体_GB2312"/>
          <w:szCs w:val="32"/>
        </w:rPr>
      </w:pPr>
      <w:r>
        <w:rPr>
          <w:rFonts w:ascii="Times New Roman" w:hAnsi="Times New Roman" w:eastAsia="楷体_GB2312"/>
          <w:szCs w:val="32"/>
        </w:rPr>
        <w:t>6.提升</w:t>
      </w:r>
      <w:r>
        <w:rPr>
          <w:rFonts w:ascii="Times New Roman" w:hAnsi="Times New Roman" w:eastAsia="楷体_GB2312"/>
          <w:szCs w:val="32"/>
          <w:lang w:val="en"/>
        </w:rPr>
        <w:t>重大行政决策规范化水平。</w:t>
      </w:r>
      <w:r>
        <w:rPr>
          <w:rFonts w:ascii="Times New Roman" w:hAnsi="Times New Roman"/>
          <w:snapToGrid w:val="0"/>
          <w:kern w:val="0"/>
          <w:szCs w:val="32"/>
        </w:rPr>
        <w:t>编制实施市政府年度重大行政决策事项目录，</w:t>
      </w:r>
      <w:r>
        <w:rPr>
          <w:rFonts w:ascii="Times New Roman" w:hAnsi="Times New Roman"/>
        </w:rPr>
        <w:t>配合威海市</w:t>
      </w:r>
      <w:r>
        <w:rPr>
          <w:rFonts w:ascii="Times New Roman" w:hAnsi="Times New Roman"/>
          <w:snapToGrid w:val="0"/>
          <w:kern w:val="0"/>
          <w:szCs w:val="32"/>
        </w:rPr>
        <w:t>开展重大行政决策依法规范专项行动，</w:t>
      </w:r>
      <w:r>
        <w:rPr>
          <w:rFonts w:ascii="Times New Roman" w:hAnsi="Times New Roman"/>
        </w:rPr>
        <w:t>贯彻落实威海市</w:t>
      </w:r>
      <w:r>
        <w:rPr>
          <w:rFonts w:ascii="Times New Roman" w:hAnsi="Times New Roman"/>
          <w:snapToGrid w:val="0"/>
          <w:kern w:val="0"/>
          <w:szCs w:val="32"/>
        </w:rPr>
        <w:t>重大行政决策合法性审查工作指引。完善市政府</w:t>
      </w:r>
      <w:r>
        <w:rPr>
          <w:rFonts w:hint="eastAsia" w:ascii="仿宋_GB2312" w:hAnsi="仿宋_GB2312" w:eastAsia="仿宋_GB2312" w:cs="仿宋_GB2312"/>
          <w:snapToGrid w:val="0"/>
          <w:kern w:val="0"/>
          <w:szCs w:val="32"/>
        </w:rPr>
        <w:t>“</w:t>
      </w:r>
      <w:r>
        <w:rPr>
          <w:rFonts w:ascii="Times New Roman" w:hAnsi="Times New Roman"/>
          <w:snapToGrid w:val="0"/>
          <w:kern w:val="0"/>
          <w:szCs w:val="32"/>
        </w:rPr>
        <w:t>三重一大</w:t>
      </w:r>
      <w:r>
        <w:rPr>
          <w:rFonts w:hint="eastAsia" w:ascii="仿宋_GB2312" w:hAnsi="仿宋_GB2312" w:eastAsia="仿宋_GB2312" w:cs="仿宋_GB2312"/>
          <w:snapToGrid w:val="0"/>
          <w:kern w:val="0"/>
          <w:szCs w:val="32"/>
        </w:rPr>
        <w:t>”</w:t>
      </w:r>
      <w:r>
        <w:rPr>
          <w:rFonts w:ascii="Times New Roman" w:hAnsi="Times New Roman"/>
          <w:snapToGrid w:val="0"/>
          <w:kern w:val="0"/>
          <w:szCs w:val="32"/>
        </w:rPr>
        <w:t>决策事项清单，建立常态化评估调整机制，提高清单时效性和适用性。</w:t>
      </w:r>
      <w:r>
        <w:rPr>
          <w:rFonts w:ascii="Times New Roman" w:hAnsi="楷体_GB2312" w:eastAsia="楷体_GB2312"/>
          <w:sz w:val="31"/>
          <w:szCs w:val="31"/>
        </w:rPr>
        <w:t>〔</w:t>
      </w:r>
      <w:r>
        <w:rPr>
          <w:rFonts w:ascii="Times New Roman" w:hAnsi="Times New Roman" w:eastAsia="楷体_GB2312"/>
          <w:szCs w:val="32"/>
        </w:rPr>
        <w:t>责任单位：市司法局、市政府办公室，市有关部门、单位，各镇（街、区）</w:t>
      </w:r>
      <w:r>
        <w:rPr>
          <w:rFonts w:ascii="Times New Roman" w:hAnsi="仿宋_GB2312"/>
          <w:sz w:val="31"/>
          <w:szCs w:val="31"/>
        </w:rPr>
        <w:t>〕</w:t>
      </w:r>
    </w:p>
    <w:p w14:paraId="149B3BBA">
      <w:pPr>
        <w:spacing w:line="570" w:lineRule="exact"/>
        <w:ind w:firstLine="640"/>
        <w:rPr>
          <w:rFonts w:ascii="Times New Roman" w:hAnsi="Times New Roman" w:eastAsia="黑体"/>
          <w:szCs w:val="32"/>
        </w:rPr>
      </w:pPr>
      <w:r>
        <w:rPr>
          <w:rFonts w:ascii="Times New Roman" w:hAnsi="Times New Roman" w:eastAsia="黑体"/>
          <w:szCs w:val="32"/>
        </w:rPr>
        <w:t>三、全面推进严格规范公正文明执法</w:t>
      </w:r>
    </w:p>
    <w:p w14:paraId="1551C99D">
      <w:pPr>
        <w:shd w:val="clear" w:color="auto" w:fill="FFFFFF"/>
        <w:spacing w:line="570" w:lineRule="exact"/>
        <w:ind w:firstLine="640"/>
        <w:rPr>
          <w:rFonts w:ascii="Times New Roman" w:hAnsi="Times New Roman" w:eastAsia="楷体_GB2312"/>
          <w:szCs w:val="32"/>
        </w:rPr>
      </w:pPr>
      <w:r>
        <w:rPr>
          <w:rFonts w:ascii="Times New Roman" w:hAnsi="Times New Roman"/>
          <w:szCs w:val="32"/>
        </w:rPr>
        <w:t>7.</w:t>
      </w:r>
      <w:r>
        <w:rPr>
          <w:rFonts w:ascii="Times New Roman" w:hAnsi="Times New Roman" w:eastAsia="楷体_GB2312"/>
          <w:szCs w:val="32"/>
        </w:rPr>
        <w:t>完善行政执法体制机制。</w:t>
      </w:r>
      <w:r>
        <w:rPr>
          <w:rFonts w:ascii="Times New Roman" w:hAnsi="Times New Roman"/>
          <w:snapToGrid w:val="0"/>
          <w:kern w:val="0"/>
          <w:szCs w:val="32"/>
        </w:rPr>
        <w:t>持续深化行政执法体制机制改革，加强行业监管和综合行政执法有效衔接、一体服务。落实山东省行政执法责任制规定。建立健全行政执法</w:t>
      </w:r>
      <w:r>
        <w:rPr>
          <w:rFonts w:hint="eastAsia" w:ascii="仿宋_GB2312" w:hAnsi="仿宋_GB2312" w:eastAsia="仿宋_GB2312" w:cs="仿宋_GB2312"/>
          <w:snapToGrid w:val="0"/>
          <w:kern w:val="0"/>
          <w:szCs w:val="32"/>
        </w:rPr>
        <w:t>“</w:t>
      </w:r>
      <w:r>
        <w:rPr>
          <w:rFonts w:ascii="Times New Roman" w:hAnsi="Times New Roman"/>
          <w:snapToGrid w:val="0"/>
          <w:kern w:val="0"/>
          <w:szCs w:val="32"/>
        </w:rPr>
        <w:t>三统一、四规范</w:t>
      </w:r>
      <w:r>
        <w:rPr>
          <w:rFonts w:hint="eastAsia" w:ascii="仿宋_GB2312" w:hAnsi="仿宋_GB2312" w:eastAsia="仿宋_GB2312" w:cs="仿宋_GB2312"/>
          <w:snapToGrid w:val="0"/>
          <w:kern w:val="0"/>
          <w:szCs w:val="32"/>
        </w:rPr>
        <w:t>”</w:t>
      </w:r>
      <w:r>
        <w:rPr>
          <w:rFonts w:ascii="Times New Roman" w:hAnsi="Times New Roman"/>
          <w:snapToGrid w:val="0"/>
          <w:kern w:val="0"/>
          <w:szCs w:val="32"/>
        </w:rPr>
        <w:t>工作体系，通过统一执法平台、机制、行动，规范检查事项、频次、流程、文书，构建权责清晰、协同高效、行为规范的行政执法新格局。</w:t>
      </w:r>
      <w:r>
        <w:rPr>
          <w:rFonts w:ascii="Times New Roman" w:hAnsi="楷体_GB2312" w:eastAsia="楷体_GB2312"/>
          <w:sz w:val="31"/>
          <w:szCs w:val="31"/>
        </w:rPr>
        <w:t>〔</w:t>
      </w:r>
      <w:r>
        <w:rPr>
          <w:rFonts w:ascii="Times New Roman" w:hAnsi="Times New Roman" w:eastAsia="楷体_GB2312"/>
          <w:szCs w:val="32"/>
        </w:rPr>
        <w:t>责任单位：市委编办，市司法局，市有关部门、单位，各镇（街、区）</w:t>
      </w:r>
      <w:r>
        <w:rPr>
          <w:rFonts w:ascii="Times New Roman" w:hAnsi="仿宋_GB2312"/>
          <w:sz w:val="31"/>
          <w:szCs w:val="31"/>
        </w:rPr>
        <w:t>〕</w:t>
      </w:r>
    </w:p>
    <w:p w14:paraId="15BB865C">
      <w:pPr>
        <w:spacing w:line="570" w:lineRule="exact"/>
        <w:ind w:firstLine="640"/>
        <w:rPr>
          <w:rFonts w:ascii="Times New Roman" w:hAnsi="Times New Roman"/>
          <w:snapToGrid w:val="0"/>
          <w:kern w:val="0"/>
          <w:szCs w:val="32"/>
        </w:rPr>
      </w:pPr>
      <w:r>
        <w:rPr>
          <w:rFonts w:ascii="Times New Roman" w:hAnsi="Times New Roman" w:eastAsia="楷体_GB2312"/>
          <w:szCs w:val="32"/>
        </w:rPr>
        <w:t>8.</w:t>
      </w:r>
      <w:r>
        <w:rPr>
          <w:rFonts w:ascii="Times New Roman" w:hAnsi="Times New Roman" w:eastAsia="楷体_GB2312"/>
          <w:szCs w:val="32"/>
          <w:lang w:val="en"/>
        </w:rPr>
        <w:t>规范涉企行政执法行为。</w:t>
      </w:r>
      <w:r>
        <w:rPr>
          <w:rFonts w:ascii="Times New Roman" w:hAnsi="Times New Roman"/>
          <w:snapToGrid w:val="0"/>
          <w:kern w:val="0"/>
          <w:szCs w:val="32"/>
        </w:rPr>
        <w:t>开展涉企行政执法规范化建设年行动，健全规范涉企执法长效机制，切实纠治违规异地执法、趋利性执法等问题。深化</w:t>
      </w:r>
      <w:r>
        <w:rPr>
          <w:rFonts w:hint="eastAsia" w:ascii="仿宋_GB2312" w:hAnsi="仿宋_GB2312" w:eastAsia="仿宋_GB2312" w:cs="仿宋_GB2312"/>
          <w:snapToGrid w:val="0"/>
          <w:kern w:val="0"/>
          <w:szCs w:val="32"/>
        </w:rPr>
        <w:t>“</w:t>
      </w:r>
      <w:r>
        <w:rPr>
          <w:rFonts w:ascii="Times New Roman" w:hAnsi="Times New Roman"/>
          <w:snapToGrid w:val="0"/>
          <w:kern w:val="0"/>
          <w:szCs w:val="32"/>
        </w:rPr>
        <w:t>综合查一次</w:t>
      </w:r>
      <w:r>
        <w:rPr>
          <w:rFonts w:hint="eastAsia" w:ascii="仿宋_GB2312" w:hAnsi="仿宋_GB2312" w:eastAsia="仿宋_GB2312" w:cs="仿宋_GB2312"/>
          <w:snapToGrid w:val="0"/>
          <w:kern w:val="0"/>
          <w:szCs w:val="32"/>
        </w:rPr>
        <w:t>”</w:t>
      </w:r>
      <w:r>
        <w:rPr>
          <w:rFonts w:ascii="Times New Roman" w:hAnsi="Times New Roman"/>
          <w:snapToGrid w:val="0"/>
          <w:kern w:val="0"/>
          <w:szCs w:val="32"/>
        </w:rPr>
        <w:t>改革，持续实施分级分类监管，制定部门联合</w:t>
      </w:r>
      <w:r>
        <w:rPr>
          <w:rFonts w:hint="eastAsia" w:ascii="仿宋_GB2312" w:hAnsi="仿宋_GB2312" w:eastAsia="仿宋_GB2312" w:cs="仿宋_GB2312"/>
          <w:snapToGrid w:val="0"/>
          <w:kern w:val="0"/>
          <w:szCs w:val="32"/>
        </w:rPr>
        <w:t>“</w:t>
      </w:r>
      <w:r>
        <w:rPr>
          <w:rFonts w:ascii="Times New Roman" w:hAnsi="Times New Roman"/>
          <w:snapToGrid w:val="0"/>
          <w:kern w:val="0"/>
          <w:szCs w:val="32"/>
        </w:rPr>
        <w:t>双随机、一公开</w:t>
      </w:r>
      <w:r>
        <w:rPr>
          <w:rFonts w:hint="eastAsia" w:ascii="仿宋_GB2312" w:hAnsi="仿宋_GB2312" w:eastAsia="仿宋_GB2312" w:cs="仿宋_GB2312"/>
          <w:snapToGrid w:val="0"/>
          <w:kern w:val="0"/>
          <w:szCs w:val="32"/>
        </w:rPr>
        <w:t>”</w:t>
      </w:r>
      <w:r>
        <w:rPr>
          <w:rFonts w:ascii="Times New Roman" w:hAnsi="Times New Roman"/>
          <w:snapToGrid w:val="0"/>
          <w:kern w:val="0"/>
          <w:szCs w:val="32"/>
        </w:rPr>
        <w:t>暨跨部门综合监管抽查检查计划，推进</w:t>
      </w:r>
      <w:r>
        <w:rPr>
          <w:rFonts w:hint="eastAsia" w:ascii="仿宋_GB2312" w:hAnsi="仿宋_GB2312" w:eastAsia="仿宋_GB2312" w:cs="仿宋_GB2312"/>
          <w:snapToGrid w:val="0"/>
          <w:kern w:val="0"/>
          <w:szCs w:val="32"/>
        </w:rPr>
        <w:t>“</w:t>
      </w:r>
      <w:r>
        <w:rPr>
          <w:rFonts w:ascii="Times New Roman" w:hAnsi="Times New Roman"/>
          <w:snapToGrid w:val="0"/>
          <w:kern w:val="0"/>
          <w:szCs w:val="32"/>
        </w:rPr>
        <w:t>统一跨部门联合检查标准</w:t>
      </w:r>
      <w:r>
        <w:rPr>
          <w:rFonts w:hint="eastAsia" w:ascii="仿宋_GB2312" w:hAnsi="仿宋_GB2312" w:eastAsia="仿宋_GB2312" w:cs="仿宋_GB2312"/>
          <w:snapToGrid w:val="0"/>
          <w:kern w:val="0"/>
          <w:szCs w:val="32"/>
        </w:rPr>
        <w:t>”</w:t>
      </w:r>
      <w:r>
        <w:rPr>
          <w:rFonts w:ascii="Times New Roman" w:hAnsi="Times New Roman"/>
          <w:snapToGrid w:val="0"/>
          <w:kern w:val="0"/>
          <w:szCs w:val="32"/>
        </w:rPr>
        <w:t>揭榜挂帅项目，在重点领域推行无感监管、非现场监管。</w:t>
      </w:r>
      <w:r>
        <w:rPr>
          <w:rFonts w:ascii="Times New Roman" w:hAnsi="楷体_GB2312" w:eastAsia="楷体_GB2312"/>
          <w:sz w:val="31"/>
          <w:szCs w:val="31"/>
        </w:rPr>
        <w:t>〔</w:t>
      </w:r>
      <w:r>
        <w:rPr>
          <w:rFonts w:ascii="Times New Roman" w:hAnsi="Times New Roman" w:eastAsia="楷体_GB2312"/>
          <w:szCs w:val="32"/>
        </w:rPr>
        <w:t>责任单位：市司法局、市市场监管局，市有关部门、单位，各镇（街、区）</w:t>
      </w:r>
      <w:r>
        <w:rPr>
          <w:rFonts w:ascii="Times New Roman" w:hAnsi="仿宋_GB2312"/>
          <w:sz w:val="31"/>
          <w:szCs w:val="31"/>
        </w:rPr>
        <w:t>〕</w:t>
      </w:r>
    </w:p>
    <w:p w14:paraId="00F96770">
      <w:pPr>
        <w:pStyle w:val="10"/>
        <w:widowControl/>
        <w:spacing w:before="0" w:beforeAutospacing="0" w:after="0" w:afterAutospacing="0" w:line="570" w:lineRule="exact"/>
        <w:ind w:firstLine="640"/>
        <w:jc w:val="both"/>
        <w:rPr>
          <w:rFonts w:ascii="Times New Roman" w:hAnsi="Times New Roman" w:eastAsia="楷体_GB2312"/>
          <w:sz w:val="32"/>
          <w:szCs w:val="32"/>
        </w:rPr>
      </w:pPr>
      <w:r>
        <w:rPr>
          <w:rFonts w:ascii="Times New Roman" w:hAnsi="Times New Roman" w:eastAsia="楷体_GB2312"/>
          <w:sz w:val="32"/>
          <w:szCs w:val="32"/>
        </w:rPr>
        <w:t>9.全面加强行政合规指导。</w:t>
      </w:r>
      <w:r>
        <w:rPr>
          <w:rFonts w:ascii="Times New Roman" w:hAnsi="Times New Roman"/>
          <w:snapToGrid w:val="0"/>
          <w:sz w:val="32"/>
          <w:szCs w:val="32"/>
        </w:rPr>
        <w:t>构建涉企行政指导体系，贯彻落实威海市全面推行行政指导工作的实施意见，</w:t>
      </w:r>
      <w:r>
        <w:rPr>
          <w:rFonts w:ascii="Times New Roman" w:hAnsi="Times New Roman"/>
          <w:sz w:val="32"/>
          <w:szCs w:val="32"/>
        </w:rPr>
        <w:t>推广相关重点产业链行政合规指导事项清单</w:t>
      </w:r>
      <w:r>
        <w:rPr>
          <w:rFonts w:ascii="Times New Roman" w:hAnsi="Times New Roman"/>
          <w:snapToGrid w:val="0"/>
          <w:sz w:val="32"/>
          <w:szCs w:val="32"/>
        </w:rPr>
        <w:t>，建立企业合规风险预警提示服务机制，推动涉企执法从事后处罚向事前指导转变。</w:t>
      </w:r>
      <w:r>
        <w:rPr>
          <w:rFonts w:ascii="Times New Roman" w:hAnsi="Times New Roman" w:eastAsia="楷体_GB2312"/>
          <w:sz w:val="32"/>
          <w:szCs w:val="32"/>
        </w:rPr>
        <w:t>（责任单位：市司法局，市有关部门、单位）</w:t>
      </w:r>
    </w:p>
    <w:p w14:paraId="358F4967">
      <w:pPr>
        <w:spacing w:line="570" w:lineRule="exact"/>
        <w:ind w:firstLine="640"/>
        <w:rPr>
          <w:rFonts w:ascii="Times New Roman" w:hAnsi="Times New Roman" w:eastAsia="黑体"/>
          <w:szCs w:val="32"/>
        </w:rPr>
      </w:pPr>
      <w:r>
        <w:rPr>
          <w:rFonts w:ascii="Times New Roman" w:hAnsi="Times New Roman" w:eastAsia="楷体_GB2312"/>
          <w:szCs w:val="32"/>
        </w:rPr>
        <w:t>10.加大行政执法监督力度。</w:t>
      </w:r>
      <w:r>
        <w:rPr>
          <w:rFonts w:ascii="Times New Roman" w:hAnsi="Times New Roman"/>
          <w:snapToGrid w:val="0"/>
          <w:kern w:val="0"/>
          <w:szCs w:val="32"/>
        </w:rPr>
        <w:t>深化</w:t>
      </w:r>
      <w:r>
        <w:rPr>
          <w:rFonts w:hint="eastAsia" w:ascii="仿宋_GB2312" w:hAnsi="仿宋_GB2312" w:eastAsia="仿宋_GB2312" w:cs="仿宋_GB2312"/>
          <w:snapToGrid w:val="0"/>
          <w:kern w:val="0"/>
          <w:szCs w:val="32"/>
        </w:rPr>
        <w:t>“</w:t>
      </w:r>
      <w:r>
        <w:rPr>
          <w:rFonts w:ascii="Times New Roman" w:hAnsi="Times New Roman"/>
          <w:snapToGrid w:val="0"/>
          <w:kern w:val="0"/>
          <w:szCs w:val="32"/>
        </w:rPr>
        <w:t>鲁执法</w:t>
      </w:r>
      <w:r>
        <w:rPr>
          <w:rFonts w:hint="eastAsia" w:ascii="仿宋_GB2312" w:hAnsi="仿宋_GB2312" w:eastAsia="仿宋_GB2312" w:cs="仿宋_GB2312"/>
          <w:snapToGrid w:val="0"/>
          <w:kern w:val="0"/>
          <w:szCs w:val="32"/>
        </w:rPr>
        <w:t>”</w:t>
      </w:r>
      <w:r>
        <w:rPr>
          <w:rFonts w:ascii="Times New Roman" w:hAnsi="Times New Roman"/>
          <w:snapToGrid w:val="0"/>
          <w:kern w:val="0"/>
          <w:szCs w:val="32"/>
        </w:rPr>
        <w:t>涉企检查平台与执法办案平台应用，加强涉企执法动态监督。健全罚没收入异常增长监测机制，及时纠治以罚代管、裁量失当等问题。深化</w:t>
      </w:r>
      <w:r>
        <w:rPr>
          <w:rFonts w:hint="eastAsia" w:ascii="仿宋_GB2312" w:hAnsi="仿宋_GB2312" w:eastAsia="仿宋_GB2312" w:cs="仿宋_GB2312"/>
          <w:snapToGrid w:val="0"/>
          <w:kern w:val="0"/>
          <w:szCs w:val="32"/>
        </w:rPr>
        <w:t>“</w:t>
      </w:r>
      <w:r>
        <w:rPr>
          <w:rFonts w:ascii="Times New Roman" w:hAnsi="Times New Roman"/>
          <w:snapToGrid w:val="0"/>
          <w:kern w:val="0"/>
          <w:szCs w:val="32"/>
        </w:rPr>
        <w:t>执法监督+行政复议+法治督察</w:t>
      </w:r>
      <w:r>
        <w:rPr>
          <w:rFonts w:hint="eastAsia" w:ascii="仿宋_GB2312" w:hAnsi="仿宋_GB2312" w:eastAsia="仿宋_GB2312" w:cs="仿宋_GB2312"/>
          <w:snapToGrid w:val="0"/>
          <w:kern w:val="0"/>
          <w:szCs w:val="32"/>
        </w:rPr>
        <w:t>”</w:t>
      </w:r>
      <w:r>
        <w:rPr>
          <w:rFonts w:ascii="Times New Roman" w:hAnsi="Times New Roman"/>
          <w:snapToGrid w:val="0"/>
          <w:kern w:val="0"/>
          <w:szCs w:val="32"/>
        </w:rPr>
        <w:t>监督模式，常态化开展执法案卷评查。</w:t>
      </w:r>
      <w:r>
        <w:rPr>
          <w:rFonts w:ascii="Times New Roman" w:hAnsi="楷体_GB2312" w:eastAsia="楷体_GB2312"/>
          <w:sz w:val="31"/>
          <w:szCs w:val="31"/>
        </w:rPr>
        <w:t>〔</w:t>
      </w:r>
      <w:r>
        <w:rPr>
          <w:rFonts w:ascii="Times New Roman" w:hAnsi="Times New Roman" w:eastAsia="楷体_GB2312"/>
          <w:szCs w:val="32"/>
        </w:rPr>
        <w:t>责任单位：市司法局，市有关部门、单位，各镇（街、区）</w:t>
      </w:r>
      <w:r>
        <w:rPr>
          <w:rFonts w:ascii="Times New Roman" w:hAnsi="仿宋_GB2312"/>
          <w:sz w:val="31"/>
          <w:szCs w:val="31"/>
        </w:rPr>
        <w:t>〕</w:t>
      </w:r>
    </w:p>
    <w:p w14:paraId="54FACD04">
      <w:pPr>
        <w:pStyle w:val="11"/>
        <w:adjustRightInd w:val="0"/>
        <w:snapToGrid w:val="0"/>
        <w:spacing w:line="570" w:lineRule="exact"/>
        <w:ind w:left="0" w:leftChars="0" w:right="0" w:rightChars="0" w:firstLine="640" w:firstLineChars="200"/>
        <w:rPr>
          <w:rFonts w:ascii="Times New Roman" w:hAnsi="Times New Roman" w:eastAsia="黑体" w:cs="Times New Roman"/>
        </w:rPr>
      </w:pPr>
      <w:r>
        <w:rPr>
          <w:rFonts w:ascii="Times New Roman" w:hAnsi="Times New Roman" w:eastAsia="黑体" w:cs="Times New Roman"/>
        </w:rPr>
        <w:t>四、加强应急管理体系建设</w:t>
      </w:r>
    </w:p>
    <w:p w14:paraId="7C82A614">
      <w:pPr>
        <w:pStyle w:val="9"/>
        <w:spacing w:line="570" w:lineRule="exact"/>
        <w:ind w:firstLine="640"/>
        <w:jc w:val="both"/>
        <w:rPr>
          <w:rFonts w:hint="default" w:ascii="Times New Roman" w:hAnsi="Times New Roman" w:eastAsia="楷体_GB2312"/>
          <w:snapToGrid w:val="0"/>
          <w:sz w:val="32"/>
          <w:szCs w:val="32"/>
        </w:rPr>
      </w:pPr>
      <w:r>
        <w:rPr>
          <w:rFonts w:hint="default" w:ascii="Times New Roman" w:hAnsi="Times New Roman" w:eastAsia="楷体_GB2312"/>
          <w:kern w:val="2"/>
          <w:sz w:val="32"/>
          <w:szCs w:val="32"/>
        </w:rPr>
        <w:t>11.提升突发事件应急处置能力。</w:t>
      </w:r>
      <w:r>
        <w:rPr>
          <w:rFonts w:hint="default" w:ascii="Times New Roman" w:hAnsi="Times New Roman" w:eastAsia="仿宋_GB2312"/>
          <w:snapToGrid w:val="0"/>
          <w:sz w:val="32"/>
          <w:szCs w:val="32"/>
        </w:rPr>
        <w:t>完善重点领域应急预案，严格依法实施突发事件应急举措。编制实施市级年度应急演练计划，指导镇街和村居常态化开展以先期处置、转移避险、自救互救为重点内容的综合演练。</w:t>
      </w:r>
      <w:r>
        <w:rPr>
          <w:rFonts w:hint="default" w:ascii="Times New Roman" w:hAnsi="楷体_GB2312" w:eastAsia="楷体_GB2312"/>
          <w:sz w:val="31"/>
          <w:szCs w:val="31"/>
        </w:rPr>
        <w:t>〔</w:t>
      </w:r>
      <w:r>
        <w:rPr>
          <w:rFonts w:hint="default" w:ascii="Times New Roman" w:hAnsi="Times New Roman" w:eastAsia="楷体_GB2312"/>
          <w:snapToGrid w:val="0"/>
          <w:sz w:val="32"/>
          <w:szCs w:val="32"/>
        </w:rPr>
        <w:t>责任单位：市应急局、</w:t>
      </w:r>
      <w:r>
        <w:rPr>
          <w:rFonts w:hint="default" w:ascii="Times New Roman" w:hAnsi="Times New Roman" w:eastAsia="楷体_GB2312"/>
          <w:sz w:val="32"/>
          <w:szCs w:val="32"/>
        </w:rPr>
        <w:t>市</w:t>
      </w:r>
      <w:r>
        <w:rPr>
          <w:rFonts w:hint="default" w:ascii="Times New Roman" w:hAnsi="Times New Roman" w:eastAsia="楷体_GB2312"/>
          <w:snapToGrid w:val="0"/>
          <w:sz w:val="32"/>
          <w:szCs w:val="32"/>
        </w:rPr>
        <w:t>公安局、</w:t>
      </w:r>
      <w:r>
        <w:rPr>
          <w:rFonts w:hint="default" w:ascii="Times New Roman" w:hAnsi="Times New Roman" w:eastAsia="楷体_GB2312"/>
          <w:sz w:val="32"/>
          <w:szCs w:val="32"/>
        </w:rPr>
        <w:t>市</w:t>
      </w:r>
      <w:r>
        <w:rPr>
          <w:rFonts w:hint="default" w:ascii="Times New Roman" w:hAnsi="Times New Roman" w:eastAsia="楷体_GB2312"/>
          <w:snapToGrid w:val="0"/>
          <w:sz w:val="32"/>
          <w:szCs w:val="32"/>
        </w:rPr>
        <w:t>卫生健康局</w:t>
      </w:r>
      <w:r>
        <w:rPr>
          <w:rFonts w:hint="default" w:ascii="Times New Roman" w:hAnsi="Times New Roman" w:eastAsia="楷体_GB2312"/>
          <w:sz w:val="32"/>
          <w:szCs w:val="32"/>
        </w:rPr>
        <w:t>，市有关部门、单位，各镇（街、区）</w:t>
      </w:r>
      <w:r>
        <w:rPr>
          <w:rFonts w:hint="default" w:ascii="Times New Roman" w:hAnsi="仿宋_GB2312" w:eastAsia="仿宋_GB2312"/>
          <w:sz w:val="31"/>
          <w:szCs w:val="31"/>
        </w:rPr>
        <w:t>〕</w:t>
      </w:r>
    </w:p>
    <w:p w14:paraId="5BEE296B">
      <w:pPr>
        <w:pStyle w:val="9"/>
        <w:spacing w:line="570" w:lineRule="exact"/>
        <w:ind w:firstLine="640"/>
        <w:jc w:val="both"/>
        <w:rPr>
          <w:rFonts w:hint="default" w:ascii="Times New Roman" w:hAnsi="Times New Roman" w:eastAsia="楷体_GB2312"/>
          <w:snapToGrid w:val="0"/>
          <w:sz w:val="32"/>
          <w:szCs w:val="32"/>
        </w:rPr>
      </w:pPr>
      <w:r>
        <w:rPr>
          <w:rFonts w:hint="default" w:ascii="Times New Roman" w:hAnsi="Times New Roman" w:eastAsia="楷体_GB2312"/>
          <w:kern w:val="2"/>
          <w:sz w:val="32"/>
          <w:szCs w:val="32"/>
        </w:rPr>
        <w:t>12.优化整合应急救援力量。</w:t>
      </w:r>
      <w:r>
        <w:rPr>
          <w:rFonts w:hint="default" w:ascii="Times New Roman" w:hAnsi="Times New Roman" w:eastAsia="仿宋_GB2312"/>
          <w:snapToGrid w:val="0"/>
          <w:sz w:val="32"/>
          <w:szCs w:val="32"/>
        </w:rPr>
        <w:t>建立应急救援队伍常态化沟通机制，将队伍负责人、救援力量、应急装备纳入消防统一调度平台，实现信息互通、专业互补、装备互享。组织消防综合队伍、市级专业队伍、镇街综合队伍、社会队伍等各类队伍联演联训，推动各方救援力量相互交流、协同作战。</w:t>
      </w:r>
      <w:r>
        <w:rPr>
          <w:rFonts w:hint="default" w:ascii="Times New Roman" w:hAnsi="楷体_GB2312" w:eastAsia="楷体_GB2312"/>
          <w:sz w:val="31"/>
          <w:szCs w:val="31"/>
        </w:rPr>
        <w:t>〔</w:t>
      </w:r>
      <w:r>
        <w:rPr>
          <w:rFonts w:hint="default" w:ascii="Times New Roman" w:hAnsi="Times New Roman" w:eastAsia="楷体_GB2312"/>
          <w:snapToGrid w:val="0"/>
          <w:sz w:val="32"/>
          <w:szCs w:val="32"/>
        </w:rPr>
        <w:t>责任单位：市应急局</w:t>
      </w:r>
      <w:r>
        <w:rPr>
          <w:rFonts w:hint="default" w:ascii="Times New Roman" w:hAnsi="Times New Roman" w:eastAsia="楷体_GB2312"/>
          <w:sz w:val="32"/>
          <w:szCs w:val="32"/>
        </w:rPr>
        <w:t>，市有关部门、单位，各镇（街、区）</w:t>
      </w:r>
      <w:r>
        <w:rPr>
          <w:rFonts w:hint="default" w:ascii="Times New Roman" w:hAnsi="仿宋_GB2312" w:eastAsia="仿宋_GB2312"/>
          <w:sz w:val="31"/>
          <w:szCs w:val="31"/>
        </w:rPr>
        <w:t>〕</w:t>
      </w:r>
    </w:p>
    <w:p w14:paraId="770A1612">
      <w:pPr>
        <w:spacing w:line="570" w:lineRule="exact"/>
        <w:ind w:firstLine="640"/>
        <w:rPr>
          <w:rFonts w:ascii="Times New Roman" w:hAnsi="Times New Roman" w:eastAsia="黑体"/>
          <w:szCs w:val="32"/>
        </w:rPr>
      </w:pPr>
      <w:r>
        <w:rPr>
          <w:rFonts w:ascii="Times New Roman" w:hAnsi="Times New Roman" w:eastAsia="黑体"/>
          <w:szCs w:val="32"/>
        </w:rPr>
        <w:t>五、预防调处化解矛盾纠纷</w:t>
      </w:r>
    </w:p>
    <w:p w14:paraId="735AD24D">
      <w:pPr>
        <w:spacing w:line="570" w:lineRule="exact"/>
        <w:ind w:firstLine="640"/>
        <w:rPr>
          <w:rFonts w:ascii="Times New Roman" w:hAnsi="Times New Roman" w:eastAsia="楷体_GB2312"/>
          <w:snapToGrid w:val="0"/>
          <w:kern w:val="0"/>
          <w:szCs w:val="32"/>
        </w:rPr>
      </w:pPr>
      <w:r>
        <w:rPr>
          <w:rFonts w:ascii="Times New Roman" w:hAnsi="Times New Roman" w:eastAsia="楷体_GB2312"/>
          <w:szCs w:val="32"/>
        </w:rPr>
        <w:t>13.纵深推进信访工作法治化。</w:t>
      </w:r>
      <w:r>
        <w:rPr>
          <w:rFonts w:ascii="Times New Roman" w:hAnsi="Times New Roman"/>
          <w:snapToGrid w:val="0"/>
          <w:kern w:val="0"/>
          <w:szCs w:val="32"/>
        </w:rPr>
        <w:t>完善</w:t>
      </w:r>
      <w:r>
        <w:rPr>
          <w:rFonts w:hint="eastAsia" w:ascii="仿宋_GB2312" w:hAnsi="仿宋_GB2312" w:eastAsia="仿宋_GB2312" w:cs="仿宋_GB2312"/>
          <w:snapToGrid w:val="0"/>
          <w:kern w:val="0"/>
          <w:szCs w:val="32"/>
        </w:rPr>
        <w:t>“</w:t>
      </w:r>
      <w:r>
        <w:rPr>
          <w:rFonts w:ascii="Times New Roman" w:hAnsi="Times New Roman"/>
          <w:snapToGrid w:val="0"/>
          <w:kern w:val="0"/>
          <w:szCs w:val="32"/>
        </w:rPr>
        <w:t>受理部门负责程序推进、办理部门负责实体解决</w:t>
      </w:r>
      <w:r>
        <w:rPr>
          <w:rFonts w:hint="eastAsia" w:ascii="仿宋_GB2312" w:hAnsi="仿宋_GB2312" w:eastAsia="仿宋_GB2312" w:cs="仿宋_GB2312"/>
          <w:snapToGrid w:val="0"/>
          <w:kern w:val="0"/>
          <w:szCs w:val="32"/>
        </w:rPr>
        <w:t>”</w:t>
      </w:r>
      <w:r>
        <w:rPr>
          <w:rFonts w:ascii="Times New Roman" w:hAnsi="Times New Roman"/>
          <w:snapToGrid w:val="0"/>
          <w:kern w:val="0"/>
          <w:szCs w:val="32"/>
        </w:rPr>
        <w:t>工作机制，深化依法分类处理信访诉求。开展</w:t>
      </w:r>
      <w:r>
        <w:rPr>
          <w:rFonts w:hint="eastAsia" w:ascii="仿宋_GB2312" w:hAnsi="仿宋_GB2312" w:eastAsia="仿宋_GB2312" w:cs="仿宋_GB2312"/>
          <w:snapToGrid w:val="0"/>
          <w:kern w:val="0"/>
          <w:szCs w:val="32"/>
        </w:rPr>
        <w:t>“</w:t>
      </w:r>
      <w:r>
        <w:rPr>
          <w:rFonts w:ascii="Times New Roman" w:hAnsi="Times New Roman"/>
          <w:snapToGrid w:val="0"/>
          <w:kern w:val="0"/>
          <w:szCs w:val="32"/>
        </w:rPr>
        <w:t>解决‘四应四不’问题攻坚年</w:t>
      </w:r>
      <w:r>
        <w:rPr>
          <w:rFonts w:hint="eastAsia" w:ascii="仿宋_GB2312" w:hAnsi="仿宋_GB2312" w:eastAsia="仿宋_GB2312" w:cs="仿宋_GB2312"/>
          <w:snapToGrid w:val="0"/>
          <w:kern w:val="0"/>
          <w:szCs w:val="32"/>
        </w:rPr>
        <w:t>”</w:t>
      </w:r>
      <w:r>
        <w:rPr>
          <w:rFonts w:ascii="Times New Roman" w:hAnsi="Times New Roman"/>
          <w:snapToGrid w:val="0"/>
          <w:kern w:val="0"/>
          <w:szCs w:val="32"/>
        </w:rPr>
        <w:t>活动，健全信访工作行为和群众信访行为</w:t>
      </w:r>
      <w:r>
        <w:rPr>
          <w:rFonts w:hint="eastAsia" w:ascii="仿宋_GB2312" w:hAnsi="仿宋_GB2312" w:eastAsia="仿宋_GB2312" w:cs="仿宋_GB2312"/>
          <w:snapToGrid w:val="0"/>
          <w:kern w:val="0"/>
          <w:szCs w:val="32"/>
        </w:rPr>
        <w:t>“</w:t>
      </w:r>
      <w:r>
        <w:rPr>
          <w:rFonts w:ascii="Times New Roman" w:hAnsi="Times New Roman"/>
          <w:snapToGrid w:val="0"/>
          <w:kern w:val="0"/>
          <w:szCs w:val="32"/>
        </w:rPr>
        <w:t>双向规范、双向查究</w:t>
      </w:r>
      <w:r>
        <w:rPr>
          <w:rFonts w:hint="eastAsia" w:ascii="仿宋_GB2312" w:hAnsi="仿宋_GB2312" w:eastAsia="仿宋_GB2312" w:cs="仿宋_GB2312"/>
          <w:snapToGrid w:val="0"/>
          <w:kern w:val="0"/>
          <w:szCs w:val="32"/>
        </w:rPr>
        <w:t>”</w:t>
      </w:r>
      <w:r>
        <w:rPr>
          <w:rFonts w:ascii="Times New Roman" w:hAnsi="Times New Roman"/>
          <w:snapToGrid w:val="0"/>
          <w:kern w:val="0"/>
          <w:szCs w:val="32"/>
        </w:rPr>
        <w:t>机制，组织开展《信访工作条例》暨信访工作法治化宣传月活动。</w:t>
      </w:r>
      <w:r>
        <w:rPr>
          <w:rFonts w:ascii="Times New Roman" w:hAnsi="楷体_GB2312" w:eastAsia="楷体_GB2312"/>
          <w:sz w:val="31"/>
          <w:szCs w:val="31"/>
        </w:rPr>
        <w:t>〔</w:t>
      </w:r>
      <w:r>
        <w:rPr>
          <w:rFonts w:ascii="Times New Roman" w:hAnsi="Times New Roman" w:eastAsia="楷体_GB2312"/>
          <w:snapToGrid w:val="0"/>
          <w:kern w:val="0"/>
          <w:szCs w:val="32"/>
        </w:rPr>
        <w:t>责任单位：市信访局</w:t>
      </w:r>
      <w:r>
        <w:rPr>
          <w:rFonts w:ascii="Times New Roman" w:hAnsi="Times New Roman" w:eastAsia="楷体_GB2312"/>
          <w:szCs w:val="32"/>
        </w:rPr>
        <w:t>，市有关部门、单位，各镇（街、区）</w:t>
      </w:r>
      <w:r>
        <w:rPr>
          <w:rFonts w:ascii="Times New Roman" w:hAnsi="仿宋_GB2312"/>
          <w:sz w:val="31"/>
          <w:szCs w:val="31"/>
        </w:rPr>
        <w:t>〕</w:t>
      </w:r>
    </w:p>
    <w:p w14:paraId="0E4CE124">
      <w:pPr>
        <w:spacing w:line="570" w:lineRule="exact"/>
        <w:ind w:firstLine="640"/>
        <w:rPr>
          <w:rFonts w:ascii="Times New Roman" w:hAnsi="Times New Roman" w:eastAsia="楷体_GB2312"/>
          <w:snapToGrid w:val="0"/>
          <w:kern w:val="0"/>
          <w:szCs w:val="32"/>
        </w:rPr>
      </w:pPr>
      <w:r>
        <w:rPr>
          <w:rFonts w:ascii="Times New Roman" w:hAnsi="Times New Roman" w:eastAsia="楷体_GB2312"/>
          <w:szCs w:val="32"/>
          <w:lang w:val="en"/>
        </w:rPr>
        <w:t>1</w:t>
      </w:r>
      <w:r>
        <w:rPr>
          <w:rFonts w:ascii="Times New Roman" w:hAnsi="Times New Roman" w:eastAsia="楷体_GB2312"/>
          <w:szCs w:val="32"/>
        </w:rPr>
        <w:t>4</w:t>
      </w:r>
      <w:r>
        <w:rPr>
          <w:rFonts w:ascii="Times New Roman" w:hAnsi="Times New Roman" w:eastAsia="楷体_GB2312"/>
          <w:szCs w:val="32"/>
          <w:lang w:val="en"/>
        </w:rPr>
        <w:t>.深化矛盾纠纷源头治理。</w:t>
      </w:r>
      <w:r>
        <w:rPr>
          <w:rFonts w:ascii="Times New Roman" w:hAnsi="Times New Roman"/>
          <w:snapToGrid w:val="0"/>
          <w:kern w:val="0"/>
          <w:szCs w:val="32"/>
        </w:rPr>
        <w:t>完成村居人民调解委员会换届工作。落实《商事调解条例》配套落实举措，加强商事调解组织建设。推行调解员分级分类管理，推动调解组织入驻综治中心，完善警调、诉调、访调、复调、援调等多元对接机制，强化人民调解、行政调解与行专调解协同联动，切实提升矛盾纠纷源头治理效能。</w:t>
      </w:r>
      <w:r>
        <w:rPr>
          <w:rFonts w:ascii="Times New Roman" w:hAnsi="楷体_GB2312" w:eastAsia="楷体_GB2312"/>
          <w:sz w:val="31"/>
          <w:szCs w:val="31"/>
        </w:rPr>
        <w:t>〔</w:t>
      </w:r>
      <w:r>
        <w:rPr>
          <w:rFonts w:ascii="Times New Roman" w:hAnsi="Times New Roman" w:eastAsia="楷体_GB2312"/>
          <w:snapToGrid w:val="0"/>
          <w:kern w:val="0"/>
          <w:szCs w:val="32"/>
        </w:rPr>
        <w:t>责任单位：市司法局</w:t>
      </w:r>
      <w:r>
        <w:rPr>
          <w:rFonts w:ascii="Times New Roman" w:hAnsi="Times New Roman" w:eastAsia="楷体_GB2312"/>
          <w:szCs w:val="32"/>
        </w:rPr>
        <w:t>，市有关部门、单位，各镇（街、区）</w:t>
      </w:r>
      <w:r>
        <w:rPr>
          <w:rFonts w:ascii="Times New Roman" w:hAnsi="仿宋_GB2312"/>
          <w:sz w:val="31"/>
          <w:szCs w:val="31"/>
        </w:rPr>
        <w:t>〕</w:t>
      </w:r>
    </w:p>
    <w:p w14:paraId="25A99938">
      <w:pPr>
        <w:pStyle w:val="10"/>
        <w:widowControl/>
        <w:spacing w:before="0" w:beforeAutospacing="0" w:after="0" w:afterAutospacing="0" w:line="570" w:lineRule="exact"/>
        <w:ind w:firstLine="640"/>
        <w:jc w:val="both"/>
        <w:rPr>
          <w:rFonts w:ascii="Times New Roman" w:hAnsi="Times New Roman" w:eastAsia="楷体_GB2312"/>
          <w:kern w:val="2"/>
          <w:sz w:val="32"/>
          <w:szCs w:val="32"/>
        </w:rPr>
      </w:pPr>
      <w:r>
        <w:rPr>
          <w:rFonts w:ascii="Times New Roman" w:hAnsi="Times New Roman" w:eastAsia="楷体_GB2312"/>
          <w:kern w:val="2"/>
          <w:sz w:val="32"/>
          <w:szCs w:val="32"/>
        </w:rPr>
        <w:t>15.加强行政复议和行政应诉。</w:t>
      </w:r>
      <w:r>
        <w:rPr>
          <w:rFonts w:ascii="Times New Roman" w:hAnsi="Times New Roman"/>
          <w:sz w:val="32"/>
          <w:szCs w:val="32"/>
          <w:shd w:val="clear" w:color="auto" w:fill="FFFFFF"/>
        </w:rPr>
        <w:t>贯彻</w:t>
      </w:r>
      <w:r>
        <w:rPr>
          <w:rFonts w:ascii="Times New Roman" w:hAnsi="Times New Roman"/>
          <w:kern w:val="2"/>
          <w:sz w:val="32"/>
          <w:szCs w:val="32"/>
        </w:rPr>
        <w:t>行政争议化解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“</w:t>
      </w:r>
      <w:r>
        <w:rPr>
          <w:rFonts w:ascii="Times New Roman" w:hAnsi="Times New Roman"/>
          <w:kern w:val="2"/>
          <w:sz w:val="32"/>
          <w:szCs w:val="32"/>
        </w:rPr>
        <w:t>五步工作法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”</w:t>
      </w:r>
      <w:r>
        <w:rPr>
          <w:rFonts w:ascii="Times New Roman" w:hAnsi="Times New Roman"/>
          <w:kern w:val="2"/>
          <w:sz w:val="32"/>
          <w:szCs w:val="32"/>
        </w:rPr>
        <w:t>、行政行为溯源纠偏工作指引</w:t>
      </w:r>
      <w:r>
        <w:rPr>
          <w:rFonts w:ascii="Times New Roman" w:hAnsi="Times New Roman"/>
          <w:sz w:val="32"/>
          <w:szCs w:val="32"/>
          <w:shd w:val="clear" w:color="auto" w:fill="FFFFFF"/>
        </w:rPr>
        <w:t>等文件要求，配合威海市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“</w:t>
      </w:r>
      <w:r>
        <w:rPr>
          <w:rFonts w:ascii="Times New Roman" w:hAnsi="Times New Roman"/>
          <w:kern w:val="2"/>
          <w:sz w:val="32"/>
          <w:szCs w:val="32"/>
        </w:rPr>
        <w:t>复议赋能·域见深度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”</w:t>
      </w:r>
      <w:r>
        <w:rPr>
          <w:rFonts w:ascii="Times New Roman" w:hAnsi="Times New Roman"/>
          <w:kern w:val="2"/>
          <w:sz w:val="32"/>
          <w:szCs w:val="32"/>
        </w:rPr>
        <w:t>能力提升行动，严格落实行政复议监督工作规范，跟进纠错决定履行，</w:t>
      </w:r>
      <w:r>
        <w:rPr>
          <w:rFonts w:ascii="Times New Roman" w:hAnsi="Times New Roman"/>
          <w:sz w:val="32"/>
          <w:szCs w:val="32"/>
          <w:shd w:val="clear" w:color="auto" w:fill="FFFFFF"/>
        </w:rPr>
        <w:t>强化</w:t>
      </w:r>
      <w:r>
        <w:rPr>
          <w:rFonts w:ascii="Times New Roman" w:hAnsi="Times New Roman"/>
          <w:kern w:val="2"/>
          <w:sz w:val="32"/>
          <w:szCs w:val="32"/>
        </w:rPr>
        <w:t>行政争议实质化解。</w:t>
      </w:r>
      <w:r>
        <w:rPr>
          <w:rFonts w:ascii="Times New Roman" w:hAnsi="Times New Roman"/>
          <w:sz w:val="32"/>
          <w:szCs w:val="32"/>
          <w:shd w:val="clear" w:color="auto" w:fill="FFFFFF"/>
        </w:rPr>
        <w:t>强化府院联动，落实</w:t>
      </w:r>
      <w:r>
        <w:rPr>
          <w:rFonts w:ascii="Times New Roman" w:hAnsi="Times New Roman"/>
          <w:kern w:val="2"/>
          <w:sz w:val="32"/>
          <w:szCs w:val="32"/>
        </w:rPr>
        <w:t>行政机关负责人出庭应诉制度，推动行政机关主要负责人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“</w:t>
      </w:r>
      <w:r>
        <w:rPr>
          <w:rFonts w:ascii="Times New Roman" w:hAnsi="Times New Roman"/>
          <w:kern w:val="2"/>
          <w:sz w:val="32"/>
          <w:szCs w:val="32"/>
        </w:rPr>
        <w:t>应出尽出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”</w:t>
      </w:r>
      <w:r>
        <w:rPr>
          <w:rFonts w:ascii="Times New Roman" w:hAnsi="Times New Roman"/>
          <w:kern w:val="2"/>
          <w:sz w:val="32"/>
          <w:szCs w:val="32"/>
        </w:rPr>
        <w:t>。加强行政应诉指导，</w:t>
      </w:r>
      <w:r>
        <w:rPr>
          <w:rFonts w:ascii="Times New Roman" w:hAnsi="Times New Roman"/>
          <w:sz w:val="32"/>
          <w:szCs w:val="32"/>
          <w:shd w:val="clear" w:color="auto" w:fill="FFFFFF"/>
        </w:rPr>
        <w:t>开展旁听庭审、</w:t>
      </w:r>
      <w:r>
        <w:rPr>
          <w:rFonts w:ascii="Times New Roman" w:hAnsi="Times New Roman"/>
          <w:kern w:val="2"/>
          <w:sz w:val="32"/>
          <w:szCs w:val="32"/>
        </w:rPr>
        <w:t>举办行政复议行政审判同堂培训</w:t>
      </w:r>
      <w:r>
        <w:rPr>
          <w:rFonts w:ascii="Times New Roman" w:hAnsi="Times New Roman"/>
          <w:sz w:val="32"/>
          <w:szCs w:val="32"/>
          <w:shd w:val="clear" w:color="auto" w:fill="FFFFFF"/>
        </w:rPr>
        <w:t>等活动，加强执法、复议与审判衔接协同，</w:t>
      </w:r>
      <w:r>
        <w:rPr>
          <w:rFonts w:ascii="Times New Roman" w:hAnsi="Times New Roman"/>
          <w:sz w:val="32"/>
          <w:szCs w:val="32"/>
        </w:rPr>
        <w:t>强化案例警示教育，</w:t>
      </w:r>
      <w:r>
        <w:rPr>
          <w:rFonts w:ascii="Times New Roman" w:hAnsi="Times New Roman"/>
          <w:kern w:val="2"/>
          <w:sz w:val="32"/>
          <w:szCs w:val="32"/>
        </w:rPr>
        <w:t>建立高败诉风险案件预警通报机制，定期</w:t>
      </w:r>
      <w:r>
        <w:rPr>
          <w:rFonts w:ascii="Times New Roman" w:hAnsi="Times New Roman"/>
          <w:sz w:val="32"/>
          <w:szCs w:val="32"/>
        </w:rPr>
        <w:t>会商研判，提升案件办理效果</w:t>
      </w:r>
      <w:r>
        <w:rPr>
          <w:rFonts w:ascii="Times New Roman" w:hAnsi="Times New Roman"/>
          <w:kern w:val="2"/>
          <w:sz w:val="32"/>
          <w:szCs w:val="32"/>
        </w:rPr>
        <w:t>。</w:t>
      </w:r>
      <w:r>
        <w:rPr>
          <w:rFonts w:ascii="Times New Roman" w:hAnsi="楷体_GB2312" w:eastAsia="楷体_GB2312"/>
          <w:sz w:val="31"/>
          <w:szCs w:val="31"/>
        </w:rPr>
        <w:t>〔</w:t>
      </w:r>
      <w:r>
        <w:rPr>
          <w:rFonts w:ascii="Times New Roman" w:hAnsi="Times New Roman" w:eastAsia="楷体_GB2312"/>
          <w:kern w:val="2"/>
          <w:sz w:val="32"/>
          <w:szCs w:val="32"/>
        </w:rPr>
        <w:t>责任单位：市司法局、</w:t>
      </w:r>
      <w:r>
        <w:rPr>
          <w:rFonts w:ascii="Times New Roman" w:hAnsi="Times New Roman" w:eastAsia="楷体_GB2312"/>
          <w:sz w:val="32"/>
          <w:szCs w:val="32"/>
        </w:rPr>
        <w:t>市</w:t>
      </w:r>
      <w:r>
        <w:rPr>
          <w:rFonts w:ascii="Times New Roman" w:hAnsi="Times New Roman" w:eastAsia="楷体_GB2312"/>
          <w:kern w:val="2"/>
          <w:sz w:val="32"/>
          <w:szCs w:val="32"/>
        </w:rPr>
        <w:t>法院</w:t>
      </w:r>
      <w:r>
        <w:rPr>
          <w:rFonts w:ascii="Times New Roman" w:hAnsi="Times New Roman" w:eastAsia="楷体_GB2312"/>
          <w:sz w:val="32"/>
          <w:szCs w:val="32"/>
        </w:rPr>
        <w:t>，市有关部门、单位，各镇（街、区）</w:t>
      </w:r>
      <w:r>
        <w:rPr>
          <w:rFonts w:ascii="Times New Roman" w:hAnsi="仿宋_GB2312"/>
          <w:sz w:val="31"/>
          <w:szCs w:val="31"/>
        </w:rPr>
        <w:t>〕</w:t>
      </w:r>
    </w:p>
    <w:p w14:paraId="34752CDF">
      <w:pPr>
        <w:spacing w:line="570" w:lineRule="exact"/>
        <w:ind w:firstLine="640"/>
        <w:rPr>
          <w:rFonts w:ascii="Times New Roman" w:hAnsi="Times New Roman" w:eastAsia="黑体"/>
          <w:szCs w:val="32"/>
        </w:rPr>
      </w:pPr>
      <w:r>
        <w:rPr>
          <w:rFonts w:ascii="Times New Roman" w:hAnsi="Times New Roman" w:eastAsia="黑体"/>
          <w:szCs w:val="32"/>
        </w:rPr>
        <w:t>六、强化行政权力制约监督</w:t>
      </w:r>
    </w:p>
    <w:p w14:paraId="278A75D7">
      <w:pPr>
        <w:spacing w:line="570" w:lineRule="exact"/>
        <w:ind w:firstLine="640"/>
        <w:rPr>
          <w:rFonts w:ascii="Times New Roman" w:hAnsi="Times New Roman" w:eastAsia="楷体_GB2312"/>
          <w:szCs w:val="32"/>
        </w:rPr>
      </w:pPr>
      <w:r>
        <w:rPr>
          <w:rFonts w:ascii="Times New Roman" w:hAnsi="Times New Roman" w:eastAsia="楷体_GB2312"/>
          <w:szCs w:val="32"/>
        </w:rPr>
        <w:t>16.规范政府督查工作。</w:t>
      </w:r>
      <w:r>
        <w:rPr>
          <w:rFonts w:ascii="Times New Roman" w:hAnsi="Times New Roman"/>
          <w:szCs w:val="32"/>
        </w:rPr>
        <w:t>严格落实督查检查计划，加强备案管理和跨部门工作统筹，严控数量频次，防止计划外和违规变相开展督查检查。推动督查与减负</w:t>
      </w:r>
      <w:r>
        <w:rPr>
          <w:rFonts w:hint="eastAsia" w:ascii="仿宋_GB2312" w:hAnsi="仿宋_GB2312" w:eastAsia="仿宋_GB2312" w:cs="仿宋_GB2312"/>
          <w:szCs w:val="32"/>
        </w:rPr>
        <w:t>“</w:t>
      </w:r>
      <w:r>
        <w:rPr>
          <w:rFonts w:ascii="Times New Roman" w:hAnsi="Times New Roman"/>
          <w:szCs w:val="32"/>
        </w:rPr>
        <w:t>互促</w:t>
      </w:r>
      <w:r>
        <w:rPr>
          <w:rFonts w:hint="eastAsia" w:ascii="仿宋_GB2312" w:hAnsi="仿宋_GB2312" w:eastAsia="仿宋_GB2312" w:cs="仿宋_GB2312"/>
          <w:szCs w:val="32"/>
        </w:rPr>
        <w:t>”</w:t>
      </w:r>
      <w:r>
        <w:rPr>
          <w:rFonts w:ascii="Times New Roman" w:hAnsi="Times New Roman"/>
          <w:szCs w:val="32"/>
        </w:rPr>
        <w:t>，坚持督帮一体、督服结合，助力基层破解难题。</w:t>
      </w:r>
      <w:r>
        <w:rPr>
          <w:rFonts w:ascii="Times New Roman" w:hAnsi="楷体_GB2312" w:eastAsia="楷体_GB2312"/>
          <w:sz w:val="31"/>
          <w:szCs w:val="31"/>
        </w:rPr>
        <w:t>〔</w:t>
      </w:r>
      <w:r>
        <w:rPr>
          <w:rFonts w:ascii="Times New Roman" w:hAnsi="Times New Roman" w:eastAsia="楷体_GB2312"/>
          <w:szCs w:val="32"/>
        </w:rPr>
        <w:t>责任单位：市政府办公室，市有关部门、单位，各镇（街、区）</w:t>
      </w:r>
      <w:r>
        <w:rPr>
          <w:rFonts w:ascii="Times New Roman" w:hAnsi="仿宋_GB2312"/>
          <w:sz w:val="31"/>
          <w:szCs w:val="31"/>
        </w:rPr>
        <w:t>〕</w:t>
      </w:r>
    </w:p>
    <w:p w14:paraId="28E653F4">
      <w:pPr>
        <w:spacing w:line="570" w:lineRule="exact"/>
        <w:ind w:firstLine="640"/>
        <w:rPr>
          <w:rFonts w:ascii="Times New Roman" w:hAnsi="Times New Roman" w:eastAsia="楷体_GB2312"/>
          <w:szCs w:val="32"/>
          <w:highlight w:val="yellow"/>
          <w:lang w:val="en"/>
        </w:rPr>
      </w:pPr>
      <w:r>
        <w:rPr>
          <w:rFonts w:ascii="Times New Roman" w:hAnsi="Times New Roman" w:eastAsia="楷体_GB2312"/>
          <w:szCs w:val="32"/>
        </w:rPr>
        <w:t>17.全面推进政务公开。</w:t>
      </w:r>
      <w:r>
        <w:rPr>
          <w:rFonts w:ascii="Times New Roman" w:hAnsi="Times New Roman"/>
          <w:szCs w:val="32"/>
        </w:rPr>
        <w:t>严格履行发布审查机制，依法依规做好政府信息公开和已公开信息管理。开发政府网站政策服务场景，优化提升政策解读服务质效。规范政府信息公开受理、审查、办理、答复全流程，健全部门联合协查和疑难问题会商机制，优化升级网上申请平台，实现线上线下一体办理。加大</w:t>
      </w:r>
      <w:r>
        <w:rPr>
          <w:rFonts w:hint="eastAsia" w:ascii="仿宋_GB2312" w:hAnsi="仿宋_GB2312" w:eastAsia="仿宋_GB2312" w:cs="仿宋_GB2312"/>
          <w:szCs w:val="32"/>
        </w:rPr>
        <w:t>“</w:t>
      </w:r>
      <w:r>
        <w:rPr>
          <w:rFonts w:ascii="Times New Roman" w:hAnsi="Times New Roman"/>
          <w:szCs w:val="32"/>
        </w:rPr>
        <w:t>政府开放日</w:t>
      </w:r>
      <w:r>
        <w:rPr>
          <w:rFonts w:hint="eastAsia" w:ascii="仿宋_GB2312" w:hAnsi="仿宋_GB2312" w:eastAsia="仿宋_GB2312" w:cs="仿宋_GB2312"/>
          <w:szCs w:val="32"/>
        </w:rPr>
        <w:t>”</w:t>
      </w:r>
      <w:r>
        <w:rPr>
          <w:rFonts w:ascii="Times New Roman" w:hAnsi="Times New Roman"/>
          <w:szCs w:val="32"/>
        </w:rPr>
        <w:t>活动开展力度，深化政民互动，保障群众知情权、参与权和监督权。</w:t>
      </w:r>
      <w:r>
        <w:rPr>
          <w:rFonts w:ascii="Times New Roman" w:hAnsi="楷体_GB2312" w:eastAsia="楷体_GB2312"/>
          <w:sz w:val="31"/>
          <w:szCs w:val="31"/>
        </w:rPr>
        <w:t>〔</w:t>
      </w:r>
      <w:r>
        <w:rPr>
          <w:rFonts w:ascii="Times New Roman" w:hAnsi="Times New Roman" w:eastAsia="楷体_GB2312"/>
          <w:szCs w:val="32"/>
        </w:rPr>
        <w:t>责任单位：市政府办公室，市有关部门、单位，各镇（街、区）</w:t>
      </w:r>
      <w:r>
        <w:rPr>
          <w:rFonts w:ascii="Times New Roman" w:hAnsi="仿宋_GB2312"/>
          <w:sz w:val="31"/>
          <w:szCs w:val="31"/>
        </w:rPr>
        <w:t>〕</w:t>
      </w:r>
    </w:p>
    <w:p w14:paraId="4FF7CF70">
      <w:pPr>
        <w:pStyle w:val="12"/>
        <w:spacing w:after="0" w:line="570" w:lineRule="exact"/>
        <w:ind w:left="0" w:leftChars="0" w:firstLine="640"/>
        <w:rPr>
          <w:rFonts w:ascii="Times New Roman" w:hAnsi="Times New Roman" w:eastAsia="楷体_GB2312"/>
          <w:szCs w:val="32"/>
          <w:highlight w:val="yellow"/>
        </w:rPr>
      </w:pPr>
      <w:r>
        <w:rPr>
          <w:rFonts w:ascii="Times New Roman" w:hAnsi="Times New Roman" w:eastAsia="楷体_GB2312"/>
          <w:szCs w:val="32"/>
          <w:lang w:val="en"/>
        </w:rPr>
        <w:t>1</w:t>
      </w:r>
      <w:r>
        <w:rPr>
          <w:rFonts w:ascii="Times New Roman" w:hAnsi="Times New Roman" w:eastAsia="楷体_GB2312"/>
          <w:szCs w:val="32"/>
        </w:rPr>
        <w:t>8.强化政务诚信建设。</w:t>
      </w:r>
      <w:r>
        <w:rPr>
          <w:rFonts w:ascii="Times New Roman" w:hAnsi="Times New Roman"/>
          <w:szCs w:val="32"/>
        </w:rPr>
        <w:t>持续开展政务诚信监测，深化失信政府机构清理整治，加强与法院信息共享，对涉政务失信线索全程督导追踪、限期督办，</w:t>
      </w:r>
      <w:r>
        <w:rPr>
          <w:rFonts w:ascii="Times New Roman" w:hAnsi="Times New Roman"/>
          <w:szCs w:val="32"/>
          <w:lang w:val="en"/>
        </w:rPr>
        <w:t>彻底清除存量，严防发生增量。加强机关事业单位合同审查管理，推动部门履约践诺。</w:t>
      </w:r>
      <w:r>
        <w:rPr>
          <w:rFonts w:ascii="Times New Roman" w:hAnsi="楷体_GB2312" w:eastAsia="楷体_GB2312"/>
          <w:sz w:val="31"/>
          <w:szCs w:val="31"/>
        </w:rPr>
        <w:t>〔</w:t>
      </w:r>
      <w:r>
        <w:rPr>
          <w:rFonts w:ascii="Times New Roman" w:hAnsi="Times New Roman" w:eastAsia="楷体_GB2312"/>
          <w:szCs w:val="32"/>
        </w:rPr>
        <w:t>责任单位：市社会信用中心、市法院、市司法局，市有关部门、单位，各镇（街、区）</w:t>
      </w:r>
      <w:r>
        <w:rPr>
          <w:rFonts w:ascii="Times New Roman" w:hAnsi="仿宋_GB2312"/>
          <w:sz w:val="31"/>
          <w:szCs w:val="31"/>
        </w:rPr>
        <w:t>〕</w:t>
      </w:r>
    </w:p>
    <w:p w14:paraId="6EB9220C">
      <w:pPr>
        <w:spacing w:line="570" w:lineRule="exact"/>
        <w:ind w:firstLine="640"/>
        <w:rPr>
          <w:rFonts w:ascii="Times New Roman" w:hAnsi="Times New Roman" w:eastAsia="黑体"/>
          <w:szCs w:val="32"/>
        </w:rPr>
      </w:pPr>
      <w:r>
        <w:rPr>
          <w:rFonts w:ascii="Times New Roman" w:hAnsi="Times New Roman" w:eastAsia="黑体"/>
          <w:szCs w:val="32"/>
        </w:rPr>
        <w:t>七、加快建设数字法治政府</w:t>
      </w:r>
    </w:p>
    <w:p w14:paraId="7B3A8619">
      <w:pPr>
        <w:pStyle w:val="5"/>
        <w:spacing w:after="0" w:line="570" w:lineRule="exact"/>
        <w:ind w:left="0" w:leftChars="0" w:firstLine="640"/>
        <w:rPr>
          <w:rFonts w:ascii="Times New Roman" w:hAnsi="Times New Roman" w:eastAsia="楷体_GB2312"/>
          <w:szCs w:val="32"/>
        </w:rPr>
      </w:pPr>
      <w:r>
        <w:rPr>
          <w:rFonts w:ascii="Times New Roman" w:hAnsi="Times New Roman" w:eastAsia="楷体_GB2312"/>
          <w:szCs w:val="32"/>
        </w:rPr>
        <w:t>19.</w:t>
      </w:r>
      <w:r>
        <w:rPr>
          <w:rFonts w:ascii="Times New Roman" w:hAnsi="Times New Roman" w:eastAsia="楷体_GB2312"/>
          <w:szCs w:val="32"/>
          <w:lang w:val="en"/>
        </w:rPr>
        <w:t>提升数字法治</w:t>
      </w:r>
      <w:r>
        <w:rPr>
          <w:rFonts w:hint="eastAsia" w:ascii="仿宋_GB2312" w:hAnsi="仿宋_GB2312" w:eastAsia="仿宋_GB2312" w:cs="仿宋_GB2312"/>
          <w:szCs w:val="32"/>
          <w:lang w:val="en"/>
        </w:rPr>
        <w:t>“</w:t>
      </w:r>
      <w:r>
        <w:rPr>
          <w:rFonts w:ascii="Times New Roman" w:hAnsi="Times New Roman" w:eastAsia="楷体_GB2312"/>
          <w:szCs w:val="32"/>
          <w:lang w:val="en"/>
        </w:rPr>
        <w:t>智</w:t>
      </w:r>
      <w:r>
        <w:rPr>
          <w:rFonts w:hint="eastAsia" w:ascii="仿宋_GB2312" w:hAnsi="仿宋_GB2312" w:eastAsia="仿宋_GB2312" w:cs="仿宋_GB2312"/>
          <w:szCs w:val="32"/>
          <w:lang w:val="en"/>
        </w:rPr>
        <w:t>”</w:t>
      </w:r>
      <w:r>
        <w:rPr>
          <w:rFonts w:ascii="Times New Roman" w:hAnsi="Times New Roman" w:eastAsia="楷体_GB2312"/>
          <w:szCs w:val="32"/>
          <w:lang w:val="en"/>
        </w:rPr>
        <w:t>理效能。</w:t>
      </w:r>
      <w:r>
        <w:rPr>
          <w:rFonts w:ascii="Times New Roman" w:hAnsi="Times New Roman"/>
          <w:szCs w:val="32"/>
        </w:rPr>
        <w:t>深化数字政府建设一体化综合改革，配合威海市完善</w:t>
      </w:r>
      <w:r>
        <w:rPr>
          <w:rFonts w:hint="eastAsia" w:ascii="仿宋_GB2312" w:hAnsi="仿宋_GB2312" w:eastAsia="仿宋_GB2312" w:cs="仿宋_GB2312"/>
          <w:szCs w:val="32"/>
        </w:rPr>
        <w:t>“</w:t>
      </w:r>
      <w:r>
        <w:rPr>
          <w:rFonts w:ascii="Times New Roman" w:hAnsi="Times New Roman"/>
          <w:szCs w:val="32"/>
        </w:rPr>
        <w:t>城市大脑</w:t>
      </w:r>
      <w:r>
        <w:rPr>
          <w:rFonts w:hint="eastAsia" w:ascii="仿宋_GB2312" w:hAnsi="仿宋_GB2312" w:eastAsia="仿宋_GB2312" w:cs="仿宋_GB2312"/>
          <w:szCs w:val="32"/>
        </w:rPr>
        <w:t>”</w:t>
      </w:r>
      <w:r>
        <w:rPr>
          <w:rFonts w:ascii="Times New Roman" w:hAnsi="Times New Roman"/>
          <w:szCs w:val="32"/>
        </w:rPr>
        <w:t>功能。打造</w:t>
      </w:r>
      <w:r>
        <w:rPr>
          <w:rFonts w:hint="eastAsia" w:ascii="仿宋_GB2312" w:hAnsi="仿宋_GB2312" w:eastAsia="仿宋_GB2312" w:cs="仿宋_GB2312"/>
          <w:szCs w:val="32"/>
        </w:rPr>
        <w:t>“</w:t>
      </w:r>
      <w:r>
        <w:rPr>
          <w:rFonts w:ascii="Times New Roman" w:hAnsi="Times New Roman"/>
          <w:szCs w:val="32"/>
        </w:rPr>
        <w:t>人工智能+政务</w:t>
      </w:r>
      <w:r>
        <w:rPr>
          <w:rFonts w:hint="eastAsia" w:ascii="仿宋_GB2312" w:hAnsi="仿宋_GB2312" w:eastAsia="仿宋_GB2312" w:cs="仿宋_GB2312"/>
          <w:szCs w:val="32"/>
        </w:rPr>
        <w:t>”</w:t>
      </w:r>
      <w:r>
        <w:rPr>
          <w:rFonts w:ascii="Times New Roman" w:hAnsi="Times New Roman"/>
          <w:szCs w:val="32"/>
        </w:rPr>
        <w:t>特色场景，推出10个</w:t>
      </w:r>
      <w:r>
        <w:rPr>
          <w:rFonts w:hint="eastAsia" w:ascii="仿宋_GB2312" w:hAnsi="仿宋_GB2312" w:eastAsia="仿宋_GB2312" w:cs="仿宋_GB2312"/>
          <w:szCs w:val="32"/>
        </w:rPr>
        <w:t>“</w:t>
      </w:r>
      <w:r>
        <w:rPr>
          <w:rFonts w:ascii="Times New Roman" w:hAnsi="Times New Roman"/>
          <w:szCs w:val="32"/>
        </w:rPr>
        <w:t>亮码即办</w:t>
      </w:r>
      <w:r>
        <w:rPr>
          <w:rFonts w:hint="eastAsia" w:ascii="仿宋_GB2312" w:hAnsi="仿宋_GB2312" w:eastAsia="仿宋_GB2312" w:cs="仿宋_GB2312"/>
          <w:szCs w:val="32"/>
        </w:rPr>
        <w:t>”</w:t>
      </w:r>
      <w:r>
        <w:rPr>
          <w:rFonts w:ascii="Times New Roman" w:hAnsi="Times New Roman"/>
          <w:szCs w:val="32"/>
        </w:rPr>
        <w:t>应用场景，推动2个以上高频事项</w:t>
      </w:r>
      <w:r>
        <w:rPr>
          <w:rFonts w:hint="eastAsia" w:ascii="仿宋_GB2312" w:hAnsi="仿宋_GB2312" w:eastAsia="仿宋_GB2312" w:cs="仿宋_GB2312"/>
          <w:szCs w:val="32"/>
        </w:rPr>
        <w:t>“</w:t>
      </w:r>
      <w:r>
        <w:rPr>
          <w:rFonts w:ascii="Times New Roman" w:hAnsi="Times New Roman"/>
          <w:szCs w:val="32"/>
        </w:rPr>
        <w:t>掌上办</w:t>
      </w:r>
      <w:r>
        <w:rPr>
          <w:rFonts w:hint="eastAsia" w:ascii="仿宋_GB2312" w:hAnsi="仿宋_GB2312" w:eastAsia="仿宋_GB2312" w:cs="仿宋_GB2312"/>
          <w:szCs w:val="32"/>
        </w:rPr>
        <w:t>”</w:t>
      </w:r>
      <w:r>
        <w:rPr>
          <w:rFonts w:ascii="Times New Roman" w:hAnsi="Times New Roman"/>
          <w:szCs w:val="32"/>
        </w:rPr>
        <w:t>，实现政务服务</w:t>
      </w:r>
      <w:r>
        <w:rPr>
          <w:rFonts w:hint="eastAsia" w:ascii="仿宋_GB2312" w:hAnsi="仿宋_GB2312" w:eastAsia="仿宋_GB2312" w:cs="仿宋_GB2312"/>
          <w:szCs w:val="32"/>
        </w:rPr>
        <w:t>“</w:t>
      </w:r>
      <w:r>
        <w:rPr>
          <w:rFonts w:ascii="Times New Roman" w:hAnsi="Times New Roman"/>
          <w:szCs w:val="32"/>
        </w:rPr>
        <w:t>一网通办</w:t>
      </w:r>
      <w:r>
        <w:rPr>
          <w:rFonts w:hint="eastAsia" w:ascii="仿宋_GB2312" w:hAnsi="仿宋_GB2312" w:eastAsia="仿宋_GB2312" w:cs="仿宋_GB2312"/>
          <w:szCs w:val="32"/>
        </w:rPr>
        <w:t>”</w:t>
      </w:r>
      <w:r>
        <w:rPr>
          <w:rFonts w:ascii="Times New Roman" w:hAnsi="Times New Roman"/>
          <w:szCs w:val="32"/>
        </w:rPr>
        <w:t>。</w:t>
      </w:r>
      <w:r>
        <w:rPr>
          <w:rFonts w:ascii="Times New Roman" w:hAnsi="楷体_GB2312" w:eastAsia="楷体_GB2312"/>
          <w:sz w:val="31"/>
          <w:szCs w:val="31"/>
        </w:rPr>
        <w:t>〔</w:t>
      </w:r>
      <w:r>
        <w:rPr>
          <w:rFonts w:ascii="Times New Roman" w:hAnsi="Times New Roman" w:eastAsia="楷体_GB2312"/>
          <w:szCs w:val="32"/>
        </w:rPr>
        <w:t>责任单位：市大数据中心、市行政审批服务局，市有关部门、单位，各镇（街、区）</w:t>
      </w:r>
      <w:r>
        <w:rPr>
          <w:rFonts w:ascii="Times New Roman" w:hAnsi="仿宋_GB2312"/>
          <w:sz w:val="31"/>
          <w:szCs w:val="31"/>
        </w:rPr>
        <w:t>〕</w:t>
      </w:r>
    </w:p>
    <w:p w14:paraId="64B21C4A">
      <w:pPr>
        <w:spacing w:line="570" w:lineRule="exact"/>
        <w:ind w:firstLine="640"/>
        <w:rPr>
          <w:rFonts w:ascii="Times New Roman" w:hAnsi="Times New Roman" w:eastAsia="黑体"/>
          <w:szCs w:val="32"/>
        </w:rPr>
      </w:pPr>
      <w:r>
        <w:rPr>
          <w:rFonts w:ascii="Times New Roman" w:hAnsi="Times New Roman" w:eastAsia="楷体_GB2312"/>
          <w:szCs w:val="32"/>
        </w:rPr>
        <w:t>20.优化政务数据资源汇聚共享。</w:t>
      </w:r>
      <w:r>
        <w:rPr>
          <w:rFonts w:ascii="Times New Roman" w:hAnsi="Times New Roman"/>
          <w:szCs w:val="32"/>
        </w:rPr>
        <w:t>深化政务数据跨部门、跨区域、跨层级共享，推动</w:t>
      </w:r>
      <w:r>
        <w:rPr>
          <w:rFonts w:hint="eastAsia" w:ascii="仿宋_GB2312" w:hAnsi="仿宋_GB2312" w:eastAsia="仿宋_GB2312" w:cs="仿宋_GB2312"/>
          <w:szCs w:val="32"/>
        </w:rPr>
        <w:t>“</w:t>
      </w:r>
      <w:r>
        <w:rPr>
          <w:rFonts w:ascii="Times New Roman" w:hAnsi="Times New Roman"/>
          <w:szCs w:val="32"/>
        </w:rPr>
        <w:t>一数一源一标准</w:t>
      </w:r>
      <w:r>
        <w:rPr>
          <w:rFonts w:hint="eastAsia" w:ascii="仿宋_GB2312" w:hAnsi="仿宋_GB2312" w:eastAsia="仿宋_GB2312" w:cs="仿宋_GB2312"/>
          <w:szCs w:val="32"/>
        </w:rPr>
        <w:t>”</w:t>
      </w:r>
      <w:r>
        <w:rPr>
          <w:rFonts w:ascii="Times New Roman" w:hAnsi="Times New Roman"/>
          <w:szCs w:val="32"/>
        </w:rPr>
        <w:t>，切实提高数据供给质量。持续深化电子证照证明应用，丰富完善个人和企业全生命周期数据，拓展延伸</w:t>
      </w:r>
      <w:r>
        <w:rPr>
          <w:rFonts w:hint="eastAsia" w:ascii="仿宋_GB2312" w:hAnsi="仿宋_GB2312" w:eastAsia="仿宋_GB2312" w:cs="仿宋_GB2312"/>
          <w:szCs w:val="32"/>
        </w:rPr>
        <w:t>“</w:t>
      </w:r>
      <w:r>
        <w:rPr>
          <w:rFonts w:ascii="Times New Roman" w:hAnsi="Times New Roman"/>
          <w:szCs w:val="32"/>
        </w:rPr>
        <w:t>无证明城市</w:t>
      </w:r>
      <w:r>
        <w:rPr>
          <w:rFonts w:hint="eastAsia" w:ascii="仿宋_GB2312" w:hAnsi="仿宋_GB2312" w:eastAsia="仿宋_GB2312" w:cs="仿宋_GB2312"/>
          <w:szCs w:val="32"/>
        </w:rPr>
        <w:t>”</w:t>
      </w:r>
      <w:r>
        <w:rPr>
          <w:rFonts w:ascii="Times New Roman" w:hAnsi="Times New Roman"/>
          <w:szCs w:val="32"/>
        </w:rPr>
        <w:t>覆盖范围和领域。</w:t>
      </w:r>
      <w:r>
        <w:rPr>
          <w:rFonts w:ascii="Times New Roman" w:hAnsi="楷体_GB2312" w:eastAsia="楷体_GB2312"/>
          <w:sz w:val="31"/>
          <w:szCs w:val="31"/>
        </w:rPr>
        <w:t>〔</w:t>
      </w:r>
      <w:r>
        <w:rPr>
          <w:rFonts w:ascii="Times New Roman" w:hAnsi="Times New Roman" w:eastAsia="楷体_GB2312"/>
          <w:szCs w:val="32"/>
        </w:rPr>
        <w:t>责任单位：市大数据中心，市有关部门、单位，各镇（街、区）</w:t>
      </w:r>
      <w:r>
        <w:rPr>
          <w:rFonts w:ascii="Times New Roman" w:hAnsi="仿宋_GB2312"/>
          <w:sz w:val="31"/>
          <w:szCs w:val="31"/>
        </w:rPr>
        <w:t>〕</w:t>
      </w:r>
    </w:p>
    <w:p w14:paraId="7D7274CD">
      <w:pPr>
        <w:pStyle w:val="5"/>
        <w:spacing w:after="0" w:line="570" w:lineRule="exact"/>
        <w:ind w:left="0" w:leftChars="0" w:firstLine="640"/>
        <w:rPr>
          <w:rFonts w:ascii="Times New Roman" w:hAnsi="Times New Roman" w:eastAsia="黑体"/>
          <w:szCs w:val="32"/>
        </w:rPr>
      </w:pPr>
      <w:r>
        <w:rPr>
          <w:rFonts w:ascii="Times New Roman" w:hAnsi="Times New Roman" w:eastAsia="黑体"/>
          <w:szCs w:val="32"/>
        </w:rPr>
        <w:t>八、强化统筹推进和组织保障</w:t>
      </w:r>
    </w:p>
    <w:p w14:paraId="1E9A10C1">
      <w:pPr>
        <w:pStyle w:val="3"/>
        <w:spacing w:line="570" w:lineRule="exact"/>
        <w:ind w:left="0" w:leftChars="0" w:right="0" w:rightChars="0" w:firstLine="640"/>
        <w:rPr>
          <w:rFonts w:ascii="Times New Roman" w:hAnsi="Times New Roman" w:eastAsia="楷体_GB2312"/>
          <w:szCs w:val="32"/>
        </w:rPr>
      </w:pPr>
      <w:r>
        <w:rPr>
          <w:rFonts w:ascii="Times New Roman" w:hAnsi="Times New Roman" w:eastAsia="楷体_GB2312"/>
          <w:szCs w:val="32"/>
        </w:rPr>
        <w:t>21.加强党对法治政府建设的领导。</w:t>
      </w:r>
      <w:r>
        <w:rPr>
          <w:rFonts w:ascii="Times New Roman" w:hAnsi="Times New Roman"/>
          <w:szCs w:val="32"/>
        </w:rPr>
        <w:t>深入学习贯彻习近平法治思想，全面贯彻执行《中国共产党领导全面依法治国工作条例》，压实法治政府建设主体责任。严格落实法治政府建设年度报告制度和重大事项请示报告制度。</w:t>
      </w:r>
      <w:r>
        <w:rPr>
          <w:rFonts w:ascii="Times New Roman" w:hAnsi="楷体_GB2312" w:eastAsia="楷体_GB2312"/>
          <w:sz w:val="31"/>
          <w:szCs w:val="31"/>
        </w:rPr>
        <w:t>〔</w:t>
      </w:r>
      <w:r>
        <w:rPr>
          <w:rFonts w:ascii="Times New Roman" w:hAnsi="Times New Roman" w:eastAsia="楷体_GB2312"/>
          <w:szCs w:val="32"/>
        </w:rPr>
        <w:t>责任单位：市委依法治市办，市司法局，市有关部门、单位，各镇（街、区）</w:t>
      </w:r>
      <w:r>
        <w:rPr>
          <w:rFonts w:ascii="Times New Roman" w:hAnsi="仿宋_GB2312"/>
          <w:sz w:val="31"/>
          <w:szCs w:val="31"/>
        </w:rPr>
        <w:t>〕</w:t>
      </w:r>
    </w:p>
    <w:p w14:paraId="7E2D2773">
      <w:pPr>
        <w:spacing w:line="570" w:lineRule="exact"/>
        <w:ind w:firstLine="640"/>
        <w:rPr>
          <w:rFonts w:ascii="Times New Roman" w:hAnsi="Times New Roman" w:eastAsia="楷体_GB2312"/>
          <w:szCs w:val="32"/>
          <w:highlight w:val="yellow"/>
        </w:rPr>
      </w:pPr>
      <w:r>
        <w:rPr>
          <w:rFonts w:ascii="Times New Roman" w:hAnsi="Times New Roman" w:eastAsia="楷体_GB2312"/>
          <w:szCs w:val="32"/>
        </w:rPr>
        <w:t>22.深化法治政府建设统筹推进。</w:t>
      </w:r>
      <w:r>
        <w:rPr>
          <w:rFonts w:ascii="Times New Roman" w:hAnsi="Times New Roman"/>
          <w:szCs w:val="32"/>
        </w:rPr>
        <w:t>配合威海市全力争创全国法治政府建设示范市。将法治政府建设纳入年度法治督察重点内容，及时发现整改突出问题。深化府院联动、府检联动，谋划推进联动重点任务，提升依法行政能力水平。</w:t>
      </w:r>
      <w:r>
        <w:rPr>
          <w:rFonts w:ascii="Times New Roman" w:hAnsi="楷体_GB2312" w:eastAsia="楷体_GB2312"/>
          <w:sz w:val="31"/>
          <w:szCs w:val="31"/>
        </w:rPr>
        <w:t>〔</w:t>
      </w:r>
      <w:r>
        <w:rPr>
          <w:rFonts w:ascii="Times New Roman" w:hAnsi="Times New Roman" w:eastAsia="楷体_GB2312"/>
          <w:szCs w:val="32"/>
        </w:rPr>
        <w:t>责任单位：市委依法治市办，市法院、市检察院、市司法局，市有关部门、单位，各镇（街、区）</w:t>
      </w:r>
      <w:r>
        <w:rPr>
          <w:rFonts w:ascii="Times New Roman" w:hAnsi="仿宋_GB2312"/>
          <w:sz w:val="31"/>
          <w:szCs w:val="31"/>
        </w:rPr>
        <w:t>〕</w:t>
      </w:r>
    </w:p>
    <w:p w14:paraId="0DC7A4E1">
      <w:pPr>
        <w:pStyle w:val="3"/>
        <w:spacing w:line="570" w:lineRule="exact"/>
        <w:ind w:left="0" w:leftChars="0" w:right="0" w:rightChars="0" w:firstLine="640"/>
        <w:rPr>
          <w:rFonts w:ascii="Times New Roman" w:hAnsi="Times New Roman"/>
          <w:szCs w:val="32"/>
        </w:rPr>
      </w:pPr>
      <w:r>
        <w:rPr>
          <w:rFonts w:ascii="Times New Roman" w:hAnsi="Times New Roman" w:eastAsia="楷体_GB2312"/>
          <w:szCs w:val="32"/>
        </w:rPr>
        <w:t>23.强化依法行政能力建设。</w:t>
      </w:r>
      <w:r>
        <w:rPr>
          <w:rFonts w:ascii="Times New Roman" w:hAnsi="Times New Roman"/>
          <w:szCs w:val="32"/>
        </w:rPr>
        <w:t>落实政府常务会议、部门领导班子定期学法制度，深化党政主要负责人述法工作，组织参加威海市法治政府建设业务培训，配合威海市探索建立领导干部综合性法治评价机制，提升运用法治思维和法治方式开展工作的能力水平。</w:t>
      </w:r>
      <w:r>
        <w:rPr>
          <w:rFonts w:ascii="Times New Roman" w:hAnsi="楷体_GB2312" w:eastAsia="楷体_GB2312"/>
          <w:sz w:val="31"/>
          <w:szCs w:val="31"/>
        </w:rPr>
        <w:t>〔</w:t>
      </w:r>
      <w:r>
        <w:rPr>
          <w:rFonts w:ascii="Times New Roman" w:hAnsi="Times New Roman" w:eastAsia="楷体_GB2312"/>
          <w:szCs w:val="32"/>
        </w:rPr>
        <w:t>责任单位：市委依法治市办，市司法局，市有关部门、单位，各镇（街、区）</w:t>
      </w:r>
      <w:r>
        <w:rPr>
          <w:rFonts w:ascii="Times New Roman" w:hAnsi="仿宋_GB2312"/>
          <w:sz w:val="31"/>
          <w:szCs w:val="31"/>
        </w:rPr>
        <w:t>〕</w:t>
      </w:r>
    </w:p>
    <w:p w14:paraId="24484A65">
      <w:pPr>
        <w:pStyle w:val="5"/>
        <w:spacing w:after="0" w:line="570" w:lineRule="exact"/>
        <w:ind w:left="0" w:leftChars="0" w:firstLine="640"/>
        <w:rPr>
          <w:rFonts w:ascii="Times New Roman" w:hAnsi="Times New Roman"/>
        </w:rPr>
      </w:pPr>
      <w:r>
        <w:rPr>
          <w:rFonts w:ascii="Times New Roman" w:hAnsi="Times New Roman"/>
          <w:szCs w:val="32"/>
        </w:rPr>
        <w:t>各级各有关部门要高度重视、压实责任，认真落实本计划，推动各项工作有序开展。市委依法治市办、市司法局要充分发挥统筹协调作用，加强督促调度，确保各项任务落地见效。</w:t>
      </w:r>
    </w:p>
    <w:p w14:paraId="78EE2AB4">
      <w:pPr>
        <w:pStyle w:val="17"/>
        <w:ind w:firstLine="0" w:firstLineChars="0"/>
        <w:rPr>
          <w:rFonts w:ascii="Times New Roman" w:hAnsi="Times New Roman" w:cs="Times New Roman"/>
        </w:rPr>
      </w:pPr>
    </w:p>
    <w:p w14:paraId="597A1CA0">
      <w:pPr>
        <w:pStyle w:val="17"/>
        <w:spacing w:line="880" w:lineRule="exact"/>
        <w:ind w:firstLine="640"/>
        <w:rPr>
          <w:rFonts w:ascii="Times New Roman" w:hAnsi="Times New Roman" w:cs="Times New Roman"/>
        </w:rPr>
      </w:pPr>
    </w:p>
    <w:p w14:paraId="1FCE097C">
      <w:pPr>
        <w:pStyle w:val="17"/>
        <w:spacing w:line="880" w:lineRule="exact"/>
        <w:ind w:firstLine="640"/>
        <w:rPr>
          <w:rFonts w:ascii="Times New Roman" w:hAnsi="Times New Roman" w:cs="Times New Roman"/>
        </w:rPr>
      </w:pPr>
    </w:p>
    <w:p w14:paraId="76F8351E">
      <w:pPr>
        <w:pStyle w:val="17"/>
        <w:spacing w:line="880" w:lineRule="exact"/>
        <w:ind w:firstLine="640"/>
        <w:rPr>
          <w:rFonts w:ascii="Times New Roman" w:hAnsi="Times New Roman" w:cs="Times New Roman"/>
        </w:rPr>
      </w:pPr>
    </w:p>
    <w:p w14:paraId="4B7468A4">
      <w:pPr>
        <w:pStyle w:val="17"/>
        <w:spacing w:line="880" w:lineRule="exact"/>
        <w:ind w:firstLine="0" w:firstLineChars="0"/>
        <w:rPr>
          <w:rFonts w:ascii="Times New Roman" w:hAnsi="Times New Roman" w:cs="Times New Roman"/>
        </w:rPr>
      </w:pPr>
    </w:p>
    <w:p w14:paraId="5E5B95D8">
      <w:pPr>
        <w:ind w:left="0" w:leftChars="0" w:firstLine="0" w:firstLineChars="0"/>
      </w:pP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2098" w:right="1531" w:bottom="1985" w:left="1531" w:header="851" w:footer="1531" w:gutter="0"/>
      <w:pgNumType w:start="1"/>
      <w:cols w:space="720" w:num="1"/>
      <w:docGrid w:type="lines" w:linePitch="439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0AFF" w:usb1="00007843" w:usb2="00000001" w:usb3="00000000" w:csb0="400001BF" w:csb1="DFF7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3F04225">
    <w:pPr>
      <w:pStyle w:val="7"/>
      <w:framePr w:wrap="around" w:vAnchor="text" w:hAnchor="margin" w:xAlign="outside" w:y="1"/>
      <w:spacing w:line="240" w:lineRule="auto"/>
      <w:ind w:left="480" w:leftChars="150" w:right="480" w:rightChars="150" w:firstLine="0" w:firstLineChars="0"/>
      <w:rPr>
        <w:rStyle w:val="16"/>
        <w:rFonts w:hint="eastAsia" w:ascii="宋体" w:hAnsi="宋体" w:eastAsia="宋体"/>
        <w:sz w:val="28"/>
        <w:szCs w:val="28"/>
      </w:rPr>
    </w:pPr>
    <w:r>
      <w:rPr>
        <w:rStyle w:val="16"/>
        <w:rFonts w:hint="eastAsia" w:ascii="宋体" w:hAnsi="宋体" w:eastAsia="宋体"/>
        <w:sz w:val="28"/>
        <w:szCs w:val="28"/>
      </w:rPr>
      <w:t xml:space="preserve">— </w:t>
    </w:r>
    <w:r>
      <w:rPr>
        <w:rStyle w:val="16"/>
        <w:rFonts w:ascii="宋体" w:hAnsi="宋体" w:eastAsia="宋体"/>
        <w:sz w:val="28"/>
        <w:szCs w:val="28"/>
      </w:rPr>
      <w:fldChar w:fldCharType="begin"/>
    </w:r>
    <w:r>
      <w:rPr>
        <w:rStyle w:val="16"/>
        <w:rFonts w:ascii="宋体" w:hAnsi="宋体" w:eastAsia="宋体"/>
        <w:sz w:val="28"/>
        <w:szCs w:val="28"/>
      </w:rPr>
      <w:instrText xml:space="preserve">PAGE  </w:instrText>
    </w:r>
    <w:r>
      <w:rPr>
        <w:rStyle w:val="16"/>
        <w:rFonts w:ascii="宋体" w:hAnsi="宋体" w:eastAsia="宋体"/>
        <w:sz w:val="28"/>
        <w:szCs w:val="28"/>
      </w:rPr>
      <w:fldChar w:fldCharType="separate"/>
    </w:r>
    <w:r>
      <w:rPr>
        <w:rStyle w:val="16"/>
        <w:rFonts w:ascii="宋体" w:hAnsi="宋体" w:eastAsia="宋体"/>
        <w:sz w:val="28"/>
        <w:szCs w:val="28"/>
      </w:rPr>
      <w:t>2</w:t>
    </w:r>
    <w:r>
      <w:rPr>
        <w:rStyle w:val="16"/>
        <w:rFonts w:ascii="宋体" w:hAnsi="宋体" w:eastAsia="宋体"/>
        <w:sz w:val="28"/>
        <w:szCs w:val="28"/>
      </w:rPr>
      <w:fldChar w:fldCharType="end"/>
    </w:r>
    <w:r>
      <w:rPr>
        <w:rStyle w:val="16"/>
        <w:rFonts w:hint="eastAsia" w:ascii="宋体" w:hAnsi="宋体" w:eastAsia="宋体"/>
        <w:sz w:val="28"/>
        <w:szCs w:val="28"/>
      </w:rPr>
      <w:t xml:space="preserve"> —</w:t>
    </w:r>
  </w:p>
  <w:p w14:paraId="6E3E952E">
    <w:pPr>
      <w:pStyle w:val="7"/>
      <w:overflowPunct w:val="0"/>
      <w:spacing w:line="240" w:lineRule="auto"/>
      <w:ind w:right="360" w:firstLine="360" w:firstLineChars="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E5155B7">
    <w:pPr>
      <w:pStyle w:val="7"/>
      <w:framePr w:wrap="around" w:vAnchor="text" w:hAnchor="margin" w:xAlign="outside" w:y="1"/>
      <w:ind w:firstLine="360"/>
      <w:rPr>
        <w:rStyle w:val="16"/>
      </w:rPr>
    </w:pPr>
    <w:r>
      <w:rPr>
        <w:rStyle w:val="16"/>
      </w:rPr>
      <w:fldChar w:fldCharType="begin"/>
    </w:r>
    <w:r>
      <w:rPr>
        <w:rStyle w:val="16"/>
      </w:rPr>
      <w:instrText xml:space="preserve">PAGE  </w:instrText>
    </w:r>
    <w:r>
      <w:rPr>
        <w:rStyle w:val="16"/>
      </w:rPr>
      <w:fldChar w:fldCharType="end"/>
    </w:r>
  </w:p>
  <w:p w14:paraId="050024F6">
    <w:pPr>
      <w:pStyle w:val="7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DED300A">
    <w:pPr>
      <w:pStyle w:val="7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B1FD26E">
    <w:pPr>
      <w:pStyle w:val="8"/>
      <w:pBdr>
        <w:bottom w:val="none" w:color="auto" w:sz="0" w:space="1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509FD90">
    <w:pPr>
      <w:pStyle w:val="8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98DBBC0">
    <w:pPr>
      <w:pStyle w:val="8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BDF40BC"/>
    <w:rsid w:val="4BDF40BC"/>
    <w:rsid w:val="4E1A0C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qFormat="1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60" w:lineRule="exact"/>
      <w:ind w:firstLine="880" w:firstLineChars="200"/>
      <w:jc w:val="both"/>
    </w:pPr>
    <w:rPr>
      <w:rFonts w:ascii="等线" w:hAnsi="等线" w:eastAsia="仿宋_GB2312" w:cs="Times New Roman"/>
      <w:kern w:val="2"/>
      <w:sz w:val="32"/>
      <w:szCs w:val="22"/>
      <w:lang w:val="en-US" w:eastAsia="zh-CN" w:bidi="ar-SA"/>
    </w:rPr>
  </w:style>
  <w:style w:type="character" w:default="1" w:styleId="15">
    <w:name w:val="Default Paragraph Font"/>
    <w:semiHidden/>
    <w:uiPriority w:val="0"/>
  </w:style>
  <w:style w:type="table" w:default="1" w:styleId="1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unhideWhenUsed/>
    <w:qFormat/>
    <w:uiPriority w:val="99"/>
    <w:pPr>
      <w:ind w:firstLine="420" w:firstLineChars="200"/>
    </w:pPr>
  </w:style>
  <w:style w:type="paragraph" w:styleId="3">
    <w:name w:val="Body Text"/>
    <w:basedOn w:val="1"/>
    <w:next w:val="1"/>
    <w:qFormat/>
    <w:uiPriority w:val="0"/>
    <w:pPr>
      <w:ind w:left="100" w:leftChars="100" w:right="100" w:rightChars="100"/>
    </w:pPr>
  </w:style>
  <w:style w:type="paragraph" w:styleId="4">
    <w:name w:val="Body Text Indent"/>
    <w:basedOn w:val="1"/>
    <w:next w:val="2"/>
    <w:unhideWhenUsed/>
    <w:qFormat/>
    <w:uiPriority w:val="99"/>
    <w:pPr>
      <w:spacing w:after="120"/>
      <w:ind w:left="420" w:leftChars="200"/>
    </w:pPr>
  </w:style>
  <w:style w:type="paragraph" w:styleId="5">
    <w:name w:val="Body Text Indent 2"/>
    <w:basedOn w:val="1"/>
    <w:qFormat/>
    <w:uiPriority w:val="0"/>
    <w:pPr>
      <w:spacing w:after="120" w:line="480" w:lineRule="auto"/>
      <w:ind w:left="420" w:leftChars="200"/>
    </w:pPr>
  </w:style>
  <w:style w:type="paragraph" w:styleId="6">
    <w:name w:val="Balloon Text"/>
    <w:basedOn w:val="1"/>
    <w:qFormat/>
    <w:uiPriority w:val="0"/>
    <w:rPr>
      <w:sz w:val="18"/>
      <w:szCs w:val="18"/>
    </w:r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9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10">
    <w:name w:val="Normal (Web)"/>
    <w:basedOn w:val="1"/>
    <w:unhideWhenUsed/>
    <w:qFormat/>
    <w:uiPriority w:val="99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1">
    <w:name w:val="Body Text First Indent"/>
    <w:basedOn w:val="3"/>
    <w:next w:val="5"/>
    <w:unhideWhenUsed/>
    <w:qFormat/>
    <w:uiPriority w:val="99"/>
    <w:pPr>
      <w:widowControl w:val="0"/>
      <w:ind w:firstLine="420" w:firstLineChars="100"/>
      <w:jc w:val="both"/>
    </w:pPr>
    <w:rPr>
      <w:rFonts w:ascii="Calibri" w:hAnsi="Calibri" w:eastAsia="仿宋_GB2312" w:cs="宋体"/>
      <w:sz w:val="32"/>
      <w:szCs w:val="32"/>
      <w:lang w:val="en-US" w:eastAsia="zh-CN" w:bidi="ar-SA"/>
    </w:rPr>
  </w:style>
  <w:style w:type="paragraph" w:styleId="12">
    <w:name w:val="Body Text First Indent 2"/>
    <w:basedOn w:val="4"/>
    <w:next w:val="11"/>
    <w:unhideWhenUsed/>
    <w:qFormat/>
    <w:uiPriority w:val="0"/>
    <w:pPr>
      <w:ind w:firstLine="420" w:firstLineChars="200"/>
    </w:pPr>
  </w:style>
  <w:style w:type="table" w:styleId="14">
    <w:name w:val="Table Grid"/>
    <w:basedOn w:val="13"/>
    <w:qFormat/>
    <w:uiPriority w:val="0"/>
    <w:pPr>
      <w:widowControl w:val="0"/>
      <w:jc w:val="both"/>
    </w:pPr>
    <w:rPr>
      <w:rFonts w:ascii="Times New Roman" w:hAnsi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6">
    <w:name w:val="page number"/>
    <w:basedOn w:val="15"/>
    <w:qFormat/>
    <w:uiPriority w:val="0"/>
  </w:style>
  <w:style w:type="paragraph" w:customStyle="1" w:styleId="17">
    <w:name w:val="首行缩进"/>
    <w:basedOn w:val="1"/>
    <w:qFormat/>
    <w:uiPriority w:val="0"/>
    <w:pPr>
      <w:spacing w:line="360" w:lineRule="auto"/>
      <w:ind w:firstLine="480" w:firstLineChars="200"/>
    </w:pPr>
    <w:rPr>
      <w:rFonts w:ascii="宋体" w:hAnsi="宋体" w:cs="宋体"/>
      <w:kern w:val="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2026-04-27T08:13:00Z</dcterms:created>
  <dc:creator>Administrator</dc:creator>
  <cp:lastModifiedBy>Administrator</cp:lastModifiedBy>
  <dcterms:modified xsi:type="dcterms:W3CDTF">2026-04-27T08:14:33Z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E3882CAAE8F84AEF8932D0BD136D1FBC_11</vt:lpwstr>
  </property>
  <property fmtid="{D5CDD505-2E9C-101B-9397-08002B2CF9AE}" pid="4" name="KSOTemplateDocerSaveRecord">
    <vt:lpwstr>eyJoZGlkIjoiMGFiZDRkYjYxYWVhMWE0MThhYzJlYzhiOGJhMzViZTAiLCJ1c2VySWQiOiIzNDQzOTMzNDMifQ==</vt:lpwstr>
  </property>
</Properties>
</file>